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ex-20260331.htm"/>
      <w:bookmarkStart w:id="1" w:name="kskex20260331"/>
      <w:bookmarkEnd w:id="0"/>
      <w:bookmarkEnd w:id="1"/>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left"/>
        <w:rPr/>
      </w:pPr>
      <w:r>
        <w:rPr>
          <w:color w:val="000000"/>
        </w:rPr>
        <w:t xml:space="preserve">☒ </w:t>
      </w:r>
      <w:r>
        <w:rPr>
          <w:rFonts w:ascii="Times New Roman" w:hAnsi="Times New Roman"/>
          <w:color w:val="000000"/>
          <w:sz w:val="20"/>
        </w:rPr>
        <w:t>Quarterly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left"/>
        <w:rPr/>
      </w:pPr>
      <w:r>
        <w:rPr>
          <w:color w:val="000000"/>
        </w:rPr>
        <w:t xml:space="preserve"> </w:t>
      </w:r>
      <w:r>
        <w:rPr>
          <w:rFonts w:ascii="Times New Roman" w:hAnsi="Times New Roman"/>
          <w:color w:val="000000"/>
          <w:sz w:val="20"/>
        </w:rPr>
        <w:t>Transition report pursuant to Section 13 or 15(d) of the 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to</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1-7615</w:t>
      </w:r>
    </w:p>
    <w:p>
      <w:pPr>
        <w:pStyle w:val="TextBody"/>
        <w:pBdr>
          <w:bottom w:val="single" w:sz="6" w:space="1" w:color="000000"/>
        </w:pBdr>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KIRBY CORPORATION</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8106" w:type="dxa"/>
        <w:jc w:val="left"/>
        <w:tblInd w:w="0" w:type="dxa"/>
        <w:tblLayout w:type="fixed"/>
        <w:tblCellMar>
          <w:top w:w="28" w:type="dxa"/>
          <w:left w:w="28" w:type="dxa"/>
          <w:bottom w:w="28" w:type="dxa"/>
          <w:right w:w="28" w:type="dxa"/>
        </w:tblCellMar>
      </w:tblPr>
      <w:tblGrid>
        <w:gridCol w:w="4966"/>
        <w:gridCol w:w="109"/>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74-1884980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55 Waugh Drive, Suite 1000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77007</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713-435-1000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 Change</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903" w:type="dxa"/>
        <w:jc w:val="left"/>
        <w:tblInd w:w="0" w:type="dxa"/>
        <w:tblLayout w:type="fixed"/>
        <w:tblCellMar>
          <w:top w:w="28" w:type="dxa"/>
          <w:left w:w="28" w:type="dxa"/>
          <w:bottom w:w="28" w:type="dxa"/>
          <w:right w:w="28"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2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KEX</w:t>
            </w:r>
          </w:p>
        </w:tc>
        <w:tc>
          <w:tcPr>
            <w:tcW w:w="370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May 7, 2026, 53.5 million shares of the Registrant’s $0.10 par value per share common stock were outstanding.</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0" w:after="8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80"/>
        <w:gridCol w:w="146"/>
        <w:gridCol w:w="196"/>
        <w:gridCol w:w="886"/>
        <w:gridCol w:w="166"/>
        <w:gridCol w:w="146"/>
        <w:gridCol w:w="197"/>
        <w:gridCol w:w="895"/>
        <w:gridCol w:w="793"/>
      </w:tblGrid>
      <w:tr>
        <w:trPr/>
        <w:tc>
          <w:tcPr>
            <w:tcW w:w="6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Trade – less 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473,497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69,622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398,026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57,935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1,077,855</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6,392,985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(2,294,927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4,098,058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193,276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438,748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30,165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169,943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6,119,203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6,008,045</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218,614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232,623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45,766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202,164</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706,524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911,924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826,373</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169,854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1,918,728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Contingencies and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Kirby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Common stock, $0.10</w:t>
            </w:r>
            <w:r>
              <w:rPr>
                <w:rFonts w:ascii="Times New Roman" w:hAnsi="Times New Roman"/>
                <w:color w:val="000000"/>
                <w:sz w:val="20"/>
              </w:rPr>
              <w:t> </w:t>
            </w:r>
            <w:r>
              <w:rPr>
                <w:rFonts w:ascii="Times New Roman" w:hAnsi="Times New Roman"/>
                <w:color w:val="000000"/>
                <w:sz w:val="18"/>
              </w:rPr>
              <w:t>par value per share. Authorized 120</w:t>
            </w:r>
            <w:r>
              <w:rPr>
                <w:rFonts w:ascii="Times New Roman" w:hAnsi="Times New Roman"/>
                <w:color w:val="000000"/>
                <w:sz w:val="20"/>
              </w:rPr>
              <w:t> </w:t>
            </w:r>
            <w:r>
              <w:rPr>
                <w:rFonts w:ascii="Times New Roman" w:hAnsi="Times New Roman"/>
                <w:color w:val="000000"/>
                <w:sz w:val="18"/>
              </w:rPr>
              <w:t>million shares, issued 65.5</w:t>
            </w:r>
            <w:r>
              <w:rPr>
                <w:rFonts w:ascii="Times New Roman" w:hAnsi="Times New Roman"/>
                <w:color w:val="000000"/>
                <w:sz w:val="20"/>
              </w:rPr>
              <w:t> </w:t>
            </w:r>
            <w:r>
              <w:rPr>
                <w:rFonts w:ascii="Times New Roman" w:hAnsi="Times New Roman"/>
                <w:color w:val="000000"/>
                <w:sz w:val="18"/>
              </w:rPr>
              <w:t>million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873,249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Accumulated other comprehensive income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86,342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3,332,941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Treasury stock – at cost, 12</w:t>
            </w:r>
            <w:r>
              <w:rPr>
                <w:rFonts w:ascii="Times New Roman" w:hAnsi="Times New Roman"/>
                <w:color w:val="000000"/>
                <w:sz w:val="20"/>
              </w:rPr>
              <w:t> </w:t>
            </w:r>
            <w:r>
              <w:rPr>
                <w:rFonts w:ascii="Times New Roman" w:hAnsi="Times New Roman"/>
                <w:color w:val="000000"/>
                <w:sz w:val="18"/>
              </w:rPr>
              <w:t>million shares at March 31, 2026 and 11.7</w:t>
            </w:r>
            <w:r>
              <w:rPr>
                <w:rFonts w:ascii="Times New Roman" w:hAnsi="Times New Roman"/>
                <w:color w:val="000000"/>
                <w:sz w:val="20"/>
              </w:rPr>
              <w:t> </w:t>
            </w:r>
            <w:r>
              <w:rPr>
                <w:rFonts w:ascii="Times New Roman" w:hAnsi="Times New Roman"/>
                <w:color w:val="000000"/>
                <w:sz w:val="18"/>
              </w:rPr>
              <w:t>million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(918,567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Kirby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3,380,512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3,382,793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6,119,203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6,008,045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EARNINGS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9457" w:type="dxa"/>
        <w:jc w:val="left"/>
        <w:tblInd w:w="0" w:type="dxa"/>
        <w:tblLayout w:type="fixed"/>
        <w:tblCellMar>
          <w:top w:w="28" w:type="dxa"/>
          <w:left w:w="28" w:type="dxa"/>
          <w:bottom w:w="28" w:type="dxa"/>
          <w:right w:w="28" w:type="dxa"/>
        </w:tblCellMar>
      </w:tblPr>
      <w:tblGrid>
        <w:gridCol w:w="5506"/>
        <w:gridCol w:w="146"/>
        <w:gridCol w:w="293"/>
        <w:gridCol w:w="1088"/>
        <w:gridCol w:w="230"/>
        <w:gridCol w:w="202"/>
        <w:gridCol w:w="293"/>
        <w:gridCol w:w="1088"/>
        <w:gridCol w:w="61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 except per share amounts)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497,183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346,916</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844,099</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558,529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101,260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107,673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before taxes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(23,378</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81,197</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545" w:type="dxa"/>
        <w:jc w:val="left"/>
        <w:tblInd w:w="0" w:type="dxa"/>
        <w:tblLayout w:type="fixed"/>
        <w:tblCellMar>
          <w:top w:w="28" w:type="dxa"/>
          <w:left w:w="28" w:type="dxa"/>
          <w:bottom w:w="28" w:type="dxa"/>
          <w:right w:w="28" w:type="dxa"/>
        </w:tblCellMar>
      </w:tblPr>
      <w:tblGrid>
        <w:gridCol w:w="3596"/>
        <w:gridCol w:w="939"/>
        <w:gridCol w:w="242"/>
        <w:gridCol w:w="778"/>
        <w:gridCol w:w="191"/>
        <w:gridCol w:w="168"/>
        <w:gridCol w:w="242"/>
        <w:gridCol w:w="778"/>
        <w:gridCol w:w="611"/>
      </w:tblGrid>
      <w:tr>
        <w:trPr/>
        <w:tc>
          <w:tcPr>
            <w:tcW w:w="359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taxes:</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and postretirement benefits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 net of taxes</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net of taxes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 attributable to noncontrolling interests</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 attributable to Kirby</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w:t>
        <w:br/>
        <w:t>(Unaudited)</w:t>
      </w:r>
    </w:p>
    <w:p>
      <w:pPr>
        <w:pStyle w:val="TextBody"/>
        <w:bidi w:val="0"/>
        <w:jc w:val="left"/>
        <w:rPr/>
      </w:pPr>
      <w:r>
        <w:rPr/>
        <w:t> </w:t>
      </w:r>
    </w:p>
    <w:tbl>
      <w:tblPr>
        <w:tblW w:w="9801" w:type="dxa"/>
        <w:jc w:val="left"/>
        <w:tblInd w:w="0" w:type="dxa"/>
        <w:tblLayout w:type="fixed"/>
        <w:tblCellMar>
          <w:top w:w="28" w:type="dxa"/>
          <w:left w:w="28" w:type="dxa"/>
          <w:bottom w:w="28" w:type="dxa"/>
          <w:right w:w="28" w:type="dxa"/>
        </w:tblCellMar>
      </w:tblPr>
      <w:tblGrid>
        <w:gridCol w:w="6446"/>
        <w:gridCol w:w="146"/>
        <w:gridCol w:w="213"/>
        <w:gridCol w:w="817"/>
        <w:gridCol w:w="180"/>
        <w:gridCol w:w="158"/>
        <w:gridCol w:w="213"/>
        <w:gridCol w:w="817"/>
        <w:gridCol w:w="811"/>
      </w:tblGrid>
      <w:tr>
        <w:trPr/>
        <w:tc>
          <w:tcPr>
            <w:tcW w:w="6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earnings to net cash provided by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major maintenance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Decrease in cash flows resulting from 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(79,355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97,650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36,541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(48,256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businesses and marine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(126,948</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(175,856</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bank credit facilities,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133,735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224,110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related to tax withholding for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115,949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(23,366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78,775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58,014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51,078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paid,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investing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Capital expenditures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40"/>
        <w:jc w:val="center"/>
        <w:rPr/>
      </w:pPr>
      <w:r>
        <w:rPr/>
        <w:t> </w:t>
      </w:r>
    </w:p>
    <w:tbl>
      <w:tblPr>
        <w:tblW w:w="12769" w:type="dxa"/>
        <w:jc w:val="left"/>
        <w:tblInd w:w="0" w:type="dxa"/>
        <w:tblLayout w:type="fixed"/>
        <w:tblCellMar>
          <w:top w:w="28" w:type="dxa"/>
          <w:left w:w="28" w:type="dxa"/>
          <w:bottom w:w="28" w:type="dxa"/>
          <w:right w:w="28" w:type="dxa"/>
        </w:tblCellMar>
      </w:tblPr>
      <w:tblGrid>
        <w:gridCol w:w="1386"/>
        <w:gridCol w:w="146"/>
        <w:gridCol w:w="601"/>
        <w:gridCol w:w="146"/>
        <w:gridCol w:w="146"/>
        <w:gridCol w:w="196"/>
        <w:gridCol w:w="511"/>
        <w:gridCol w:w="146"/>
        <w:gridCol w:w="146"/>
        <w:gridCol w:w="196"/>
        <w:gridCol w:w="691"/>
        <w:gridCol w:w="166"/>
        <w:gridCol w:w="146"/>
        <w:gridCol w:w="298"/>
        <w:gridCol w:w="918"/>
        <w:gridCol w:w="166"/>
        <w:gridCol w:w="146"/>
        <w:gridCol w:w="196"/>
        <w:gridCol w:w="826"/>
        <w:gridCol w:w="146"/>
        <w:gridCol w:w="146"/>
        <w:gridCol w:w="146"/>
        <w:gridCol w:w="661"/>
        <w:gridCol w:w="166"/>
        <w:gridCol w:w="146"/>
        <w:gridCol w:w="196"/>
        <w:gridCol w:w="751"/>
        <w:gridCol w:w="166"/>
        <w:gridCol w:w="146"/>
        <w:gridCol w:w="332"/>
        <w:gridCol w:w="869"/>
        <w:gridCol w:w="146"/>
        <w:gridCol w:w="146"/>
        <w:gridCol w:w="196"/>
        <w:gridCol w:w="82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2"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3,382,793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stock for equity awards,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withholdings on equity award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taxes on 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comprehensive income,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870,284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84,121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3,414,138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3,416,675</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2679" w:type="dxa"/>
        <w:jc w:val="left"/>
        <w:tblInd w:w="0" w:type="dxa"/>
        <w:tblLayout w:type="fixed"/>
        <w:tblCellMar>
          <w:top w:w="28" w:type="dxa"/>
          <w:left w:w="28" w:type="dxa"/>
          <w:bottom w:w="28" w:type="dxa"/>
          <w:right w:w="28" w:type="dxa"/>
        </w:tblCellMar>
      </w:tblPr>
      <w:tblGrid>
        <w:gridCol w:w="1386"/>
        <w:gridCol w:w="146"/>
        <w:gridCol w:w="601"/>
        <w:gridCol w:w="146"/>
        <w:gridCol w:w="146"/>
        <w:gridCol w:w="196"/>
        <w:gridCol w:w="511"/>
        <w:gridCol w:w="146"/>
        <w:gridCol w:w="146"/>
        <w:gridCol w:w="196"/>
        <w:gridCol w:w="691"/>
        <w:gridCol w:w="166"/>
        <w:gridCol w:w="146"/>
        <w:gridCol w:w="298"/>
        <w:gridCol w:w="918"/>
        <w:gridCol w:w="166"/>
        <w:gridCol w:w="146"/>
        <w:gridCol w:w="196"/>
        <w:gridCol w:w="826"/>
        <w:gridCol w:w="146"/>
        <w:gridCol w:w="146"/>
        <w:gridCol w:w="146"/>
        <w:gridCol w:w="571"/>
        <w:gridCol w:w="166"/>
        <w:gridCol w:w="146"/>
        <w:gridCol w:w="196"/>
        <w:gridCol w:w="751"/>
        <w:gridCol w:w="166"/>
        <w:gridCol w:w="146"/>
        <w:gridCol w:w="332"/>
        <w:gridCol w:w="869"/>
        <w:gridCol w:w="146"/>
        <w:gridCol w:w="146"/>
        <w:gridCol w:w="196"/>
        <w:gridCol w:w="82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2"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3,353,248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stock for equity awards,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withholdings on equity award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taxes on 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comprehensive income,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69,633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3,054,358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(669,510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3,327,754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br/>
        <w:t>(Unaudited)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Basis for Preparation of the Condensed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2025. Certain reclassifications have been made to reflect the current presentation of financial information.</w:t>
      </w:r>
    </w:p>
    <w:p>
      <w:pPr>
        <w:pStyle w:val="TextBody"/>
        <w:bidi w:val="0"/>
        <w:spacing w:before="20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Acquisitions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March 17, 2026, the Company purchased 23 inland tank barges with a total capacity of 653,000 barrels, including five specialty barges, and three high horsepower towboats from an undisclosed seller for $95.8 million. The Company paid $81.4 million in cash in March 2026 with the remaining $14.4 million to be paid in the 2026 second quarter when delivery of all vessels has been completed. The 23 tank barges, including five specialty barges, transport petrochemicals and refined products on the Mississippi River System and Gulf Intracoastal Waterway. The average age of the 23 barges was 19 years.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October 14, 2025, the Company purchased certain assets from an undisclosed seller in support of the KDS segment for $9.3 million in cash. The assets consisted of inventory and an authorized distributorship for EMD Power Products (“EMD”) for certain geographic regions including Mexico, Central America, the northern part of South America and the Caribbean islands.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August 7, 2025, the Company purchased two inland tank barges and one towboat from an undisclosed seller for $9.2 million in cash.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pStyle w:val="TextBody"/>
        <w:bidi w:val="0"/>
        <w:spacing w:before="20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revenues by major source (in thousands):</w:t>
      </w:r>
    </w:p>
    <w:p>
      <w:pPr>
        <w:pStyle w:val="TextBody"/>
        <w:bidi w:val="0"/>
        <w:jc w:val="both"/>
        <w:rPr/>
      </w:pPr>
      <w:r>
        <w:rPr/>
        <w:t> </w:t>
      </w:r>
    </w:p>
    <w:tbl>
      <w:tblPr>
        <w:tblW w:w="5861" w:type="dxa"/>
        <w:jc w:val="left"/>
        <w:tblInd w:w="0" w:type="dxa"/>
        <w:tblLayout w:type="fixed"/>
        <w:tblCellMar>
          <w:top w:w="28" w:type="dxa"/>
          <w:left w:w="28" w:type="dxa"/>
          <w:bottom w:w="28" w:type="dxa"/>
          <w:right w:w="28" w:type="dxa"/>
        </w:tblCellMar>
      </w:tblPr>
      <w:tblGrid>
        <w:gridCol w:w="2926"/>
        <w:gridCol w:w="146"/>
        <w:gridCol w:w="222"/>
        <w:gridCol w:w="823"/>
        <w:gridCol w:w="154"/>
        <w:gridCol w:w="154"/>
        <w:gridCol w:w="222"/>
        <w:gridCol w:w="823"/>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Inland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103,058</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497,183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Power generation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and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346,916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liabilities represent advance consideration received from customers, and are recognized as revenue over time or at a point in time as the related performance obligation is satisfied. Revenues recognized during the three months ended March 31, 2026 and 2025 that were included in the opening contract liability balances were $64.7 million and $60.2 million, respectively. The Company presents all contract liabilities within the deferred revenues financial statement caption on the balance sheets. The Company did not have any contract assets as of March 31, 2026 or December 31, 2025.</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Segment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operations are aggregated into two reportable business segments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Marine Transportation Segment (“KMT”)</w:t>
      </w:r>
      <w:r>
        <w:rPr>
          <w:rFonts w:ascii="Times New Roman" w:hAnsi="Times New Roman"/>
          <w:color w:val="000000"/>
          <w:sz w:val="20"/>
        </w:rPr>
        <w:t xml:space="preserve"> — Provides marine transportation by United States flagged vessels principally of liquid cargoes 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pStyle w:val="TextBody"/>
        <w:bidi w:val="0"/>
        <w:spacing w:before="200" w:after="283"/>
        <w:jc w:val="both"/>
        <w:rPr>
          <w:rFonts w:ascii="Times New Roman" w:hAnsi="Times New Roman"/>
          <w:sz w:val="20"/>
        </w:rPr>
      </w:pPr>
      <w:r>
        <w:rPr>
          <w:rFonts w:ascii="Times New Roman" w:hAnsi="Times New Roman"/>
          <w:i/>
          <w:color w:val="000000"/>
          <w:sz w:val="20"/>
        </w:rPr>
        <w:t>Distribution and Services Segment (“KDS”)</w:t>
      </w:r>
      <w:r>
        <w:rPr>
          <w:rFonts w:ascii="Times New Roman" w:hAnsi="Times New Roman"/>
          <w:color w:val="000000"/>
          <w:sz w:val="20"/>
        </w:rPr>
        <w:t xml:space="preserve"> —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spacing w:before="200" w:after="283"/>
        <w:jc w:val="both"/>
        <w:rPr>
          <w:rFonts w:ascii="Times New Roman" w:hAnsi="Times New Roman"/>
          <w:sz w:val="20"/>
        </w:rPr>
      </w:pPr>
      <w:r>
        <w:rPr>
          <w:rFonts w:ascii="Times New Roman" w:hAnsi="Times New Roman"/>
          <w:color w:val="000000"/>
          <w:sz w:val="20"/>
        </w:rPr>
        <w:t>The Company’s two reportable business segments are managed separately by the Company’s chief operating decision maker (“CODM”</w:t>
      </w:r>
      <w:r>
        <w:rPr>
          <w:rFonts w:ascii="Times New Roman" w:hAnsi="Times New Roman"/>
          <w:i/>
          <w:color w:val="000000"/>
          <w:sz w:val="20"/>
        </w:rPr>
        <w:t>)</w:t>
      </w:r>
      <w:r>
        <w:rPr>
          <w:rFonts w:ascii="Times New Roman" w:hAnsi="Times New Roman"/>
          <w:color w:val="000000"/>
          <w:sz w:val="20"/>
        </w:rPr>
        <w:t>, its Chief Executive Officer, based on fundamental differences in their operations. The Company’s accounting policies for the business segments are the same as those described in Note 1, Summary of Significant Accounting Policies of the Notes to Consolidated Financial Statements in the Company’s 2025 Annual Report on Form 10-K. The CODM evaluates the performance of the Company’s segments based on the contributions to operating income of the respective segments, and before income taxes, interest, gains or losses on disposition of assets, other nonoperating income, noncontrolling interests, accounting changes, and nonrecurring items. The CODM uses segment operating income to allocate resources for each segment during the annual budget and forecasting process. The CODM considers budget-to-actual variances on a monthly basis for segment operating income when making decisions about allocating capital and personnel to the segments. The CODM also uses segment operating income to assess the performance for each segment by comparing the results and return on invested capital of each segment. Intersegment revenues, based on market-based pricing, of KDS from KMT of $7.9 million for the three months ended March 31, 2026, and $11.1 million for the three months ended March 31, 2025, as well as the related intersegment profit of $0.8 million for the three months ended March 31, 2026, and $1.1 million for the three months ended March 31, 2025, have been eliminated from the tables below.</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set forth the Company’s revenues, depreciation and amortization, and income or loss by reportable segment and total assets (in thousands): </w:t>
      </w:r>
    </w:p>
    <w:tbl>
      <w:tblPr>
        <w:tblW w:w="10205" w:type="dxa"/>
        <w:jc w:val="left"/>
        <w:tblInd w:w="0" w:type="dxa"/>
        <w:tblLayout w:type="fixed"/>
        <w:tblCellMar>
          <w:top w:w="28" w:type="dxa"/>
          <w:left w:w="28" w:type="dxa"/>
          <w:bottom w:w="28" w:type="dxa"/>
          <w:right w:w="28" w:type="dxa"/>
        </w:tblCellMar>
      </w:tblPr>
      <w:tblGrid>
        <w:gridCol w:w="2692"/>
        <w:gridCol w:w="196"/>
        <w:gridCol w:w="691"/>
        <w:gridCol w:w="146"/>
        <w:gridCol w:w="146"/>
        <w:gridCol w:w="196"/>
        <w:gridCol w:w="691"/>
        <w:gridCol w:w="146"/>
        <w:gridCol w:w="146"/>
        <w:gridCol w:w="196"/>
        <w:gridCol w:w="691"/>
        <w:gridCol w:w="166"/>
        <w:gridCol w:w="146"/>
        <w:gridCol w:w="196"/>
        <w:gridCol w:w="691"/>
        <w:gridCol w:w="146"/>
        <w:gridCol w:w="146"/>
        <w:gridCol w:w="196"/>
        <w:gridCol w:w="691"/>
        <w:gridCol w:w="146"/>
        <w:gridCol w:w="146"/>
        <w:gridCol w:w="196"/>
        <w:gridCol w:w="691"/>
        <w:gridCol w:w="711"/>
      </w:tblGrid>
      <w:tr>
        <w:trPr/>
        <w:tc>
          <w:tcPr>
            <w:tcW w:w="2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KMT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KMT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785,659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Costs of sales and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513,215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payroll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46,166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other than on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61,991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segment items (a)</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46,307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Segment operating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109,175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segment operating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Unallocated amounts: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General corporate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Gain on disposition of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105,546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Earnings before taxes on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100,343</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Other segment items for each reportable segment includes:</w:t>
      </w:r>
    </w:p>
    <w:p>
      <w:pPr>
        <w:pStyle w:val="TextBody"/>
        <w:bidi w:val="0"/>
        <w:jc w:val="both"/>
        <w:rPr>
          <w:rFonts w:ascii="Times New Roman" w:hAnsi="Times New Roman"/>
          <w:sz w:val="20"/>
        </w:rPr>
      </w:pPr>
      <w:r>
        <w:rPr>
          <w:rFonts w:ascii="Times New Roman" w:hAnsi="Times New Roman"/>
          <w:color w:val="000000"/>
          <w:sz w:val="16"/>
        </w:rPr>
        <w:t xml:space="preserve">KMT </w:t>
      </w:r>
      <w:r>
        <w:rPr>
          <w:rFonts w:ascii="Times New Roman" w:hAnsi="Times New Roman"/>
          <w:color w:val="000000"/>
          <w:sz w:val="20"/>
        </w:rPr>
        <w:t xml:space="preserve">– </w:t>
      </w:r>
      <w:r>
        <w:rPr>
          <w:rFonts w:ascii="Times New Roman" w:hAnsi="Times New Roman"/>
          <w:color w:val="000000"/>
          <w:sz w:val="16"/>
        </w:rPr>
        <w:t>selling expense, professional service expense, occupancy expense, and certain overhead expenses.</w:t>
      </w:r>
    </w:p>
    <w:p>
      <w:pPr>
        <w:pStyle w:val="TextBody"/>
        <w:bidi w:val="0"/>
        <w:jc w:val="both"/>
        <w:rPr>
          <w:rFonts w:ascii="Times New Roman" w:hAnsi="Times New Roman"/>
          <w:sz w:val="20"/>
        </w:rPr>
      </w:pPr>
      <w:r>
        <w:rPr>
          <w:rFonts w:ascii="Times New Roman" w:hAnsi="Times New Roman"/>
          <w:color w:val="000000"/>
          <w:sz w:val="16"/>
        </w:rPr>
        <w:t xml:space="preserve">KDS </w:t>
      </w:r>
      <w:r>
        <w:rPr>
          <w:rFonts w:ascii="Times New Roman" w:hAnsi="Times New Roman"/>
          <w:color w:val="000000"/>
          <w:sz w:val="20"/>
        </w:rPr>
        <w:t xml:space="preserve">– </w:t>
      </w:r>
      <w:r>
        <w:rPr>
          <w:rFonts w:ascii="Times New Roman" w:hAnsi="Times New Roman"/>
          <w:color w:val="000000"/>
          <w:sz w:val="16"/>
        </w:rPr>
        <w:t>inventory-related expense, warranty expense, selling expense, professional service expense, occupancy expense, and certain overhead expenses.</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59" w:type="dxa"/>
        <w:jc w:val="left"/>
        <w:tblInd w:w="0" w:type="dxa"/>
        <w:tblLayout w:type="fixed"/>
        <w:tblCellMar>
          <w:top w:w="28" w:type="dxa"/>
          <w:left w:w="28" w:type="dxa"/>
          <w:bottom w:w="28" w:type="dxa"/>
          <w:right w:w="28" w:type="dxa"/>
        </w:tblCellMar>
      </w:tblPr>
      <w:tblGrid>
        <w:gridCol w:w="2346"/>
        <w:gridCol w:w="146"/>
        <w:gridCol w:w="211"/>
        <w:gridCol w:w="931"/>
        <w:gridCol w:w="146"/>
        <w:gridCol w:w="146"/>
        <w:gridCol w:w="211"/>
        <w:gridCol w:w="93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4,705,692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details of “Other” total assets (in thousands):</w:t>
      </w:r>
    </w:p>
    <w:p>
      <w:pPr>
        <w:pStyle w:val="TextBody"/>
        <w:bidi w:val="0"/>
        <w:jc w:val="left"/>
        <w:rPr/>
      </w:pPr>
      <w:r>
        <w:rPr/>
        <w:t> </w:t>
      </w:r>
    </w:p>
    <w:tbl>
      <w:tblPr>
        <w:tblW w:w="4787" w:type="dxa"/>
        <w:jc w:val="left"/>
        <w:tblInd w:w="0" w:type="dxa"/>
        <w:tblLayout w:type="fixed"/>
        <w:tblCellMar>
          <w:top w:w="28" w:type="dxa"/>
          <w:left w:w="28" w:type="dxa"/>
          <w:bottom w:w="28" w:type="dxa"/>
          <w:right w:w="28" w:type="dxa"/>
        </w:tblCellMar>
      </w:tblPr>
      <w:tblGrid>
        <w:gridCol w:w="2071"/>
        <w:gridCol w:w="146"/>
        <w:gridCol w:w="211"/>
        <w:gridCol w:w="781"/>
        <w:gridCol w:w="146"/>
        <w:gridCol w:w="146"/>
        <w:gridCol w:w="233"/>
        <w:gridCol w:w="862"/>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corporate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Long-Term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carrying value and fair value (determined using inputs characteristic of a Level 2 fair value measurement) of debt outstanding (in thousands):</w:t>
      </w:r>
    </w:p>
    <w:p>
      <w:pPr>
        <w:pStyle w:val="TextBody"/>
        <w:bidi w:val="0"/>
        <w:jc w:val="left"/>
        <w:rPr/>
      </w:pPr>
      <w:r>
        <w:rPr/>
        <w:t> </w:t>
      </w:r>
    </w:p>
    <w:tbl>
      <w:tblPr>
        <w:tblW w:w="9883" w:type="dxa"/>
        <w:jc w:val="left"/>
        <w:tblInd w:w="0" w:type="dxa"/>
        <w:tblLayout w:type="fixed"/>
        <w:tblCellMar>
          <w:top w:w="28" w:type="dxa"/>
          <w:left w:w="28" w:type="dxa"/>
          <w:bottom w:w="28" w:type="dxa"/>
          <w:right w:w="28" w:type="dxa"/>
        </w:tblCellMar>
      </w:tblPr>
      <w:tblGrid>
        <w:gridCol w:w="4156"/>
        <w:gridCol w:w="146"/>
        <w:gridCol w:w="265"/>
        <w:gridCol w:w="980"/>
        <w:gridCol w:w="166"/>
        <w:gridCol w:w="146"/>
        <w:gridCol w:w="211"/>
        <w:gridCol w:w="781"/>
        <w:gridCol w:w="146"/>
        <w:gridCol w:w="146"/>
        <w:gridCol w:w="265"/>
        <w:gridCol w:w="980"/>
        <w:gridCol w:w="166"/>
        <w:gridCol w:w="146"/>
        <w:gridCol w:w="211"/>
        <w:gridCol w:w="78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due March 26, 2031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due July 29, 2027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 senior notes due March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3.46% senior notes due January 19,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3.51% senior notes due January 19,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line due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discounts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200" w:after="283"/>
        <w:jc w:val="both"/>
        <w:rPr>
          <w:rFonts w:ascii="Times New Roman" w:hAnsi="Times New Roman"/>
          <w:sz w:val="20"/>
        </w:rPr>
      </w:pPr>
      <w:r>
        <w:rPr>
          <w:rFonts w:ascii="Times New Roman" w:hAnsi="Times New Roman"/>
          <w:color w:val="000000"/>
          <w:sz w:val="16"/>
        </w:rPr>
        <w:t>Variable interest rate of 4.7%</w:t>
      </w:r>
      <w:r>
        <w:rPr>
          <w:rFonts w:ascii="Times New Roman" w:hAnsi="Times New Roman"/>
          <w:color w:val="000000"/>
          <w:sz w:val="20"/>
        </w:rPr>
        <w:t xml:space="preserve"> </w:t>
      </w:r>
      <w:r>
        <w:rPr>
          <w:rFonts w:ascii="Times New Roman" w:hAnsi="Times New Roman"/>
          <w:color w:val="000000"/>
          <w:sz w:val="16"/>
        </w:rPr>
        <w:t>at March 31, 2026 and 5.0% at December 31,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16"/>
        </w:rPr>
      </w:pPr>
      <w:r>
        <w:rPr>
          <w:rFonts w:ascii="Times New Roman" w:hAnsi="Times New Roman"/>
          <w:color w:val="000000"/>
          <w:sz w:val="16"/>
        </w:rPr>
        <w:t>Variable interest rate of 5.0% at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26, 2026, the Company entered into an amended and restated credit agreement (the “2031 Credit Agreement”) with JPMorgan Chase Bank, N.A. (“JPMorgan”), as administrative agent, and certain lenders and issuing banks party thereto. The 2031 Credit Agreement amends and restates in its entirety the Company’s existing credit agreement, dated as of July 29, 2022 (the “2027 Credit Agreement”), extending the term of the facility to March 26, 2031 (the “Maturity Date”), increasing the revolving credit facility commitments to $750 million, and removing the term loan credit facility. Under the 2031 Credit Agreement, the Company has the option, subject to customary conditions and consent of the participating lenders, to increase the size of the revolving credit facility commitments and to add term loan commitments up to an aggregate additional $500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Borrowings under the 2031 Credit Agreement bear interest at a rate per annum equal to, at the Company’s option, either a Secured Overnight Financing Rate (“SOFR”) or a base rate, plus an interest rate margin which ranges from 87.5 to 150 basis points for SOFR loans and 0 to 50 basis points for base rate loans based on the Company’s credit rating. The commitment fee on the unused available credit ranges from 7 to 20 basis points based on the Company’s credit rating. The Maturity Date may be extended for up to two additional one-year periods with the consent of the Company and lenders holding at least 50 percent of the commitments under the 2031 Credit Agreement. The 2031 Credit Agreement contains customary provisions regarding permitted uses, events of default, and covenants substantively similar to those in the 2027 Credit Agreement, including the maintenance of an interest coverage ratio of no less than 2.5 to 1.0 and a debt to capitalization of no more than or equal to 60 percent (with all calculations based on definitions contained in the 2031 Credit Agreement). Outstanding letters of credit under the 2031 Revolving Credit Facility were $6,000 and available borrowing capacity was $570.0 million as of March 31,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$15 million line of credit (“Credit Line”) with Bank of America, N.A. (“Bank of America”) for short-term liquidity needs and letters of credit, with a maturity date of June 30, 2026. Outstanding letters of credit under the Credit Line were $7.6 million and available borrowing capacity was $7.4 million as of March 31, 2026.</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sheets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minimum lease payments under operating leases that have initial noncancelable lease terms in excess of one year were as follows (in thousands):</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2406"/>
        <w:gridCol w:w="146"/>
        <w:gridCol w:w="211"/>
        <w:gridCol w:w="781"/>
        <w:gridCol w:w="166"/>
        <w:gridCol w:w="146"/>
        <w:gridCol w:w="233"/>
        <w:gridCol w:w="862"/>
        <w:gridCol w:w="41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lease costs (in thousands):</w:t>
      </w:r>
    </w:p>
    <w:p>
      <w:pPr>
        <w:pStyle w:val="TextBody"/>
        <w:bidi w:val="0"/>
        <w:jc w:val="both"/>
        <w:rPr/>
      </w:pPr>
      <w:r>
        <w:rPr/>
        <w:t> </w:t>
      </w:r>
    </w:p>
    <w:tbl>
      <w:tblPr>
        <w:tblW w:w="4557" w:type="dxa"/>
        <w:jc w:val="left"/>
        <w:tblInd w:w="0" w:type="dxa"/>
        <w:tblLayout w:type="fixed"/>
        <w:tblCellMar>
          <w:top w:w="28" w:type="dxa"/>
          <w:left w:w="28" w:type="dxa"/>
          <w:bottom w:w="28" w:type="dxa"/>
          <w:right w:w="28" w:type="dxa"/>
        </w:tblCellMar>
      </w:tblPr>
      <w:tblGrid>
        <w:gridCol w:w="1801"/>
        <w:gridCol w:w="146"/>
        <w:gridCol w:w="242"/>
        <w:gridCol w:w="778"/>
        <w:gridCol w:w="191"/>
        <w:gridCol w:w="168"/>
        <w:gridCol w:w="242"/>
        <w:gridCol w:w="778"/>
        <w:gridCol w:w="21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other supplemental information about the Company’s operating leases:</w:t>
      </w:r>
    </w:p>
    <w:p>
      <w:pPr>
        <w:pStyle w:val="TextBody"/>
        <w:bidi w:val="0"/>
        <w:jc w:val="both"/>
        <w:rPr/>
      </w:pPr>
      <w:r>
        <w:rPr/>
        <w:t> </w:t>
      </w:r>
    </w:p>
    <w:tbl>
      <w:tblPr>
        <w:tblW w:w="6145" w:type="dxa"/>
        <w:jc w:val="left"/>
        <w:tblInd w:w="0" w:type="dxa"/>
        <w:tblLayout w:type="fixed"/>
        <w:tblCellMar>
          <w:top w:w="28" w:type="dxa"/>
          <w:left w:w="28" w:type="dxa"/>
          <w:bottom w:w="28" w:type="dxa"/>
          <w:right w:w="28" w:type="dxa"/>
        </w:tblCellMar>
      </w:tblPr>
      <w:tblGrid>
        <w:gridCol w:w="3316"/>
        <w:gridCol w:w="146"/>
        <w:gridCol w:w="245"/>
        <w:gridCol w:w="610"/>
        <w:gridCol w:w="271"/>
        <w:gridCol w:w="146"/>
        <w:gridCol w:w="314"/>
        <w:gridCol w:w="781"/>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Stock Award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compensation cost that has been charged against earnings for the Company’s stock award plans and the income tax benefit recognized in the statement of earnings for stock awards were as follows (in thousands):</w:t>
      </w:r>
    </w:p>
    <w:p>
      <w:pPr>
        <w:pStyle w:val="TextBody"/>
        <w:bidi w:val="0"/>
        <w:jc w:val="both"/>
        <w:rPr/>
      </w:pPr>
      <w:r>
        <w:rPr/>
        <w:t> </w:t>
      </w:r>
    </w:p>
    <w:tbl>
      <w:tblPr>
        <w:tblW w:w="4416" w:type="dxa"/>
        <w:jc w:val="left"/>
        <w:tblInd w:w="0" w:type="dxa"/>
        <w:tblLayout w:type="fixed"/>
        <w:tblCellMar>
          <w:top w:w="28" w:type="dxa"/>
          <w:left w:w="28" w:type="dxa"/>
          <w:bottom w:w="28" w:type="dxa"/>
          <w:right w:w="28" w:type="dxa"/>
        </w:tblCellMar>
      </w:tblPr>
      <w:tblGrid>
        <w:gridCol w:w="1681"/>
        <w:gridCol w:w="146"/>
        <w:gridCol w:w="258"/>
        <w:gridCol w:w="827"/>
        <w:gridCol w:w="178"/>
        <w:gridCol w:w="178"/>
        <w:gridCol w:w="258"/>
        <w:gridCol w:w="699"/>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 granted 131,250 restricted stock units (“RSUs”) to selected officers and other key employees under the employee stock award plan that vest ratably over five years. During May 2026, the Company granted 11,136 shares of restricted stock to nonemployee directors of the Company under the director stock plan which vest six months after the date of grant.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Taxes on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Earnings (loss) before taxes on income and details of the provision for taxes on income were as follows (in thousands):</w:t>
      </w:r>
    </w:p>
    <w:p>
      <w:pPr>
        <w:pStyle w:val="TextBody"/>
        <w:bidi w:val="0"/>
        <w:jc w:val="both"/>
        <w:rPr/>
      </w:pPr>
      <w:r>
        <w:rPr/>
        <w:t> </w:t>
      </w:r>
    </w:p>
    <w:tbl>
      <w:tblPr>
        <w:tblW w:w="6435" w:type="dxa"/>
        <w:jc w:val="left"/>
        <w:tblInd w:w="0" w:type="dxa"/>
        <w:tblLayout w:type="fixed"/>
        <w:tblCellMar>
          <w:top w:w="28" w:type="dxa"/>
          <w:left w:w="28" w:type="dxa"/>
          <w:bottom w:w="28" w:type="dxa"/>
          <w:right w:w="28" w:type="dxa"/>
        </w:tblCellMar>
      </w:tblPr>
      <w:tblGrid>
        <w:gridCol w:w="3301"/>
        <w:gridCol w:w="146"/>
        <w:gridCol w:w="220"/>
        <w:gridCol w:w="816"/>
        <w:gridCol w:w="173"/>
        <w:gridCol w:w="152"/>
        <w:gridCol w:w="220"/>
        <w:gridCol w:w="816"/>
        <w:gridCol w:w="5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before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components of basic and diluted earnings per share (in thousands, except per share amounts):</w:t>
      </w:r>
    </w:p>
    <w:p>
      <w:pPr>
        <w:pStyle w:val="TextBody"/>
        <w:bidi w:val="0"/>
        <w:jc w:val="both"/>
        <w:rPr/>
      </w:pPr>
      <w:r>
        <w:rPr/>
        <w:t> </w:t>
      </w:r>
    </w:p>
    <w:tbl>
      <w:tblPr>
        <w:tblW w:w="8442" w:type="dxa"/>
        <w:jc w:val="left"/>
        <w:tblInd w:w="0" w:type="dxa"/>
        <w:tblLayout w:type="fixed"/>
        <w:tblCellMar>
          <w:top w:w="28" w:type="dxa"/>
          <w:left w:w="28" w:type="dxa"/>
          <w:bottom w:w="28" w:type="dxa"/>
          <w:right w:w="28" w:type="dxa"/>
        </w:tblCellMar>
      </w:tblPr>
      <w:tblGrid>
        <w:gridCol w:w="5506"/>
        <w:gridCol w:w="146"/>
        <w:gridCol w:w="242"/>
        <w:gridCol w:w="778"/>
        <w:gridCol w:w="191"/>
        <w:gridCol w:w="168"/>
        <w:gridCol w:w="242"/>
        <w:gridCol w:w="778"/>
        <w:gridCol w:w="3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available to Kirby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reallocated to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available to Kirby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stock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unvested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stock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options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stock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antidilutive stock options as of March 31, 2026 and 2025. There were no antidilutive RSUs as of March 31, 2026 and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details of inventories – net (in thousands):</w:t>
      </w:r>
    </w:p>
    <w:p>
      <w:pPr>
        <w:pStyle w:val="TextBody"/>
        <w:bidi w:val="0"/>
        <w:jc w:val="both"/>
        <w:rPr/>
      </w:pPr>
      <w:r>
        <w:rPr/>
        <w:t> </w:t>
      </w:r>
    </w:p>
    <w:tbl>
      <w:tblPr>
        <w:tblW w:w="4142" w:type="dxa"/>
        <w:jc w:val="left"/>
        <w:tblInd w:w="0" w:type="dxa"/>
        <w:tblLayout w:type="fixed"/>
        <w:tblCellMar>
          <w:top w:w="28" w:type="dxa"/>
          <w:left w:w="28" w:type="dxa"/>
          <w:bottom w:w="28" w:type="dxa"/>
          <w:right w:w="28" w:type="dxa"/>
        </w:tblCellMar>
      </w:tblPr>
      <w:tblGrid>
        <w:gridCol w:w="1426"/>
        <w:gridCol w:w="146"/>
        <w:gridCol w:w="211"/>
        <w:gridCol w:w="781"/>
        <w:gridCol w:w="146"/>
        <w:gridCol w:w="146"/>
        <w:gridCol w:w="233"/>
        <w:gridCol w:w="862"/>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Retirement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$0.2 million to the Higman pension plan during the three months ended March 31, 2026. The Company expects to make additional contributions of $1.0 million during the remainder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components of net periodic benefit cost for the Company’s defined benefit plans were as follows (in thousands):</w:t>
      </w:r>
    </w:p>
    <w:tbl>
      <w:tblPr>
        <w:tblW w:w="9281" w:type="dxa"/>
        <w:jc w:val="left"/>
        <w:tblInd w:w="0" w:type="dxa"/>
        <w:tblLayout w:type="fixed"/>
        <w:tblCellMar>
          <w:top w:w="28" w:type="dxa"/>
          <w:left w:w="28" w:type="dxa"/>
          <w:bottom w:w="28" w:type="dxa"/>
          <w:right w:w="28" w:type="dxa"/>
        </w:tblCellMar>
      </w:tblPr>
      <w:tblGrid>
        <w:gridCol w:w="3436"/>
        <w:gridCol w:w="146"/>
        <w:gridCol w:w="253"/>
        <w:gridCol w:w="759"/>
        <w:gridCol w:w="199"/>
        <w:gridCol w:w="175"/>
        <w:gridCol w:w="253"/>
        <w:gridCol w:w="759"/>
        <w:gridCol w:w="166"/>
        <w:gridCol w:w="146"/>
        <w:gridCol w:w="360"/>
        <w:gridCol w:w="590"/>
        <w:gridCol w:w="249"/>
        <w:gridCol w:w="249"/>
        <w:gridCol w:w="360"/>
        <w:gridCol w:w="590"/>
        <w:gridCol w:w="5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Benefits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SERP</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net periodic benefit cost for the Company’s postretirement benefit plan were as follows (in thousands):</w:t>
      </w:r>
    </w:p>
    <w:p>
      <w:pPr>
        <w:pStyle w:val="TextBody"/>
        <w:bidi w:val="0"/>
        <w:jc w:val="left"/>
        <w:rPr/>
      </w:pPr>
      <w:r>
        <w:rPr/>
        <w:t> </w:t>
      </w:r>
    </w:p>
    <w:tbl>
      <w:tblPr>
        <w:tblW w:w="6592" w:type="dxa"/>
        <w:jc w:val="left"/>
        <w:tblInd w:w="0" w:type="dxa"/>
        <w:tblLayout w:type="fixed"/>
        <w:tblCellMar>
          <w:top w:w="28" w:type="dxa"/>
          <w:left w:w="28" w:type="dxa"/>
          <w:bottom w:w="28" w:type="dxa"/>
          <w:right w:w="28" w:type="dxa"/>
        </w:tblCellMar>
      </w:tblPr>
      <w:tblGrid>
        <w:gridCol w:w="3436"/>
        <w:gridCol w:w="146"/>
        <w:gridCol w:w="340"/>
        <w:gridCol w:w="608"/>
        <w:gridCol w:w="267"/>
        <w:gridCol w:w="236"/>
        <w:gridCol w:w="340"/>
        <w:gridCol w:w="608"/>
        <w:gridCol w:w="6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Postretirement Benefits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Postretirement Welfare Plan</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Other Comprehensive Income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changes in other comprehensive loss were as follows (in thousands):</w:t>
      </w:r>
    </w:p>
    <w:tbl>
      <w:tblPr>
        <w:tblW w:w="10205" w:type="dxa"/>
        <w:jc w:val="left"/>
        <w:tblInd w:w="0" w:type="dxa"/>
        <w:tblLayout w:type="fixed"/>
        <w:tblCellMar>
          <w:top w:w="28" w:type="dxa"/>
          <w:left w:w="28" w:type="dxa"/>
          <w:bottom w:w="28" w:type="dxa"/>
          <w:right w:w="28" w:type="dxa"/>
        </w:tblCellMar>
      </w:tblPr>
      <w:tblGrid>
        <w:gridCol w:w="2362"/>
        <w:gridCol w:w="146"/>
        <w:gridCol w:w="211"/>
        <w:gridCol w:w="631"/>
        <w:gridCol w:w="166"/>
        <w:gridCol w:w="146"/>
        <w:gridCol w:w="357"/>
        <w:gridCol w:w="713"/>
        <w:gridCol w:w="146"/>
        <w:gridCol w:w="146"/>
        <w:gridCol w:w="229"/>
        <w:gridCol w:w="686"/>
        <w:gridCol w:w="166"/>
        <w:gridCol w:w="146"/>
        <w:gridCol w:w="211"/>
        <w:gridCol w:w="631"/>
        <w:gridCol w:w="166"/>
        <w:gridCol w:w="146"/>
        <w:gridCol w:w="357"/>
        <w:gridCol w:w="713"/>
        <w:gridCol w:w="146"/>
        <w:gridCol w:w="146"/>
        <w:gridCol w:w="211"/>
        <w:gridCol w:w="631"/>
        <w:gridCol w:w="596"/>
      </w:tblGrid>
      <w:tr>
        <w:trPr/>
        <w:tc>
          <w:tcPr>
            <w:tcW w:w="2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postretirement benefits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net 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 Actuarial gains (losses) are amortized into other income (expense). (See Note 11, Retirement Plans)</w:t>
      </w:r>
    </w:p>
    <w:p>
      <w:pPr>
        <w:pStyle w:val="TextBody"/>
        <w:bidi w:val="0"/>
        <w:spacing w:before="200" w:after="283"/>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Contingencies and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$31.0 million at March 31, 2026, including $12.2 million in letters of credit and $18.8 million in performance bonds. All of these instruments have an expiration date within approximately two years. The Company does not believe demand for payment under these instruments is likely and expects no material cash outlays to occur regarding these instruments.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Part II, Item 1A-Risk Factors and Item 1A-Risk Factors found in the Company’s Annual Report on Form 10</w:t>
        <w:noBreakHyphen/>
        <w:t xml:space="preserve">K for the year ended December 31, 2025. Forward-looking statements are based on currently available information and the Company assumes no obligation to update any such statements. For purposes of Management’s Discussion, all net earnings per share attributable to Kirby common stockholders are “diluted earnings per share.”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KDS, the Company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key operating results of the Company (in thousands, except per share amounts):</w:t>
      </w:r>
    </w:p>
    <w:p>
      <w:pPr>
        <w:pStyle w:val="TextBody"/>
        <w:bidi w:val="0"/>
        <w:jc w:val="both"/>
        <w:rPr/>
      </w:pPr>
      <w:r>
        <w:rPr/>
        <w:t> </w:t>
      </w:r>
    </w:p>
    <w:tbl>
      <w:tblPr>
        <w:tblW w:w="8961" w:type="dxa"/>
        <w:jc w:val="left"/>
        <w:tblInd w:w="0" w:type="dxa"/>
        <w:tblLayout w:type="fixed"/>
        <w:tblCellMar>
          <w:top w:w="28" w:type="dxa"/>
          <w:left w:w="28" w:type="dxa"/>
          <w:bottom w:w="28" w:type="dxa"/>
          <w:right w:w="28" w:type="dxa"/>
        </w:tblCellMar>
      </w:tblPr>
      <w:tblGrid>
        <w:gridCol w:w="6226"/>
        <w:gridCol w:w="146"/>
        <w:gridCol w:w="222"/>
        <w:gridCol w:w="823"/>
        <w:gridCol w:w="154"/>
        <w:gridCol w:w="154"/>
        <w:gridCol w:w="222"/>
        <w:gridCol w:w="823"/>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844,099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operating activities for the 2026 first quarter increased in comparison to the 2025 first quarter primarily due to increased net earnings and favorable working capital changes. The favorable working capital changes were driven by the timing of accounts payable and income tax payments, partially offset by the timing of accounts receivable collections. The 2025 first quarter included a $24.4 million estimated federal income tax payment as compared to none in the 2026 first quarter. For the 2026 first quarter, capital expenditures of $48.3 million included $34.6 million in KMT and $13.7 million in KDS and corporate, each more fully described under Cash Flow and Capital Expenditures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projects that capital expenditures for 2026 will be in the $220 million to $260 million range. Approximately $170 million to $210 million is associated with marine maintenance capital and improvements to existing inland and coastal marine equipment, and facility improvements. Up to approximately $65 million is associated with growth capital spending in both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debt-to-capitalization ratio increased slightly to 22.3% at March 31, 2026 compared to 21.4% at December 31, 2025, primarily due to an increase in debt outstanding. Total equity at March 31, 2026 increased as compared to December 31, 2025 primarily from net earnings attributable to Kirby of $81.2 million, partially offset by treasury stock purchases of $52.7 million. The Company’s debt outstanding as of March 31, 2026 and December 31, 2025 is detailed in Long-Term Financing below.</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Marine Transportation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first quarter, KMT generated 59% of the Company’s revenues compared to 61% for the 2025 first quarter.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Company’s marine transportation fleet:</w:t>
      </w:r>
    </w:p>
    <w:p>
      <w:pPr>
        <w:pStyle w:val="TextBody"/>
        <w:bidi w:val="0"/>
        <w:jc w:val="both"/>
        <w:rPr/>
      </w:pPr>
      <w:r>
        <w:rPr/>
        <w:t> </w:t>
      </w:r>
    </w:p>
    <w:tbl>
      <w:tblPr>
        <w:tblW w:w="7409" w:type="dxa"/>
        <w:jc w:val="left"/>
        <w:tblInd w:w="0" w:type="dxa"/>
        <w:tblLayout w:type="fixed"/>
        <w:tblCellMar>
          <w:top w:w="28" w:type="dxa"/>
          <w:left w:w="28" w:type="dxa"/>
          <w:bottom w:w="28" w:type="dxa"/>
          <w:right w:w="28" w:type="dxa"/>
        </w:tblCellMar>
      </w:tblPr>
      <w:tblGrid>
        <w:gridCol w:w="5146"/>
        <w:gridCol w:w="146"/>
        <w:gridCol w:w="146"/>
        <w:gridCol w:w="571"/>
        <w:gridCol w:w="146"/>
        <w:gridCol w:w="146"/>
        <w:gridCol w:w="146"/>
        <w:gridCol w:w="571"/>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tank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Barrel capacity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inland towboats (quarter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Chartered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tank barges: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Barrel capacity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tugboats: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Chartered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dry-bulk cargo barges (owned)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tugboats and docking tugboat (owned and chartered)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operates shifting and fleeting facilities for dry cargo barges and tank barges on the Houston Ship Channel, in Freeport and Port Arthur, Texas, and Lake Charles, Louisiana, and its San Jac shipyard for building inland towboats and performing routine maintenance on marine vessels near the Houston Ship Channel. The Company also owns a two-thirds interest in Osprey Line, L.L.C., which transports project cargoes and cargo containers by barge on the United States inland waterway system.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2026 first quarter, the Company purchased 22 inland tank barges and retired three inland tank barges, increasing its capacity by approximately 0.5 million barrels.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revenues and operating income for the 2026 first quarter increased 4% compared to the 2025 first quarter, primarily due to higher term pricing and decreased planned shipyards in the coastal market, partially offset by lower spot pricing in the inland market as compared to the 2025 first quarter. The 2026 and 2025 first quarters were impacted by poor operating conditions including seasonal wind and fog along the Gulf Coast, ice on the Illinois and Upper Mississippi Rivers and various lock closures. For the 2026 first quarter, the inland tank barge fleet contributed 79% and the coastal fleet contributed 21% of KMT revenues. For the 2025 first quarter, the inland tank barge fleet contributed 82% and the coastal fleet contributed 18% of KMT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Inland tank barge utilization levels averaged in the low-90% range during the 2026 first quarter and the low-to-mid-90% range during the 2025 first quarter. The 2026 and 2025 first quarters were impacted by high winds and heavy fog along the Gulf Coast, ice on the Illinois and Upper Mississippi Rivers and various lock delays. Coastal tank barge utilization levels averaged in the mid-to-high-90% range during the 2026 and 2025 first quarters.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2026 first quarter, approximately 65% of KMT inland revenues were under term contracts and 35% were spot contract revenues. During the 2025 first quarter, approximately 70% of KMT inland revenues were under term contracts and 30% were spot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revenues. Inland time charters during the 2026 first quarter represented approximately 56% of inland revenues under term contracts compared with 61% in the 2025 first quarter. During the 2026 first quarter, approximately 92% of KMT coastal revenues were under term contracts and 8% were under spot contracts. During the 2025 first quarter, approximately 100% of KMT coastal revenues were under term contracts and none were under spot contracts. Coastal time charters represented approximately 100% of coastal revenues under term contracts during both the 2026 and 2025 first quarters. Term contracts have contract terms of 12 months or longer, while spot contracts have contract terms of less than 12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average range of pricing changes in term and spot contracts renewed during 2026 compared to contracts renewed during the corresponding quarter of 2025:</w:t>
      </w:r>
    </w:p>
    <w:p>
      <w:pPr>
        <w:pStyle w:val="TextBody"/>
        <w:bidi w:val="0"/>
        <w:jc w:val="both"/>
        <w:rPr/>
      </w:pPr>
      <w:r>
        <w:rPr/>
        <w:t> </w:t>
      </w:r>
    </w:p>
    <w:tbl>
      <w:tblPr>
        <w:tblW w:w="3649" w:type="dxa"/>
        <w:jc w:val="left"/>
        <w:tblInd w:w="0" w:type="dxa"/>
        <w:tblLayout w:type="fixed"/>
        <w:tblCellMar>
          <w:top w:w="28" w:type="dxa"/>
          <w:left w:w="28" w:type="dxa"/>
          <w:bottom w:w="28" w:type="dxa"/>
          <w:right w:w="28" w:type="dxa"/>
        </w:tblCellMar>
      </w:tblPr>
      <w:tblGrid>
        <w:gridCol w:w="1651"/>
        <w:gridCol w:w="346"/>
        <w:gridCol w:w="1261"/>
        <w:gridCol w:w="391"/>
      </w:tblGrid>
      <w:tr>
        <w:trPr/>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market: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 –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market (a):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 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5"/>
        </w:rPr>
      </w:pPr>
      <w:r>
        <w:rPr>
          <w:rFonts w:ascii="Times New Roman" w:hAnsi="Times New Roman"/>
          <w:color w:val="000000"/>
          <w:sz w:val="15"/>
        </w:rPr>
        <w:t>(a)</w:t>
      </w:r>
    </w:p>
    <w:p>
      <w:pPr>
        <w:pStyle w:val="TextBody"/>
        <w:bidi w:val="0"/>
        <w:spacing w:before="120" w:after="283"/>
        <w:jc w:val="both"/>
        <w:rPr>
          <w:rFonts w:ascii="Times New Roman" w:hAnsi="Times New Roman"/>
          <w:color w:val="000000"/>
          <w:sz w:val="15"/>
        </w:rPr>
      </w:pPr>
      <w:r>
        <w:rPr>
          <w:rFonts w:ascii="Times New Roman" w:hAnsi="Times New Roman"/>
          <w:color w:val="000000"/>
          <w:sz w:val="15"/>
        </w:rPr>
        <w:t>Term contract pricing in the coastal market is contingent on various factors including geographic location, vessel capacity, vessel type, and product serviced.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January 1, 2026, annual escalators for labor and the producer price index on a number of inland multi-year contracts resulted in rate increases on those contracts of approximately 3%, excluding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operating margin was 18.0% for the 2026 first quarter compared to 18.2% for the 2025 first quarter.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Distribution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through KDS,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first quarter, KDS generated 41% of the Company’s revenues. The results of KDS are largely influenced by cycles of the power generation, marine, on-highway, oilfield service industry and oil and gas operator and producer markets, and other industrial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revenues for the 2026 first quarter increased 12% compared with the 2025 first quarter. KDS operating income for the 2026 first quarter increased 3% compared with the 2025 first quarter. In the commercial and industrial market, revenues and operating income increased compared to the 2025 first quarter due to higher business levels in marine repair. For the 2026 first quarter, the commercial and industrial market contributed 46%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power generation market, revenues and operating income increased compared to the 2025 first quarter due to increased demand for backup, prime power and critical power applications. For the 2026 first quarter, the power generation market contributed 44%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oil and gas market, revenues and operating income decreased compared to the 2025 first quarter, impacted by lower levels of conventional oilfield activity which resulted in decreased demand for new transmissions and parts, partially offset by deliveries of electric fracturing equipment. For the 2026 first quarter, the oil and gas market contributed 10%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operating margin was 6.7% for the 2026 first quarter compared to 7.3% for the 2025 first quarter.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Overall, the Company expects to deliver improved financial results in 2026. In KMT, barge utilization and customer demand remain stable. In KDS, growth in the power generation market is expected to offset softness in oil and gas markets, and the continuing trucking recession impacting the on-highway service and repair business. The Company remains mindful of the ever-changing economic landscape related to the possible impact of high interest rates, tariffs, current geopolitical tensions and possible recessionary headwinds as it moves through 2026.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2026, the inland marine transportation market is expected to experience positive market dynamics due to limited new barge construction. The Company expects barge utilization rates to remain steady for the year with continued improvement in pricing as the year progresses. The Company also continues to see inflationary pressures and there remains an acute mariner shortage in the industry which continues to drive up labor costs. These pressures, along with the increasing cost of equipment, should continue to put upward pressure on spot and term contract prices. The coastal marine transportation market is also expected to see very favorable market conditions in 2026. The coastal marine transportation market should experience steady customer demand, keeping barge utilization at high levels with improving rates as the availability of equipment remains limited across the industry. There are no coastal barges currently under construction. The Company does expect more shipyard days in the coastal marine transportation market as compared to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does expect some near-term cost headwinds in its inland marine transportation operations during the 2026 second quarter from rising fuel costs. Term and affreightment contracts contain fuel escalation clauses or provides for the customer to pay for fuel. Cost escalators and rate recovery mechanisms in the Company’s term contracts, while effective over time in allowing the Company to recover changes in fuel costs, create a delay that will lag near-term fuel cost increases. As a result, periods of rapidly rising fuel prices may temporarily compress margins and operating income until escalation adjustments are fully realized. The Company expects that lag to occur during the 2026 second quarter but should be ultimately realized in subsequent quarters as there is generally a 30 to 120 day delay before term contracts are adjusted for fuel costs. Fuel escalation clauses in term contracts and their effectiveness are discussed in more detail in Liquidity below and Item 1A – Risk Factors found in the Company’s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stable growth in KDS in 2026 as near-term volatility from supply issues, customers deferring maintenance, and lower overall levels of activity in the oil and gas market are offset by increased orders in the power generation market. In commercial and industrial, the demand outlook in marine repair remains steady while on-highway service and repair remains soft but has shown some recent modest improvement. In power generation, the Company anticipates continued strong growth in orders as data center demand and the need for behind the meter and backup power continues to be strong. In oil and gas, the Company expects revenues to be down as the transition from conventional diesel hydraulic fracturing to electric hydraulic fracturing continues to take place. The Company anticipates extended lead times and supply delays for certain original equipment manufacturer (“OEM”) products, especially in the power generation market, to continue throughout 2026. The Company does expect to be impacted in the 2026 second quarter by delayed OEM engine deliveries as certain impacted projects will shift from the 2026 second quarter into the 2026 second half.</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March 17, 2026, the Company purchased 23 inland tank barges with a total capacity of 653,000 barrels, including five specialty barges, and three high horsepower towboats from an undisclosed seller for $95.8 million. The Company paid $81.4 million in cash in March 2026 with the remaining $14.4 million to be paid in the 2026 second quarter when delivery of all vessels has been completed. The 23 tank barges, including five specialty barges, transport petrochemicals and refined products on the Mississippi River System and Gulf Intracoastal Waterway. The average age of the 23 barges was 19 years.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October 14, 2025, the Company purchased certain assets from an undisclosed seller in support of the KDS segment for $9.3 million in cash. The assets consisted of inventory and an authorized distributorship for EMD Power Products (“EMD”) for certain geographic regions including Mexico, Central America, the northern part of South America and the Caribbean islands.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August 7, 2025, the Company purchased two inland tank barges and one towboat from an undisclosed seller for $9.2 million in cash.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Financing of these purchases was through borrowings under the Company’s Revolving Credit Facility and cash provided by operating activities.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KMT and KDS revenues and the percentage of each to total revenues (dollars in thousands):</w:t>
      </w:r>
    </w:p>
    <w:p>
      <w:pPr>
        <w:pStyle w:val="TextBody"/>
        <w:bidi w:val="0"/>
        <w:jc w:val="both"/>
        <w:rPr/>
      </w:pPr>
      <w:r>
        <w:rPr/>
        <w:t> </w:t>
      </w:r>
    </w:p>
    <w:tbl>
      <w:tblPr>
        <w:tblW w:w="6727" w:type="dxa"/>
        <w:jc w:val="left"/>
        <w:tblInd w:w="0" w:type="dxa"/>
        <w:tblLayout w:type="fixed"/>
        <w:tblCellMar>
          <w:top w:w="28" w:type="dxa"/>
          <w:left w:w="28" w:type="dxa"/>
          <w:bottom w:w="28" w:type="dxa"/>
          <w:right w:w="28" w:type="dxa"/>
        </w:tblCellMar>
      </w:tblPr>
      <w:tblGrid>
        <w:gridCol w:w="2146"/>
        <w:gridCol w:w="146"/>
        <w:gridCol w:w="211"/>
        <w:gridCol w:w="781"/>
        <w:gridCol w:w="146"/>
        <w:gridCol w:w="146"/>
        <w:gridCol w:w="146"/>
        <w:gridCol w:w="421"/>
        <w:gridCol w:w="271"/>
        <w:gridCol w:w="146"/>
        <w:gridCol w:w="211"/>
        <w:gridCol w:w="781"/>
        <w:gridCol w:w="146"/>
        <w:gridCol w:w="146"/>
        <w:gridCol w:w="146"/>
        <w:gridCol w:w="421"/>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Marine Transportation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KMT revenues, costs and expenses, operating income, and operating margin (dollars in thousands):</w:t>
      </w:r>
    </w:p>
    <w:p>
      <w:pPr>
        <w:pStyle w:val="TextBody"/>
        <w:bidi w:val="0"/>
        <w:jc w:val="both"/>
        <w:rPr/>
      </w:pPr>
      <w:r>
        <w:rPr/>
        <w:t> </w:t>
      </w:r>
    </w:p>
    <w:tbl>
      <w:tblPr>
        <w:tblW w:w="7592" w:type="dxa"/>
        <w:jc w:val="left"/>
        <w:tblInd w:w="0" w:type="dxa"/>
        <w:tblLayout w:type="fixed"/>
        <w:tblCellMar>
          <w:top w:w="28" w:type="dxa"/>
          <w:left w:w="28" w:type="dxa"/>
          <w:bottom w:w="28" w:type="dxa"/>
          <w:right w:w="28" w:type="dxa"/>
        </w:tblCellMar>
      </w:tblPr>
      <w:tblGrid>
        <w:gridCol w:w="3366"/>
        <w:gridCol w:w="146"/>
        <w:gridCol w:w="211"/>
        <w:gridCol w:w="781"/>
        <w:gridCol w:w="271"/>
        <w:gridCol w:w="146"/>
        <w:gridCol w:w="211"/>
        <w:gridCol w:w="781"/>
        <w:gridCol w:w="271"/>
        <w:gridCol w:w="146"/>
        <w:gridCol w:w="275"/>
        <w:gridCol w:w="596"/>
        <w:gridCol w:w="3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the marine transportation markets serviced by the Company, KMT revenue distribution, products moved and the drivers of the demand for the products the Company transports: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62"/>
        <w:gridCol w:w="146"/>
        <w:gridCol w:w="1147"/>
        <w:gridCol w:w="146"/>
        <w:gridCol w:w="4182"/>
        <w:gridCol w:w="146"/>
        <w:gridCol w:w="2776"/>
      </w:tblGrid>
      <w:tr>
        <w:trPr/>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Markets </w:t>
              <w:br/>
              <w:t>Serviced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2026 First Quarter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Products Moved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Drivers</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Petrochemicals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Benzene, Styrene, Methanol, Acrylonitrile, Xylene, Naphtha, Caustic Soda, Butadiene, Propylene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non-durables – 70%, Consumer durables – 30%</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 Oil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Residual Fuel Oil, Coker Feedstock, Vacuum Gas Oil, Asphalt, Carbon Black Feedstock, Crude Oil, Natural Gas Condensate, Ship Bunkers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for Power Plants and Ships, Feedstock for Refineries, Road Construction</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Refined Petroleum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Gasoline, No. 2 Oil, Jet Fuel, Heating Oil, Diesel Fuel, Ethanol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 Usage, Air Travel, Weather Conditions, Refinery Utilization</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Anhydrous Ammonia, Nitrogen – Based Liquid Fertilizer, Industrial 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 Cotton and Wheat Production, Chemical Feedstock Usage</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revenues and operating income for the 2026 first quarter increased 4% compared to the 2025 first quarter, primarily due to higher term pricing and decreased planned shipyards in the coastal market, partially offset by lower spot pricing in the inland market as compared to the 2025 first quarter. The 2026 and 2025 first quarters were impacted by poor operating conditions including seasonal wind and fog along the Gulf Coast, ice on the Illinois and Upper Mississippi Rivers and various lock closures. For the 2026 first quarter, the inland tank barge fleet contributed 79% and the coastal fleet contributed 21% of KMT revenues. For the 2025 first quarter, the inland tank barge fleet contributed 82% and the coastal fleet contributed 18% of KMT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Inland tank barge utilization levels averaged in the low-90% range during the 2026 first quarter and the low-to-mid-90% range during the 2025 first quarter. The 2026 and 2025 first quarters were impacted by high winds and heavy fog along the Gulf Coast, ice on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Illinois and Upper Mississippi Rivers and various lock delays. Coastal tank barge utilization levels averaged in the mid-to-high-90% range during the 2026 and 2025 first quarters.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petrochemical market, which is the Company’s largest market, contributed 47% of KMT revenues for the 2026 first quarter reflecting steady rates, volumes and utilization from Gulf Coast petrochemical plants as compared to the 2025 first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black oil market, which contributed 27% of KMT revenues for the 2026 first quarter reflected stable demand as refinery utilization and production levels of refined petroleum products and fuel oils increased. During the 2026 first quarter, the Company transported crude oil and natural gas condensate produced from major U.S. shale basins along the Gulf Intracoastal Waterway with inland vessels and in the Gulf of America with coastal equipment. Additionally, the Company transported volumes of Utica natural gas condensate downriver from the Mid-Atlantic to the Gulf Coast.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refined petroleum products market, which contributed 22% of KMT revenues for the 2026 first quarter reflected stable volumes in the inland market with steady refinery utilization and product levels as compared to the 2025 first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agricultural chemical market, which contributed 4% of KMT revenues for the 2026 first quarter reflected stable demand for transportation of both domestically produced and imported products as compared to the 2025 first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first quarter, inland operations incurred 3,264 delay days, 19% fewer than the 4,029 delay days that occurred during the 2025 first quarter.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lock delays during the 2026 and 2025 first quarters.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2026 first quarter, approximately 65% of KMT inland revenues were under term contracts and 35% were spot contract revenues. During the 2025 first quarter, approximately 70% of KMT inland revenues were under term contracts and 30% were spot contract revenues. Inland time charters during the 2026 first quarter represented approximately 56% of inland revenues under term contracts compared with 61% in the 2025 first quarter. During the 2026 first quarter, approximately 92% of KMT coastal revenues were under term contracts and 8% were under spot contracts. During the 2025 first quarter, approximately 100% of KMT coastal revenues were under term contracts and none were under spot contracts. Coastal time charters represented approximately 100% of coastal revenues under term contracts during both the 2026 and 2025 first quarters. Term contracts have contract terms of 12 months or longer, while spot contracts have contract terms of less than 12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average range of pricing changes in term and spot contracts renewed during 2026 compared to contracts renewed during the corresponding quarter of 2025:</w:t>
      </w:r>
    </w:p>
    <w:p>
      <w:pPr>
        <w:pStyle w:val="TextBody"/>
        <w:bidi w:val="0"/>
        <w:jc w:val="both"/>
        <w:rPr/>
      </w:pPr>
      <w:r>
        <w:rPr/>
        <w:t> </w:t>
      </w:r>
    </w:p>
    <w:tbl>
      <w:tblPr>
        <w:tblW w:w="3649" w:type="dxa"/>
        <w:jc w:val="left"/>
        <w:tblInd w:w="0" w:type="dxa"/>
        <w:tblLayout w:type="fixed"/>
        <w:tblCellMar>
          <w:top w:w="28" w:type="dxa"/>
          <w:left w:w="28" w:type="dxa"/>
          <w:bottom w:w="28" w:type="dxa"/>
          <w:right w:w="28" w:type="dxa"/>
        </w:tblCellMar>
      </w:tblPr>
      <w:tblGrid>
        <w:gridCol w:w="1651"/>
        <w:gridCol w:w="346"/>
        <w:gridCol w:w="1261"/>
        <w:gridCol w:w="391"/>
      </w:tblGrid>
      <w:tr>
        <w:trPr/>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market: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 –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market (a):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 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5"/>
        </w:rPr>
      </w:pPr>
      <w:r>
        <w:rPr>
          <w:rFonts w:ascii="Times New Roman" w:hAnsi="Times New Roman"/>
          <w:color w:val="000000"/>
          <w:sz w:val="15"/>
        </w:rPr>
        <w:t>Term contract pricing in the coastal market is contingent on various factors including geographic location, vessel capacity, vessel type, and product serviced.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January 1, 2026, annual escalators for labor and the producer price index on a number of inland multi-year contracts resulted in rate increases on those contracts of approximately 3%, excluding fuel.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Costs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and expenses for the 2026 first quarter increased 5% compared to the 2025 first quarter. Costs of sales and operating expenses for the 2026 first quarter increased 3% compared with the 2025 first quarter. The results for the 2026 first quarter were driven by inflationary cost pressures including wage increases that went into effect on July 1, 2025. Fuel costs were slightly lower in the 2026 first quarter as compared to the 2025 first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inland marine transportation fleet operated an average of 284 towboats during the 2026 first quarter, of which an average of 79 were chartered, compared to 291 during the 2025 first quarter, of which an average of 76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2026 first quarter, inland operations consumed 12.5 million gallons of diesel fuel compared to 11.7 million gallons consumed during the 2025 first quarter. The average price per gallon of diesel fuel consumed during the 2026 first quarter was $2.26 per gallon compared with $2.57 per gallon for the 2025 first quarter.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for the 2026 first quarter increased 8% compared to the 2025 first quarter. The increase in selling, general and administrative expenses for the 2026 first quarter as compared to the 2025 first quarter was primarily due to continued inflationary cost pressures, including salary and wage increases that went into effect on July 1, 2025. The 2025 first quarter was impacted by an increase in the provision for credit losses related to a certain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and amortization for the 2026 first quarter increased 7% compared to the 2025 first quarter. The increase was primarily due to capital additions during 2025 and the first three months of 2026, as well as equipment acquisitions.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Operating Income and Operating Margin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KMT operating income for the 2026 first quarter increased 4% compared with the 2025 first quarter. The 2026 first quarter operating margin was 18.0% compared with 18.2% for the 2025 first quarter. The increase in operating income as compared to the 2025 first quarter was primarily due to higher term pricing and decreased planned shipyards in the coastal market, partially offset by lower spot pricing in the inland market.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Distribution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KDS revenues, costs and expenses, operating income, and operating margin (dollars in thousands):</w:t>
      </w:r>
    </w:p>
    <w:p>
      <w:pPr>
        <w:pStyle w:val="TextBody"/>
        <w:bidi w:val="0"/>
        <w:jc w:val="left"/>
        <w:rPr/>
      </w:pPr>
      <w:r>
        <w:rPr/>
        <w:t> </w:t>
      </w:r>
    </w:p>
    <w:tbl>
      <w:tblPr>
        <w:tblW w:w="7612" w:type="dxa"/>
        <w:jc w:val="left"/>
        <w:tblInd w:w="0" w:type="dxa"/>
        <w:tblLayout w:type="fixed"/>
        <w:tblCellMar>
          <w:top w:w="28" w:type="dxa"/>
          <w:left w:w="28" w:type="dxa"/>
          <w:bottom w:w="28" w:type="dxa"/>
          <w:right w:w="28" w:type="dxa"/>
        </w:tblCellMar>
      </w:tblPr>
      <w:tblGrid>
        <w:gridCol w:w="3366"/>
        <w:gridCol w:w="146"/>
        <w:gridCol w:w="211"/>
        <w:gridCol w:w="781"/>
        <w:gridCol w:w="271"/>
        <w:gridCol w:w="146"/>
        <w:gridCol w:w="211"/>
        <w:gridCol w:w="781"/>
        <w:gridCol w:w="271"/>
        <w:gridCol w:w="146"/>
        <w:gridCol w:w="275"/>
        <w:gridCol w:w="596"/>
        <w:gridCol w:w="41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the markets serviced by KDS, the revenue distribution, and the customers for each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47"/>
        <w:gridCol w:w="146"/>
        <w:gridCol w:w="1144"/>
        <w:gridCol w:w="146"/>
        <w:gridCol w:w="7322"/>
      </w:tblGrid>
      <w:tr>
        <w:trPr/>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2" w:type="dxa"/>
            <w:tcBorders/>
            <w:vAlign w:val="center"/>
          </w:tcPr>
          <w:p>
            <w:pPr>
              <w:pStyle w:val="TableContents"/>
              <w:bidi w:val="0"/>
              <w:spacing w:before="0" w:after="283"/>
              <w:jc w:val="left"/>
              <w:rPr>
                <w:sz w:val="4"/>
                <w:szCs w:val="4"/>
              </w:rPr>
            </w:pPr>
            <w:r>
              <w:rPr>
                <w:sz w:val="4"/>
                <w:szCs w:val="4"/>
              </w:rPr>
            </w:r>
          </w:p>
        </w:tc>
      </w:tr>
      <w:tr>
        <w:trPr/>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 Serviced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2026 Three Months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Customers</w:t>
            </w:r>
          </w:p>
        </w:tc>
      </w:tr>
      <w:tr>
        <w:trPr/>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River Carriers — Dry and Liquid, Offshore Towing — Dry and Liquid, Offshore Oilfield Services — Drilling Rigs &amp; Supply Boats, Harbor Towing, Dredging, Great Lakes Ore Carriers, Pleasure Crafts, On and Off-Highway Transportation, Pumping Stations, Mining</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Generation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Generation &amp; Standby Power Generation Equipment, Power Generation Rentals &amp; Related Service, Data Centers</w:t>
            </w:r>
          </w:p>
        </w:tc>
      </w:tr>
      <w:tr>
        <w:trPr/>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and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 Oil and Gas Operators and Producers</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KDS revenues for the 2026 first quarter increased 12% compared with the 2025 first quarter. KDS operating income for the 2026 first quarter increased 3% compared with the 2025 first quarter.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commercial and industrial market, revenues and operating income increased compared to the 2025 first quarter due to higher business levels in marine repair. In the power generation market, revenues and operating income increased compared to the 2025 first quarter due to increased demand for backup, prime power and critical power applications. In the oil and gas market, revenues and operating income decreased compared to the 2025 first quarter, impacted by lower levels of conventional oilfield activity which resulted in decreased demand for new transmissions and parts, partially offset by deliveries of electric fracturing equipment.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Costs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and expenses for the 2026 first quarter increased 13% compared with the 2025 first quarter. Costs of sales and operating expenses for the 2026 first quarter increased 16% compared with the 2025 first quarter. The increase for the 2026 first quarter reflected higher deliveries of power generation equipment, partially offset by lower on-highway and conventional oilfield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for the 2026 first quarter increased 2% compared to the 2025 first quarter, reflecting higher business activity levels, inflationary cost pressures, including salary and wage increases that went into effect July 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and amortization for the 2026 first quarter increased 6% compared to the 2025 first quarter. The increase was primarily due to capital additions during 2025 and the first three months of 2026, including additions to the equipment rental fleet.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Operating Income and Operating Margin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operating income for the 2026 first quarter increased 3% compared with the 2025 first quarter. The 2026 first quarter operating margin was 6.7% compared to 7.3% for the 2025 first quarter. The results reflect increased demand in power generation from data centers and prime power customers and higher marine repair activity and deliveries of electric fracturing equipment, partially offset by lower conventional oilfield activity.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Corporate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corporate expenses for the 2026 first quarter increased compared to the 2025 first quarter primarily due to higher insurance costs, higher professional fees and higher incentive compensation.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Gain on Disposition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reported a net gain on disposition of assets of $1.5 million and $0.1 million for the 2026 and 2025 first quarter, respectively. The net gains were primarily from sales of marine transportation equipment and the sale of a KDS facility in the 2026 first quarter.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Income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other income, noncontrolling interests, and interest expense (dollars in thousands):</w:t>
      </w:r>
    </w:p>
    <w:p>
      <w:pPr>
        <w:pStyle w:val="TextBody"/>
        <w:bidi w:val="0"/>
        <w:jc w:val="both"/>
        <w:rPr/>
      </w:pPr>
      <w:r>
        <w:rPr/>
        <w:t> </w:t>
      </w:r>
    </w:p>
    <w:tbl>
      <w:tblPr>
        <w:tblW w:w="6012" w:type="dxa"/>
        <w:jc w:val="left"/>
        <w:tblInd w:w="0" w:type="dxa"/>
        <w:tblLayout w:type="fixed"/>
        <w:tblCellMar>
          <w:top w:w="28" w:type="dxa"/>
          <w:left w:w="28" w:type="dxa"/>
          <w:bottom w:w="28" w:type="dxa"/>
          <w:right w:w="28" w:type="dxa"/>
        </w:tblCellMar>
      </w:tblPr>
      <w:tblGrid>
        <w:gridCol w:w="2101"/>
        <w:gridCol w:w="146"/>
        <w:gridCol w:w="211"/>
        <w:gridCol w:w="736"/>
        <w:gridCol w:w="166"/>
        <w:gridCol w:w="146"/>
        <w:gridCol w:w="211"/>
        <w:gridCol w:w="736"/>
        <w:gridCol w:w="166"/>
        <w:gridCol w:w="146"/>
        <w:gridCol w:w="275"/>
        <w:gridCol w:w="596"/>
        <w:gridCol w:w="3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for the 2026 and 2025 first quarters includes income of $6.2 million and $4.8 million, respectively, for all components of net benefit costs except the service cost component related to the Company’s defined benefit plans.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average debt and average interest rate (dollars in thousands):</w:t>
      </w:r>
    </w:p>
    <w:p>
      <w:pPr>
        <w:pStyle w:val="TextBody"/>
        <w:bidi w:val="0"/>
        <w:jc w:val="both"/>
        <w:rPr/>
      </w:pPr>
      <w:r>
        <w:rPr/>
        <w:t> </w:t>
      </w:r>
    </w:p>
    <w:tbl>
      <w:tblPr>
        <w:tblW w:w="4649" w:type="dxa"/>
        <w:jc w:val="left"/>
        <w:tblInd w:w="0" w:type="dxa"/>
        <w:tblLayout w:type="fixed"/>
        <w:tblCellMar>
          <w:top w:w="28" w:type="dxa"/>
          <w:left w:w="28" w:type="dxa"/>
          <w:bottom w:w="28" w:type="dxa"/>
          <w:right w:w="28" w:type="dxa"/>
        </w:tblCellMar>
      </w:tblPr>
      <w:tblGrid>
        <w:gridCol w:w="1786"/>
        <w:gridCol w:w="146"/>
        <w:gridCol w:w="211"/>
        <w:gridCol w:w="781"/>
        <w:gridCol w:w="271"/>
        <w:gridCol w:w="146"/>
        <w:gridCol w:w="211"/>
        <w:gridCol w:w="781"/>
        <w:gridCol w:w="31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for the 2026 first quarter decreased 3% compared with the 2025 first quarter, primarily due to lower average debt outstanding in the 2026 first quarter. Interest expense excludes capitalized interest for the 2026 first quarter of $0.2 million. There was no capitalized interest excluded from interest expense during the 2025 first quarter.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Condition, Capital Resources and Liquidity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significant components of the balance sheets (dollars in thousands):</w:t>
      </w:r>
    </w:p>
    <w:p>
      <w:pPr>
        <w:pStyle w:val="TextBody"/>
        <w:bidi w:val="0"/>
        <w:jc w:val="both"/>
        <w:rPr/>
      </w:pPr>
      <w:r>
        <w:rPr/>
        <w:t> </w:t>
      </w:r>
    </w:p>
    <w:tbl>
      <w:tblPr>
        <w:tblW w:w="8562" w:type="dxa"/>
        <w:jc w:val="left"/>
        <w:tblInd w:w="0" w:type="dxa"/>
        <w:tblLayout w:type="fixed"/>
        <w:tblCellMar>
          <w:top w:w="28" w:type="dxa"/>
          <w:left w:w="28" w:type="dxa"/>
          <w:bottom w:w="28" w:type="dxa"/>
          <w:right w:w="28" w:type="dxa"/>
        </w:tblCellMar>
      </w:tblPr>
      <w:tblGrid>
        <w:gridCol w:w="4161"/>
        <w:gridCol w:w="146"/>
        <w:gridCol w:w="211"/>
        <w:gridCol w:w="931"/>
        <w:gridCol w:w="146"/>
        <w:gridCol w:w="146"/>
        <w:gridCol w:w="211"/>
        <w:gridCol w:w="931"/>
        <w:gridCol w:w="146"/>
        <w:gridCol w:w="146"/>
        <w:gridCol w:w="258"/>
        <w:gridCol w:w="613"/>
        <w:gridCol w:w="516"/>
      </w:tblGrid>
      <w:tr>
        <w:trPr/>
        <w:tc>
          <w:tcPr>
            <w:tcW w:w="4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assets as of March 31, 2026 increased 6% compared with December 31, 2025. Trade accounts receivable increased 13% primarily due to higher business activity levels in both KMT and KDS. Inventories – net increased 5% primarily due to the impact of higher business activity levels and the impact of supply delays in KDS resulting in the buildup of inventory for mainly power generation projects that are scheduled to be delivered later in 2026. Prepaid expenses and other current assets increased 8% primarily due to higher prepaid fuel as a result of an increase in the price of diesel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net of accumulated depreciation, at March 31, 2026 increased 2% compared with December 31, 2025. The increase reflected $50.5 million of capital additions (including an increase in accrued capital expenditures of $2.3 million) and $81.4 million of equipment acquisitions in the 2026 first three months, partially offset by $66.0 million of depreciation expense and $1.1 million of property disposals more fully described under Cash Flow and Capital Expenditures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lease right-of-use assets as of March 31, 2026 decreased 7% compared with December 31, 2025, primarily due to lease amortization expense, partially offset by new leases acquired in the 2026 first three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intangibles, net, as of March 31, 2026 decreased 7% compared with December 31, 2025, due to amortization during the 2026 first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assets as of March 31, 2026 decreased 1% compared with December 31, 2025, primarily due to amortization of drydock expenditures.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liabilities as of March 31, 2026 increased 2% compared with December 31, 2025. Accounts payable increased 20% primarily due to higher business activity levels and the timing of inventory purchases and shipyard payments. Accrued liabilities decreased 14% primarily from payment during the 2026 first three months of employee incentive compensation accrued during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Long-term debt, net – less current portion, as of March 31, 2026 increased 7% compared with December 31, 2025, primarily reflecting increased borrowings under the 2031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lease liabilities – less current portion, as of March 31, 2026 decreased 6% compared with December 31, 2025, primarily due to lease payments made, partially offset by new leases acquired and liability accretion.</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equity as of March 31, 2026 increased 1% compared with December 31, 2025. Net earnings attributable to Kirby of $81.2 million, amortization of share-based compensation of $10.1 million, and stock option exercises of $4.3 million were partially offset by treasury stock purchases of $52.7 million and tax withholdings of $6.7 million on RSU vestings.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Long-Term Financing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Company’s outstanding debt (in thousands):</w:t>
      </w:r>
    </w:p>
    <w:p>
      <w:pPr>
        <w:pStyle w:val="TextBody"/>
        <w:bidi w:val="0"/>
        <w:jc w:val="both"/>
        <w:rPr/>
      </w:pPr>
      <w:r>
        <w:rPr/>
        <w:t> </w:t>
      </w:r>
    </w:p>
    <w:tbl>
      <w:tblPr>
        <w:tblW w:w="7292" w:type="dxa"/>
        <w:jc w:val="left"/>
        <w:tblInd w:w="0" w:type="dxa"/>
        <w:tblLayout w:type="fixed"/>
        <w:tblCellMar>
          <w:top w:w="28" w:type="dxa"/>
          <w:left w:w="28" w:type="dxa"/>
          <w:bottom w:w="28" w:type="dxa"/>
          <w:right w:w="28" w:type="dxa"/>
        </w:tblCellMar>
      </w:tblPr>
      <w:tblGrid>
        <w:gridCol w:w="4356"/>
        <w:gridCol w:w="146"/>
        <w:gridCol w:w="211"/>
        <w:gridCol w:w="781"/>
        <w:gridCol w:w="166"/>
        <w:gridCol w:w="146"/>
        <w:gridCol w:w="233"/>
        <w:gridCol w:w="862"/>
        <w:gridCol w:w="391"/>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due March 26, 2031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due July 29, 2027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4.2% senior notes due March 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3.46% senior notes due January 19,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3.51% senior notes due January 19,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line due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discounts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200" w:after="283"/>
        <w:jc w:val="both"/>
        <w:rPr>
          <w:rFonts w:ascii="Times New Roman" w:hAnsi="Times New Roman"/>
          <w:color w:val="000000"/>
          <w:sz w:val="16"/>
        </w:rPr>
      </w:pPr>
      <w:r>
        <w:rPr>
          <w:rFonts w:ascii="Times New Roman" w:hAnsi="Times New Roman"/>
          <w:color w:val="000000"/>
          <w:sz w:val="16"/>
        </w:rPr>
        <w:t>Variable interest rate of 4.7% at March 31, 2026 and 5.0% at December 31,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16"/>
        </w:rPr>
      </w:pPr>
      <w:r>
        <w:rPr>
          <w:rFonts w:ascii="Times New Roman" w:hAnsi="Times New Roman"/>
          <w:color w:val="000000"/>
          <w:sz w:val="16"/>
        </w:rPr>
        <w:t>Variable interest rate of 5.0% at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26, 2026, the Company entered into the 2031 Credit Agreement with JPMorgan, as administrative agent, and certain lenders and issuing banks party thereto. The 2031 Credit Agreement amends and restates in its entirety the 2027 Credit Agreement, extending the Maturity Date, increasing the revolving credit facility commitments to $750 million, and removing the term loan credit facility. Under the 2031 Credit Agreement, the Company has the option, subject to customary conditions and consent of the participating lenders, to increase the size of the revolving credit facility commitments and to add term loan commitments up to an aggregate additional $500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Borrowings under the 2031 Credit Agreement bear interest at a rate per annum equal to, at the Company’s option, either a SOFR or a base rate, plus an interest rate margin which ranges from 87.5 to 150 basis points for SOFR loans and 0 to 50 basis points for base rate loans based on the Company’s credit rating. The commitment fee on the unused available credit ranges from 7 to 20 basis points based on the Company’s credit rating. The Maturity Date may be extended for up to two additional one-year periods with the consent of the Company and lenders holding at least 50 percent of the commitments under the 2031 Credit Agreement. The 2031 Credit Agreement contains customary provisions regarding permitted uses, events of default, and covenants substantively similar to those in the 2027 Credit Agreement, including the maintenance of an interest coverage ratio of no less than 2.5 to 1.0 and a debt to capitalization of no more than or equal to 60 percent (with all calculations based on definitions contained in the 2031 Credit Agreement). Outstanding letters of credit under the 2031 Revolving Credit Facility were $6,000 and available borrowing capacity was $570.0 million as of March 31,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$15 million Credit Line with Bank of America for short-term liquidity needs and letters of credit, with a maturity date of June 30, 2026. Outstanding letters of credit under the Credit Line were $7.6 million and available borrowing capacity was $7.4 million as of March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and Capital Expenditures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generated positive operating cash flows during the 2026 first quarter with net cash provided by operating activities of $97.7 million compared with $36.5 million for the 2025 first quarter, a 167% increase. The increase in operating cash flows was mainly due to increased net earnings and the timing of accounts payable payments and a decrease in inventories in 2026, partially offset by the timing of accounts receivable collections. The increase in net earnings was driven by higher term contract pricing in the KMT coastal market and improved KDS business activity levels in the commercial and industrial and power generation markets. During the 2026 and 2025 first quarter, the Company generated cash of $2.7 million and $0.1 million, respectively, from proceeds from the disposition of assets, and $4.3 million and $0.3 million, respectively, from proceeds from the exercise of stock options.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first quarter, cash generated was used for capital expenditures of $48.3 million, including $39.5 million associated with marine maintenance capital and improvements to existing inland and coastal marine equipment and facility improvements, as well as $8.8 million for growth spending in both segments. The growth spending is related to inland equipment construction and equipment for use in a variety of KDS markets including electric fracturing equipment, power generators, and other related equipment. In addition, the Company used cash of $81.4 million for a marine equipment acquisition in the 2026 first quarter.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Treasury Stock Purchases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2026 first quarter, the Company purchased 0.4 million shares of its common stock for $52.7 million, at an average price of $123.18 per share. Subsequent to March 31, 2026 and through May 7, 2026, the Company purchased an additional 45,000 shares of its common stock for $6.5 million, at an average price of $143.76 per share. As of May 7, 2026, the Company had approximately 6.7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2026 first quarter, see Part II, Item 2. Unregistered Sales of Equity Securities and Use of Proceeds.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Funds generated from operations are available for acquisitions, capital expenditure projects, common stock purchases, repayments of borrowings, and for other corporate and operating requirements. In addition to net cash flows provided by operating activities, as of May 7, 2026 the Company also had cash and cash equivalents of $54.5 million, availability of $530 million under its 2031 Revolving Credit Facility, and $7.4 million available under its Credit 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Neither the Company, nor any of its subsidiaries, is obligated on any debt instrument, swap agreement, or any other financial instrument or commercial contract which has a rating trigger, except for the pricing grid on its 2031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to continue to be able to fund expenditures for acquisitions, capital construction projects, common stock purchases, repayment of borrowings, and for other operating requirements both in the short term and in the long term from a combination of available cash and cash equivalents, funds generated from operating activities, and available financing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2031 Revolving Credit Facility’s commitment is in the amount of $750 million and matures March 26, 2031, with $180 million currently outstanding at March 31, 2026. The $500 million 4.2% senior unsecured notes do not mature until March 1, 2028 and require no prepayments. The $60 million of 3.46% series A notes and $240 million of 3.51% series B notes do not mature until January 19, 2033 and require no prepayments.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numerous factors that may negatively impact the Company’s cash flows in 2026. For a list of significant risks and uncertainties that could impact cash flows, see Note 13, Contingencies and Commitments, of the Notes to Condensed Financial Statements (Unaudited), Part II, Item 1A-Risk Factors, and Item 1A-Risk Factors and Note 14, Contingencies and Commitments, in the Company’s Annual Report on Form 10-K for the year ended December 31, 2025.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$31.0 million at March 31, 2026, including $12.2 million in letters of credit and $18.8 million in performance bonds. All of these instruments have an expiration date within approximately two years. The Company does not believe demand for payment under these instruments is likely and expects no material cash outlays to occur in connection with these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To the extent possible, the Company also seeks to include contractual language to address recovery of increased costs related to tariffs in KDS. The repair portion of KDS is based on prevailing current market rates.</w:t>
      </w:r>
    </w:p>
    <w:p>
      <w:pPr>
        <w:pStyle w:val="TextBody"/>
        <w:bidi w:val="0"/>
        <w:spacing w:before="200" w:after="283"/>
        <w:jc w:val="left"/>
        <w:rPr>
          <w:rFonts w:ascii="Times New Roman" w:hAnsi="Times New Roman"/>
          <w:sz w:val="20"/>
        </w:rPr>
      </w:pPr>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quantitative and qualitative disclosures about market risk, see Part II, Item 7A, Quantitative and Qualitative Disclosures About Market Risk, in the Company’s Annual Report on Form 10-K. The Company’s exposure to market risk has not changed materially since December 31, 2025.</w:t>
      </w:r>
    </w:p>
    <w:p>
      <w:pPr>
        <w:pStyle w:val="TextBody"/>
        <w:bidi w:val="0"/>
        <w:spacing w:before="200" w:after="283"/>
        <w:jc w:val="left"/>
        <w:rPr>
          <w:rFonts w:ascii="Times New Roman" w:hAnsi="Times New Roman"/>
          <w:sz w:val="20"/>
        </w:rPr>
      </w:pPr>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200" w:after="283"/>
        <w:jc w:val="both"/>
        <w:rPr>
          <w:rFonts w:ascii="Times New Roman" w:hAnsi="Times New Roman"/>
          <w:sz w:val="20"/>
        </w:rPr>
      </w:pPr>
      <w:r>
        <w:rPr>
          <w:rFonts w:ascii="Times New Roman" w:hAnsi="Times New Roman"/>
          <w:i/>
          <w:color w:val="000000"/>
          <w:sz w:val="20"/>
        </w:rPr>
        <w:t>Disclosure Controls and Procedures</w:t>
      </w:r>
      <w:r>
        <w:rPr>
          <w:rFonts w:ascii="Times New Roman" w:hAnsi="Times New Roman"/>
          <w:color w:val="000000"/>
          <w:sz w:val="20"/>
        </w:rPr>
        <w:t>. The Company’s management, with the participation of the Chief Executive Officer and the Chief Financial Officer, has evaluated the Company’s disclosure controls and procedures (as defined in Rule 13a-15(e) under the Securities Exchange Act of 1934 (“Exchange Act”)), as of March 31, 2026, as required by Rule 13a-15(b) under the Exchange Act. Based on that evaluation, the Chief Executive Officer and the Chief Financial Officer concluded that, as of March 31, 2026,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There were no changes in the Company’s internal control over financial reporting during the quarter ended March 31, 2026 that have materially affected, or are reasonably likely to materially affect, the Company’s internal control over financial reporting.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13, Contingencies and Commitments, of the Notes to Condensed Financial Statements (Unaudited).</w:t>
      </w:r>
    </w:p>
    <w:p>
      <w:pPr>
        <w:pStyle w:val="TextBody"/>
        <w:bidi w:val="0"/>
        <w:spacing w:before="200" w:after="283"/>
        <w:jc w:val="left"/>
        <w:rPr>
          <w:rFonts w:ascii="Times New Roman" w:hAnsi="Times New Roman"/>
          <w:sz w:val="20"/>
        </w:rPr>
      </w:pPr>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continues to be subject to the risk factors previously disclosed in its “Risk Factors” in Part I, Item 1A of the Company’s Annual Report on Form 10-K for the year ended December 31, 2025. Since the Company filed its Form 10-K for the year ended December 31, 2025, the U.S. government issued a 60-day waiver of the Jones Act on March 17, 2026, and has announced a 90-day extension of that waiver starting May 18, 2026 that could increase competition from non-U.S. vessels. To date, the Company has not experienced a material adverse impact from this waiver, but if extended, broadened or repeated, there can be no assurance that it will not in the future.</w:t>
      </w:r>
    </w:p>
    <w:p>
      <w:pPr>
        <w:pStyle w:val="TextBody"/>
        <w:bidi w:val="0"/>
        <w:spacing w:before="200" w:after="283"/>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1609"/>
        <w:gridCol w:w="146"/>
        <w:gridCol w:w="230"/>
        <w:gridCol w:w="1235"/>
        <w:gridCol w:w="146"/>
        <w:gridCol w:w="146"/>
        <w:gridCol w:w="315"/>
        <w:gridCol w:w="1009"/>
        <w:gridCol w:w="146"/>
        <w:gridCol w:w="146"/>
        <w:gridCol w:w="681"/>
        <w:gridCol w:w="1621"/>
        <w:gridCol w:w="146"/>
        <w:gridCol w:w="146"/>
        <w:gridCol w:w="679"/>
        <w:gridCol w:w="1610"/>
        <w:gridCol w:w="194"/>
      </w:tblGrid>
      <w:tr>
        <w:trPr/>
        <w:tc>
          <w:tcPr>
            <w:tcW w:w="1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of Shares that May Yet be Purchased Under the Plans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Purchases of the Company’s common stock during the 2026 first quarter were made in the open market pursuant to a discretionary authorization by the Board of Directors. For more information about stock purchases in the 2026 first quarter and other information responsive to this Item, see “Treasury Stock Purchases” in Financial Condition, Capital Resources and Liquidity included in Part I, Item 2. Management’s Discussion and Analysis of Financial Condition and Results of Operations.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5. Other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“Rule 10b5-1 trading arrangements” or “non-Rule 10b5-1 trading arrangements” (as defined in Item 408 of Regulation S-K of the Exchange Act) adopted, modified or terminated during the 2026 first quarter by the Company’s directors and Section 16 officers.</w:t>
      </w:r>
    </w:p>
    <w:p>
      <w:pPr>
        <w:pStyle w:val="TextBody"/>
        <w:bidi w:val="0"/>
        <w:spacing w:before="200" w:after="283"/>
        <w:jc w:val="left"/>
        <w:rPr>
          <w:rFonts w:ascii="Times New Roman" w:hAnsi="Times New Roman"/>
          <w:sz w:val="20"/>
        </w:rPr>
      </w:pPr>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947"/>
        <w:gridCol w:w="226"/>
        <w:gridCol w:w="9032"/>
      </w:tblGrid>
      <w:tr>
        <w:trPr/>
        <w:tc>
          <w:tcPr>
            <w:tcW w:w="9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jc w:val="left"/>
              <w:rPr>
                <w:sz w:val="4"/>
                <w:szCs w:val="4"/>
              </w:rPr>
            </w:pPr>
            <w:r>
              <w:rPr>
                <w:sz w:val="4"/>
                <w:szCs w:val="4"/>
              </w:rPr>
            </w:r>
          </w:p>
        </w:tc>
      </w:tr>
      <w:tr>
        <w:trPr/>
        <w:tc>
          <w:tcPr>
            <w:tcW w:w="94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3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shd w:fill="CFF0FC"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Articles of Incorporation of the Company with all amendments to date (incorporated by reference to Exhibit 3.1 to the Registrant’s Annual Report on Form 10-K for the year ended December 31, 2014).</w:t>
              </w:r>
            </w:hyperlink>
          </w:p>
        </w:tc>
      </w:tr>
      <w:tr>
        <w:trPr/>
        <w:tc>
          <w:tcPr>
            <w:tcW w:w="9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Bylaws of the Company, as amended to April 25, 2024 (incorporated by reference to Exhibit 3.1 to the Registrant’s Current Report on Form 8-K filed with the Commission on October 28, 2022).</w:t>
              </w:r>
            </w:hyperlink>
          </w:p>
        </w:tc>
      </w:tr>
      <w:tr>
        <w:trPr/>
        <w:tc>
          <w:tcPr>
            <w:tcW w:w="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shd w:fill="CFF0FC"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Amendment to Bylaws of Kirby Corporation dated April 26, 2024 (incorporated by reference to Exhibit 3.2 to the Registrant’s Current Report on Form 8-K filed with the Commission on April 26, 2024).</w:t>
              </w:r>
            </w:hyperlink>
          </w:p>
        </w:tc>
      </w:tr>
      <w:tr>
        <w:trPr/>
        <w:tc>
          <w:tcPr>
            <w:tcW w:w="9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18"/>
              </w:rPr>
              <w:t xml:space="preserve">See Exhibits 3.1, 3.2 and 3.3 hereof for provisions of the Restated Articles of Incorporation of the Company with all amendments to date and the Bylaws of the Company with all amendments to date (incorporated, respectively, by reference to Exhibit </w:t>
            </w:r>
            <w:hyperlink r:id="rId5">
              <w:r>
                <w:rPr>
                  <w:rStyle w:val="InternetLink"/>
                  <w:rFonts w:ascii="Times New Roman" w:hAnsi="Times New Roman"/>
                  <w:color w:val="0000FF"/>
                  <w:sz w:val="18"/>
                  <w:u w:val="single"/>
                </w:rPr>
                <w:t>3.1</w:t>
              </w:r>
            </w:hyperlink>
            <w:r>
              <w:rPr>
                <w:rFonts w:ascii="Times New Roman" w:hAnsi="Times New Roman"/>
                <w:color w:val="000000"/>
                <w:sz w:val="18"/>
              </w:rPr>
              <w:t xml:space="preserve"> to the Registrant’s Annual Report on Form 10-K for the year ended December 31, 2014, Exhibit </w:t>
            </w:r>
            <w:hyperlink r:id="rId6">
              <w:r>
                <w:rPr>
                  <w:rStyle w:val="InternetLink"/>
                  <w:rFonts w:ascii="Times New Roman" w:hAnsi="Times New Roman"/>
                  <w:color w:val="0000FF"/>
                  <w:sz w:val="18"/>
                  <w:u w:val="single"/>
                </w:rPr>
                <w:t>3.1</w:t>
              </w:r>
            </w:hyperlink>
            <w:r>
              <w:rPr>
                <w:rFonts w:ascii="Times New Roman" w:hAnsi="Times New Roman"/>
                <w:color w:val="000000"/>
                <w:sz w:val="18"/>
              </w:rPr>
              <w:t xml:space="preserve"> to the Registrant’s Current Report on Form 8-K filed with the Commission on October 28, 2022, and Exhibit </w:t>
            </w:r>
            <w:hyperlink r:id="rId7">
              <w:r>
                <w:rPr>
                  <w:rStyle w:val="InternetLink"/>
                  <w:rFonts w:ascii="Times New Roman" w:hAnsi="Times New Roman"/>
                  <w:color w:val="0000FF"/>
                  <w:sz w:val="18"/>
                  <w:u w:val="single"/>
                </w:rPr>
                <w:t>3.2</w:t>
              </w:r>
            </w:hyperlink>
            <w:r>
              <w:rPr>
                <w:rFonts w:ascii="Times New Roman" w:hAnsi="Times New Roman"/>
                <w:color w:val="000000"/>
                <w:sz w:val="18"/>
              </w:rPr>
              <w:t> to the Registrant’s Current Report on Form 8-K filed with the Commission on April 26, 2024).</w:t>
            </w:r>
          </w:p>
        </w:tc>
      </w:tr>
      <w:tr>
        <w:trPr/>
        <w:tc>
          <w:tcPr>
            <w:tcW w:w="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shd w:fill="CFF0FC"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Amended and Restated Credit Agreement dated March 26, 2026 among Kirby Corporation, JPMorgan Chase Bank, N.A., as Administrative Agent, and the banks named therein (incorporated by reference to Exhibit 10.1 to the Registrant’s Current Report on Form 8-K filed with the Commission on March 30, 2026).</w:t>
              </w:r>
            </w:hyperlink>
          </w:p>
        </w:tc>
      </w:tr>
      <w:tr>
        <w:trPr/>
        <w:tc>
          <w:tcPr>
            <w:tcW w:w="9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2005 Stock and Incentive Plan (incorporated by reference to Exhibit 10.1 to the Registrant’s Current Report on Form 8-K filed with the Commission on April 30, 2026).</w:t>
              </w:r>
            </w:hyperlink>
          </w:p>
        </w:tc>
      </w:tr>
      <w:tr>
        <w:trPr/>
        <w:tc>
          <w:tcPr>
            <w:tcW w:w="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shd w:fill="CFF0FC"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2000 Nonemployee Director Stock Plan (incorporated by reference to Exhibit 10.2 to the Registrant’s Current Report on Form 8-K filed with the Commission on April 30, 2026).</w:t>
              </w:r>
            </w:hyperlink>
          </w:p>
        </w:tc>
      </w:tr>
      <w:tr>
        <w:trPr/>
        <w:tc>
          <w:tcPr>
            <w:tcW w:w="9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2" w:type="dxa"/>
            <w:tcBorders/>
            <w:tcMar>
              <w:top w:w="0" w:type="dxa"/>
              <w:left w:w="0" w:type="dxa"/>
              <w:bottom w:w="0" w:type="dxa"/>
              <w:right w:w="0" w:type="dxa"/>
            </w:tcMar>
            <w:vAlign w:val="center"/>
          </w:tcPr>
          <w:p>
            <w:pPr>
              <w:pStyle w:val="TableContents"/>
              <w:bidi w:val="0"/>
              <w:spacing w:before="0" w:after="283"/>
              <w:jc w:val="left"/>
              <w:rPr/>
            </w:pPr>
            <w:hyperlink w:anchor="kex-ex31_1.htm">
              <w:r>
                <w:rPr>
                  <w:rStyle w:val="InternetLink"/>
                  <w:rFonts w:ascii="Times New Roman" w:hAnsi="Times New Roman"/>
                  <w:color w:val="0000FF"/>
                  <w:sz w:val="18"/>
                  <w:u w:val="single"/>
                </w:rPr>
                <w:t>Certification of Chief Executive Officer Pursuant to Rule 13a-14(a)</w:t>
              </w:r>
            </w:hyperlink>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3"/>
        <w:gridCol w:w="226"/>
        <w:gridCol w:w="8716"/>
      </w:tblGrid>
      <w:tr>
        <w:trPr/>
        <w:tc>
          <w:tcPr>
            <w:tcW w:w="12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126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kex-ex31_2.htm">
              <w:r>
                <w:rPr>
                  <w:rStyle w:val="InternetLink"/>
                  <w:rFonts w:ascii="Times New Roman" w:hAnsi="Times New Roman"/>
                  <w:color w:val="0000FF"/>
                  <w:sz w:val="18"/>
                  <w:u w:val="single"/>
                </w:rPr>
                <w:t>Certification of Chief Financial Officer Pursuant to Rule 13a-14(a)</w:t>
              </w:r>
            </w:hyperlink>
          </w:p>
        </w:tc>
      </w:tr>
      <w:tr>
        <w:trPr/>
        <w:tc>
          <w:tcPr>
            <w:tcW w:w="1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kex-ex32.htm">
              <w:r>
                <w:rPr>
                  <w:rStyle w:val="InternetLink"/>
                  <w:rFonts w:ascii="Times New Roman" w:hAnsi="Times New Roman"/>
                  <w:color w:val="0000FF"/>
                  <w:sz w:val="18"/>
                  <w:u w:val="single"/>
                </w:rPr>
                <w:t>Certification Pursuant to 18 U.S.C. Section 1350</w:t>
              </w:r>
            </w:hyperlink>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r>
      <w:tr>
        <w:trPr/>
        <w:tc>
          <w:tcPr>
            <w:tcW w:w="1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Management contract, compensatory plan or arrangement.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683" w:type="dxa"/>
        <w:jc w:val="left"/>
        <w:tblInd w:w="0" w:type="dxa"/>
        <w:tblLayout w:type="fixed"/>
        <w:tblCellMar>
          <w:top w:w="28" w:type="dxa"/>
          <w:left w:w="28" w:type="dxa"/>
          <w:bottom w:w="28" w:type="dxa"/>
          <w:right w:w="28" w:type="dxa"/>
        </w:tblCellMar>
      </w:tblPr>
      <w:tblGrid>
        <w:gridCol w:w="1741"/>
        <w:gridCol w:w="406"/>
        <w:gridCol w:w="253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KIRBY CORPORATION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2" w:name="kex-ex31_1.htm"/>
      <w:bookmarkStart w:id="3" w:name="kskexex31_1"/>
      <w:bookmarkEnd w:id="2"/>
      <w:bookmarkEnd w:id="3"/>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March 31, 2026 by Kirby Corporation, David W. Grzebinski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Kirby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827" w:type="dxa"/>
        <w:jc w:val="left"/>
        <w:tblInd w:w="0" w:type="dxa"/>
        <w:tblLayout w:type="fixed"/>
        <w:tblCellMar>
          <w:top w:w="28" w:type="dxa"/>
          <w:left w:w="28" w:type="dxa"/>
          <w:bottom w:w="28" w:type="dxa"/>
          <w:right w:w="28" w:type="dxa"/>
        </w:tblCellMar>
      </w:tblPr>
      <w:tblGrid>
        <w:gridCol w:w="1741"/>
        <w:gridCol w:w="2086"/>
      </w:tblGrid>
      <w:tr>
        <w:trPr/>
        <w:tc>
          <w:tcPr>
            <w:tcW w:w="174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W. Grzebinski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W. Grzebinski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2026</w:t>
            </w:r>
          </w:p>
        </w:tc>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kex-ex31_2.htm"/>
      <w:bookmarkStart w:id="5" w:name="kskexex31_2"/>
      <w:bookmarkEnd w:id="4"/>
      <w:bookmarkEnd w:id="5"/>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March 31, 2026 by Kirby Corporation, Raj Kumar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Kirby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77" w:type="dxa"/>
        <w:jc w:val="left"/>
        <w:tblInd w:w="0" w:type="dxa"/>
        <w:tblLayout w:type="fixed"/>
        <w:tblCellMar>
          <w:top w:w="28" w:type="dxa"/>
          <w:left w:w="28" w:type="dxa"/>
          <w:bottom w:w="28" w:type="dxa"/>
          <w:right w:w="28" w:type="dxa"/>
        </w:tblCellMar>
      </w:tblPr>
      <w:tblGrid>
        <w:gridCol w:w="1741"/>
        <w:gridCol w:w="2536"/>
      </w:tblGrid>
      <w:tr>
        <w:trPr/>
        <w:tc>
          <w:tcPr>
            <w:tcW w:w="174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2026</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kex-ex32.htm"/>
      <w:bookmarkStart w:id="7" w:name="kskexex32"/>
      <w:bookmarkEnd w:id="6"/>
      <w:bookmarkEnd w:id="7"/>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March 31, 2026 (the “Report”) by Kirby Corporation (the “Company”), each of the undersigned hereby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277" w:type="dxa"/>
        <w:jc w:val="left"/>
        <w:tblInd w:w="0" w:type="dxa"/>
        <w:tblLayout w:type="fixed"/>
        <w:tblCellMar>
          <w:top w:w="28" w:type="dxa"/>
          <w:left w:w="28" w:type="dxa"/>
          <w:bottom w:w="28" w:type="dxa"/>
          <w:right w:w="28" w:type="dxa"/>
        </w:tblCellMar>
      </w:tblPr>
      <w:tblGrid>
        <w:gridCol w:w="1741"/>
        <w:gridCol w:w="2536"/>
      </w:tblGrid>
      <w:tr>
        <w:trPr/>
        <w:tc>
          <w:tcPr>
            <w:tcW w:w="174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W. Grzebinski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W. Grzebinski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2026</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6047/000114036115008395/ex3_1.htm" TargetMode="External"/><Relationship Id="rId3" Type="http://schemas.openxmlformats.org/officeDocument/2006/relationships/hyperlink" Target="https://www.sec.gov/Archives/edgar/data/56047/000095017022020426/kex-ex3_1.htm" TargetMode="External"/><Relationship Id="rId4" Type="http://schemas.openxmlformats.org/officeDocument/2006/relationships/hyperlink" Target="https://www.sec.gov/Archives/edgar/data/0000056047/000095017024049254/kex-ex3_2.htm" TargetMode="External"/><Relationship Id="rId5" Type="http://schemas.openxmlformats.org/officeDocument/2006/relationships/hyperlink" Target="https://www.sec.gov/Archives/edgar/data/56047/000114036115008395/ex3_1.htm" TargetMode="External"/><Relationship Id="rId6" Type="http://schemas.openxmlformats.org/officeDocument/2006/relationships/hyperlink" Target="https://www.sec.gov/Archives/edgar/data/56047/000095017022020426/kex-ex3_1.htm" TargetMode="External"/><Relationship Id="rId7" Type="http://schemas.openxmlformats.org/officeDocument/2006/relationships/hyperlink" Target="https://www.sec.gov/Archives/edgar/data/0000056047/000095017024049254/kex-ex3_2.htm" TargetMode="External"/><Relationship Id="rId8" Type="http://schemas.openxmlformats.org/officeDocument/2006/relationships/hyperlink" Target="https://www.sec.gov/Archives/edgar/data/56047/000119312526131714/kex-ex10_1.htm" TargetMode="External"/><Relationship Id="rId9" Type="http://schemas.openxmlformats.org/officeDocument/2006/relationships/hyperlink" Target="https://www.sec.gov/Archives/edgar/data/56047/000119312526196337/kex-ex10_1.htm" TargetMode="External"/><Relationship Id="rId10" Type="http://schemas.openxmlformats.org/officeDocument/2006/relationships/hyperlink" Target="https://www.sec.gov/Archives/edgar/data/56047/000119312526196337/kex-ex10_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14713</Words>
  <Characters>81483</Characters>
  <CharactersWithSpaces>97601</CharactersWithSpaces>
  <Paragraphs>5314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