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4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60" w:type="dxa"/>
            <w:vAlign w:val="bottom"/>
          </w:tcPr>
          <w:p>
            <w:pPr>
              <w:spacing w:after="0"/>
              <w:rPr>
                <w:sz w:val="23"/>
                <w:szCs w:val="23"/>
                <w:color w:val="auto"/>
              </w:rPr>
            </w:pPr>
          </w:p>
        </w:tc>
      </w:t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3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20"/>
              <w:spacing w:after="0"/>
              <w:rPr>
                <w:sz w:val="20"/>
                <w:szCs w:val="20"/>
                <w:color w:val="auto"/>
              </w:rPr>
            </w:pPr>
            <w:r>
              <w:rPr>
                <w:rFonts w:ascii="Wingdings" w:cs="Wingdings" w:eastAsia="Wingdings" w:hAnsi="Wingdings"/>
                <w:sz w:val="18"/>
                <w:szCs w:val="18"/>
                <w:b w:val="1"/>
                <w:bCs w:val="1"/>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2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2025, 54.2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4"/>
          </w:tcPr>
          <w:p>
            <w:pPr>
              <w:jc w:val="center"/>
              <w:ind w:right="891"/>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20" w:type="dxa"/>
            <w:vAlign w:val="bottom"/>
          </w:tcPr>
          <w:p>
            <w:pPr>
              <w:spacing w:after="0"/>
              <w:rPr>
                <w:sz w:val="12"/>
                <w:szCs w:val="12"/>
                <w:color w:val="auto"/>
              </w:rPr>
            </w:pPr>
          </w:p>
        </w:tc>
      </w:tr>
      <w:tr>
        <w:trPr>
          <w:trHeight w:val="216"/>
        </w:trPr>
        <w:tc>
          <w:tcPr>
            <w:tcW w:w="804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47,025</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74,444</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524,072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489,857</w:t>
            </w:r>
          </w:p>
        </w:tc>
      </w:tr>
      <w:tr>
        <w:trPr>
          <w:trHeight w:val="216"/>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95,895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46,888</w:t>
            </w:r>
          </w:p>
        </w:tc>
      </w:tr>
      <w:tr>
        <w:trPr>
          <w:trHeight w:val="216"/>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Inventories –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423,976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20" w:type="dxa"/>
            <w:vAlign w:val="bottom"/>
          </w:tcPr>
          <w:p>
            <w:pPr>
              <w:spacing w:after="0"/>
              <w:rPr>
                <w:sz w:val="18"/>
                <w:szCs w:val="18"/>
                <w:color w:val="auto"/>
              </w:rPr>
            </w:pPr>
          </w:p>
        </w:tc>
      </w:tr>
      <w:tr>
        <w:trPr>
          <w:trHeight w:val="209"/>
        </w:trPr>
        <w:tc>
          <w:tcPr>
            <w:tcW w:w="8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1,159,831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1,068,559</w:t>
            </w:r>
          </w:p>
        </w:tc>
      </w:tr>
      <w:tr>
        <w:trPr>
          <w:trHeight w:val="88"/>
        </w:trPr>
        <w:tc>
          <w:tcPr>
            <w:tcW w:w="804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6,360,383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6,123,208</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(2,238,318)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(2,100,242)</w:t>
            </w:r>
          </w:p>
        </w:tc>
      </w:tr>
      <w:tr>
        <w:trPr>
          <w:trHeight w:val="209"/>
        </w:trPr>
        <w:tc>
          <w:tcPr>
            <w:tcW w:w="80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4,122,065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88"/>
        </w:trPr>
        <w:tc>
          <w:tcPr>
            <w:tcW w:w="8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181,407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158,990</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438,748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30,956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34,406</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120" w:type="dxa"/>
            <w:vAlign w:val="bottom"/>
          </w:tcPr>
          <w:p>
            <w:pPr>
              <w:spacing w:after="0"/>
              <w:rPr>
                <w:sz w:val="18"/>
                <w:szCs w:val="18"/>
                <w:color w:val="auto"/>
              </w:rPr>
            </w:pPr>
          </w:p>
        </w:tc>
      </w:tr>
      <w:tr>
        <w:trPr>
          <w:trHeight w:val="249"/>
        </w:trPr>
        <w:tc>
          <w:tcPr>
            <w:tcW w:w="8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6,063,559</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75"/>
        </w:trPr>
        <w:tc>
          <w:tcPr>
            <w:tcW w:w="8040" w:type="dxa"/>
            <w:vAlign w:val="bottom"/>
            <w:tcBorders>
              <w:top w:val="single" w:sz="8" w:color="CFF0FC"/>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6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r>
      <w:tr>
        <w:trPr>
          <w:trHeight w:val="216"/>
        </w:trPr>
        <w:tc>
          <w:tcPr>
            <w:tcW w:w="804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7,283</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8,226</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25,417</w:t>
            </w:r>
          </w:p>
        </w:tc>
      </w:tr>
      <w:tr>
        <w:trPr>
          <w:trHeight w:val="216"/>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222,688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251,354</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219,581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236,813</w:t>
            </w:r>
          </w:p>
        </w:tc>
      </w:tr>
      <w:tr>
        <w:trPr>
          <w:trHeight w:val="216"/>
        </w:trPr>
        <w:tc>
          <w:tcPr>
            <w:tcW w:w="8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44,322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35,727</w:t>
            </w: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8"/>
                <w:szCs w:val="18"/>
                <w:color w:val="auto"/>
              </w:rPr>
            </w:pPr>
          </w:p>
        </w:tc>
      </w:tr>
      <w:tr>
        <w:trPr>
          <w:trHeight w:val="210"/>
        </w:trPr>
        <w:tc>
          <w:tcPr>
            <w:tcW w:w="8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683,770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734,753</w:t>
            </w:r>
          </w:p>
        </w:tc>
      </w:tr>
      <w:tr>
        <w:trPr>
          <w:trHeight w:val="88"/>
        </w:trPr>
        <w:tc>
          <w:tcPr>
            <w:tcW w:w="804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1,041,632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866,722</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805,006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739,472</w:t>
            </w: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159,261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148,170</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18"/>
                <w:szCs w:val="18"/>
                <w:color w:val="auto"/>
              </w:rPr>
            </w:pPr>
          </w:p>
        </w:tc>
      </w:tr>
      <w:tr>
        <w:trPr>
          <w:trHeight w:val="209"/>
        </w:trPr>
        <w:tc>
          <w:tcPr>
            <w:tcW w:w="8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2,016,548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1,763,951</w:t>
            </w:r>
          </w:p>
        </w:tc>
      </w:tr>
      <w:tr>
        <w:trPr>
          <w:trHeight w:val="88"/>
        </w:trPr>
        <w:tc>
          <w:tcPr>
            <w:tcW w:w="804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95"/>
        </w:trPr>
        <w:tc>
          <w:tcPr>
            <w:tcW w:w="8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870,520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868,763</w:t>
            </w:r>
          </w:p>
        </w:tc>
      </w:tr>
      <w:tr>
        <w:trPr>
          <w:trHeight w:val="216"/>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63,988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71,192</w:t>
            </w:r>
          </w:p>
        </w:tc>
      </w:tr>
      <w:tr>
        <w:trPr>
          <w:trHeight w:val="216"/>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3,241,131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2,978,372</w:t>
            </w:r>
          </w:p>
        </w:tc>
      </w:tr>
      <w:tr>
        <w:trPr>
          <w:trHeight w:val="216"/>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Treasury stock – at cost, 10.7 million shares at September 30, 2025 and 8.2 million at December 31, 2024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(821,007)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(573,061)</w:t>
            </w:r>
          </w:p>
        </w:tc>
      </w:tr>
      <w:tr>
        <w:trPr>
          <w:trHeight w:val="210"/>
        </w:trPr>
        <w:tc>
          <w:tcPr>
            <w:tcW w:w="80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3,361,179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3,351,813</w:t>
            </w:r>
          </w:p>
        </w:tc>
        <w:tc>
          <w:tcPr>
            <w:tcW w:w="120" w:type="dxa"/>
            <w:vAlign w:val="bottom"/>
            <w:tcBorders>
              <w:top w:val="single" w:sz="8" w:color="CFF0FC"/>
            </w:tcBorders>
          </w:tcPr>
          <w:p>
            <w:pPr>
              <w:spacing w:after="0"/>
              <w:rPr>
                <w:sz w:val="18"/>
                <w:szCs w:val="18"/>
                <w:color w:val="auto"/>
              </w:rPr>
            </w:pPr>
          </w:p>
        </w:tc>
      </w:tr>
      <w:tr>
        <w:trPr>
          <w:trHeight w:val="216"/>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3,363,241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120" w:type="dxa"/>
            <w:vAlign w:val="bottom"/>
          </w:tcPr>
          <w:p>
            <w:pPr>
              <w:spacing w:after="0"/>
              <w:rPr>
                <w:sz w:val="18"/>
                <w:szCs w:val="18"/>
                <w:color w:val="auto"/>
              </w:rPr>
            </w:pPr>
          </w:p>
        </w:tc>
      </w:tr>
      <w:tr>
        <w:trPr>
          <w:trHeight w:val="230"/>
        </w:trPr>
        <w:tc>
          <w:tcPr>
            <w:tcW w:w="8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6,063,559</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20"/>
        </w:trPr>
        <w:tc>
          <w:tcPr>
            <w:tcW w:w="8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-5168265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-5168265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-4679950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-4679950</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-3916680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-3899535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-3916680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-3899535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-2588260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-1824990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-599440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9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gridSpan w:val="6"/>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Marine transportation</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486,054</w:t>
            </w:r>
          </w:p>
        </w:tc>
        <w:tc>
          <w:tcPr>
            <w:tcW w:w="16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1,453,652</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1,446,274</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386,220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1,058,623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871,161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2,512,275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2,463,561</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580,491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1,657,004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254,708</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177,777</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(4,759)</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(2,206)</w:t>
            </w:r>
          </w:p>
        </w:tc>
      </w:tr>
      <w:tr>
        <w:trPr>
          <w:trHeight w:val="210"/>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741,942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704,219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2,145,664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2,114,610</w:t>
            </w:r>
          </w:p>
        </w:tc>
        <w:tc>
          <w:tcPr>
            <w:tcW w:w="120" w:type="dxa"/>
            <w:vAlign w:val="bottom"/>
            <w:tcBorders>
              <w:top w:val="single" w:sz="8" w:color="CFF0FC"/>
            </w:tcBorders>
          </w:tcPr>
          <w:p>
            <w:pPr>
              <w:spacing w:after="0"/>
              <w:rPr>
                <w:sz w:val="18"/>
                <w:szCs w:val="18"/>
                <w:color w:val="auto"/>
              </w:rPr>
            </w:pPr>
          </w:p>
        </w:tc>
      </w:tr>
      <w:tr>
        <w:trPr>
          <w:trHeight w:val="209"/>
        </w:trPr>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348,951</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(11,838)</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(35,105)</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(38,468)</w:t>
            </w:r>
          </w:p>
        </w:tc>
      </w:tr>
      <w:tr>
        <w:trPr>
          <w:trHeight w:val="210"/>
        </w:trPr>
        <w:tc>
          <w:tcPr>
            <w:tcW w:w="49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319,789</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(27,350)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(83,823)</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(75,861)</w:t>
            </w:r>
          </w:p>
        </w:tc>
      </w:tr>
      <w:tr>
        <w:trPr>
          <w:trHeight w:val="210"/>
        </w:trPr>
        <w:tc>
          <w:tcPr>
            <w:tcW w:w="49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243,928</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9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89,968</w:t>
            </w:r>
          </w:p>
        </w:tc>
        <w:tc>
          <w:tcPr>
            <w:tcW w:w="16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262,759</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243,890</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6"/>
        </w:trPr>
        <w:tc>
          <w:tcPr>
            <w:tcW w:w="49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7"/>
                <w:szCs w:val="17"/>
                <w:color w:val="auto"/>
              </w:rPr>
            </w:pPr>
          </w:p>
        </w:tc>
        <w:tc>
          <w:tcPr>
            <w:tcW w:w="3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-3702685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-3702685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-3702685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-3702685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-2588260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-2588260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-2588260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-1464945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-1464945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-1464945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12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4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3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243,928</w:t>
            </w:r>
          </w:p>
        </w:tc>
        <w:tc>
          <w:tcPr>
            <w:tcW w:w="120" w:type="dxa"/>
            <w:vAlign w:val="bottom"/>
            <w:shd w:val="clear" w:color="auto" w:fill="CFF0FC"/>
          </w:tcPr>
          <w:p>
            <w:pPr>
              <w:spacing w:after="0"/>
              <w:rPr>
                <w:sz w:val="18"/>
                <w:szCs w:val="18"/>
                <w:color w:val="auto"/>
              </w:rPr>
            </w:pPr>
          </w:p>
        </w:tc>
      </w:tr>
      <w:tr>
        <w:trPr>
          <w:trHeight w:val="209"/>
        </w:trPr>
        <w:tc>
          <w:tcPr>
            <w:tcW w:w="3440" w:type="dxa"/>
            <w:vAlign w:val="bottom"/>
            <w:tcBorders>
              <w:top w:val="single" w:sz="8" w:color="CFF0FC"/>
            </w:tcBorders>
          </w:tcPr>
          <w:p>
            <w:pPr>
              <w:spacing w:after="0"/>
              <w:rPr>
                <w:sz w:val="18"/>
                <w:szCs w:val="18"/>
                <w:color w:val="auto"/>
              </w:rPr>
            </w:pPr>
          </w:p>
        </w:tc>
        <w:tc>
          <w:tcPr>
            <w:tcW w:w="150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(1,732)</w:t>
            </w:r>
          </w:p>
        </w:tc>
        <w:tc>
          <w:tcPr>
            <w:tcW w:w="30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34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(7,204)</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r>
      <w:tr>
        <w:trPr>
          <w:trHeight w:val="210"/>
        </w:trPr>
        <w:tc>
          <w:tcPr>
            <w:tcW w:w="3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243,540</w:t>
            </w:r>
          </w:p>
        </w:tc>
        <w:tc>
          <w:tcPr>
            <w:tcW w:w="120" w:type="dxa"/>
            <w:vAlign w:val="bottom"/>
          </w:tcPr>
          <w:p>
            <w:pPr>
              <w:spacing w:after="0"/>
              <w:rPr>
                <w:sz w:val="18"/>
                <w:szCs w:val="18"/>
                <w:color w:val="auto"/>
              </w:rPr>
            </w:pPr>
          </w:p>
        </w:tc>
      </w:tr>
      <w:tr>
        <w:trPr>
          <w:trHeight w:val="216"/>
        </w:trPr>
        <w:tc>
          <w:tcPr>
            <w:tcW w:w="5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3440" w:type="dxa"/>
            <w:vAlign w:val="bottom"/>
            <w:tcBorders>
              <w:top w:val="single" w:sz="8" w:color="CFF0FC"/>
            </w:tcBorders>
          </w:tcPr>
          <w:p>
            <w:pPr>
              <w:spacing w:after="0"/>
              <w:rPr>
                <w:sz w:val="18"/>
                <w:szCs w:val="18"/>
                <w:color w:val="auto"/>
              </w:rPr>
            </w:pPr>
          </w:p>
        </w:tc>
        <w:tc>
          <w:tcPr>
            <w:tcW w:w="150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36"/>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Comprehensive income attributable to Kirby</w:t>
            </w:r>
          </w:p>
        </w:tc>
        <w:tc>
          <w:tcPr>
            <w:tcW w:w="23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90,872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89,462</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255,555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243,502</w:t>
            </w:r>
          </w:p>
        </w:tc>
        <w:tc>
          <w:tcPr>
            <w:tcW w:w="120" w:type="dxa"/>
            <w:vAlign w:val="bottom"/>
            <w:shd w:val="clear" w:color="auto" w:fill="CFF0FC"/>
          </w:tcPr>
          <w:p>
            <w:pPr>
              <w:spacing w:after="0"/>
              <w:rPr>
                <w:sz w:val="20"/>
                <w:szCs w:val="20"/>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4620" w:type="dxa"/>
            <w:vAlign w:val="bottom"/>
            <w:gridSpan w:val="7"/>
          </w:tcPr>
          <w:p>
            <w:pPr>
              <w:jc w:val="center"/>
              <w:ind w:right="188"/>
              <w:spacing w:after="0"/>
              <w:rPr>
                <w:sz w:val="20"/>
                <w:szCs w:val="20"/>
                <w:color w:val="auto"/>
              </w:rPr>
            </w:pPr>
            <w:r>
              <w:rPr>
                <w:rFonts w:ascii="Times New Roman" w:cs="Times New Roman" w:eastAsia="Times New Roman" w:hAnsi="Times New Roman"/>
                <w:sz w:val="18"/>
                <w:szCs w:val="18"/>
                <w:color w:val="auto"/>
                <w:w w:val="99"/>
              </w:rPr>
              <w:t>See accompanying notes to condensed financial statements.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3440" w:type="dxa"/>
            <w:vAlign w:val="bottom"/>
          </w:tcPr>
          <w:p>
            <w:pPr>
              <w:spacing w:after="0"/>
              <w:rPr>
                <w:sz w:val="24"/>
                <w:szCs w:val="24"/>
                <w:color w:val="auto"/>
              </w:rPr>
            </w:pPr>
          </w:p>
        </w:tc>
        <w:tc>
          <w:tcPr>
            <w:tcW w:w="232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color w:val="auto"/>
                <w:w w:val="88"/>
              </w:rPr>
              <w:t>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-1919605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-1919605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-1919605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-1353820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-1353820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-1353820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-1070610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-1070610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-1070610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-1053465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263,386</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243,928</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177,777</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38,698</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24,965</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 operating assets and liabilities, net</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(203,274)</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357,994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509,110</w:t>
            </w:r>
          </w:p>
        </w:tc>
        <w:tc>
          <w:tcPr>
            <w:tcW w:w="120" w:type="dxa"/>
            <w:vAlign w:val="bottom"/>
            <w:tcBorders>
              <w:top w:val="single" w:sz="8" w:color="CFF0FC"/>
            </w:tcBorders>
          </w:tcPr>
          <w:p>
            <w:pPr>
              <w:spacing w:after="0"/>
              <w:rPr>
                <w:sz w:val="18"/>
                <w:szCs w:val="18"/>
                <w:color w:val="auto"/>
              </w:rPr>
            </w:pPr>
          </w:p>
        </w:tc>
      </w:tr>
      <w:tr>
        <w:trPr>
          <w:trHeight w:val="209"/>
        </w:trPr>
        <w:tc>
          <w:tcPr>
            <w:tcW w:w="7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(217,440)</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(245,990)</w:t>
            </w: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(106,450)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(65,232)</w:t>
            </w: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(298,556)</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(297,390)</w:t>
            </w:r>
          </w:p>
        </w:tc>
      </w:tr>
      <w:tr>
        <w:trPr>
          <w:trHeight w:val="210"/>
        </w:trPr>
        <w:tc>
          <w:tcPr>
            <w:tcW w:w="762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(payments) on bank credit facilities,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(38,893)</w:t>
            </w: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(5,977)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(5,356)</w:t>
            </w: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(252,638)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(141,272)</w:t>
            </w: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76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(86,857)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(177,224)</w:t>
            </w:r>
          </w:p>
        </w:tc>
      </w:tr>
      <w:tr>
        <w:trPr>
          <w:trHeight w:val="20"/>
        </w:trPr>
        <w:tc>
          <w:tcPr>
            <w:tcW w:w="7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(27,419)</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34,496</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5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47,025</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42,787</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Income taxes paid, net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80,966</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50,811</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-4199890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-4199890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-3077210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-3077210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-1971040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-1405255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June 30, 2025</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3,148,6</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(699,86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3,389,89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867,143</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(119,96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(119,965)</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3,241,1</w:t>
            </w:r>
          </w:p>
        </w:tc>
        <w:tc>
          <w:tcPr>
            <w:tcW w:w="2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(10,73</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(821,00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3,363,24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870,520</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(55,806)</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(55,806)</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89,968</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September 30, 2024</w:t>
            </w: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2,935,5</w:t>
            </w:r>
          </w:p>
        </w:tc>
        <w:tc>
          <w:tcPr>
            <w:tcW w:w="2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(540,36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3,303,61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865,973</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2,978,3</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(573,06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3,353,24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868,763</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71,192</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(252,63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(252,638)</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(2,403)</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(7,204)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262,759</w:t>
            </w:r>
          </w:p>
        </w:tc>
        <w:tc>
          <w:tcPr>
            <w:tcW w:w="22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6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3,241,1</w:t>
            </w:r>
          </w:p>
        </w:tc>
        <w:tc>
          <w:tcPr>
            <w:tcW w:w="220" w:type="dxa"/>
            <w:vAlign w:val="bottom"/>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(821,00</w:t>
            </w: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3,363,24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42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870,520</w:t>
            </w:r>
          </w:p>
        </w:tc>
        <w:tc>
          <w:tcPr>
            <w:tcW w:w="160" w:type="dxa"/>
            <w:vAlign w:val="bottom"/>
            <w:shd w:val="clear" w:color="auto" w:fill="CFF0FC"/>
          </w:tcPr>
          <w:p>
            <w:pPr>
              <w:spacing w:after="0"/>
              <w:rPr>
                <w:sz w:val="23"/>
                <w:szCs w:val="2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10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4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4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2,691,6</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(411,75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3,186,67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(6,843)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Treasury stock purchases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(141,272)</w:t>
            </w: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Excise taxes on treasury stock</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243,890</w:t>
            </w:r>
          </w:p>
        </w:tc>
        <w:tc>
          <w:tcPr>
            <w:tcW w:w="22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September 30, 2024</w:t>
            </w:r>
          </w:p>
        </w:tc>
        <w:tc>
          <w:tcPr>
            <w:tcW w:w="6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2,935,5</w:t>
            </w:r>
          </w:p>
        </w:tc>
        <w:tc>
          <w:tcPr>
            <w:tcW w:w="220" w:type="dxa"/>
            <w:vAlign w:val="bottom"/>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(540,36</w:t>
            </w: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3,303,61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4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865,973</w:t>
            </w:r>
          </w:p>
        </w:tc>
        <w:tc>
          <w:tcPr>
            <w:tcW w:w="16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10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(7,944)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-2914015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-2896870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-2914015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-2896870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-2914015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-2896870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-2914015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-2896870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-2914015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-2896870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-2914015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-2896870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-2914015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-2896870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-2914015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-2896870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-25400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-25400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2024. Certain reclassifications have been made to reflect the current presentation of financial information.</w:t>
      </w:r>
    </w:p>
    <w:p>
      <w:pPr>
        <w:spacing w:after="0" w:line="156"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7, 2025, the Company purchased two inland tank barges and one towboat from an undisclosed seller for $9.2 million in cash.</w:t>
      </w:r>
    </w:p>
    <w:p>
      <w:pPr>
        <w:spacing w:after="0" w:line="15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9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1"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Inland transportation</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392,617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1,168,969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1,170,459</w:t>
            </w:r>
          </w:p>
        </w:tc>
        <w:tc>
          <w:tcPr>
            <w:tcW w:w="120" w:type="dxa"/>
            <w:vAlign w:val="bottom"/>
          </w:tcPr>
          <w:p>
            <w:pPr>
              <w:spacing w:after="0"/>
              <w:rPr>
                <w:sz w:val="18"/>
                <w:szCs w:val="18"/>
                <w:color w:val="auto"/>
              </w:rPr>
            </w:pPr>
          </w:p>
        </w:tc>
      </w:tr>
      <w:tr>
        <w:trPr>
          <w:trHeight w:val="216"/>
        </w:trPr>
        <w:tc>
          <w:tcPr>
            <w:tcW w:w="3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Coastal transportation</w:t>
            </w: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105,612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284,683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7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486,054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1,453,652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1,446,274</w:t>
            </w:r>
          </w:p>
        </w:tc>
        <w:tc>
          <w:tcPr>
            <w:tcW w:w="12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501,913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470,567</w:t>
            </w:r>
          </w:p>
        </w:tc>
        <w:tc>
          <w:tcPr>
            <w:tcW w:w="120" w:type="dxa"/>
            <w:vAlign w:val="bottom"/>
          </w:tcPr>
          <w:p>
            <w:pPr>
              <w:spacing w:after="0"/>
              <w:rPr>
                <w:sz w:val="18"/>
                <w:szCs w:val="18"/>
                <w:color w:val="auto"/>
              </w:rPr>
            </w:pPr>
          </w:p>
        </w:tc>
      </w:tr>
      <w:tr>
        <w:trPr>
          <w:trHeight w:val="216"/>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Power generation</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173,916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419,157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355,025</w:t>
            </w:r>
          </w:p>
        </w:tc>
        <w:tc>
          <w:tcPr>
            <w:tcW w:w="120" w:type="dxa"/>
            <w:vAlign w:val="bottom"/>
            <w:shd w:val="clear" w:color="auto" w:fill="CFF0FC"/>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and gas</w:t>
            </w: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191,695</w:t>
            </w:r>
          </w:p>
        </w:tc>
        <w:tc>
          <w:tcPr>
            <w:tcW w:w="120" w:type="dxa"/>
            <w:vAlign w:val="bottom"/>
          </w:tcPr>
          <w:p>
            <w:pPr>
              <w:spacing w:after="0"/>
              <w:rPr>
                <w:sz w:val="18"/>
                <w:szCs w:val="18"/>
                <w:color w:val="auto"/>
              </w:rPr>
            </w:pPr>
          </w:p>
        </w:tc>
      </w:tr>
      <w:tr>
        <w:trPr>
          <w:trHeight w:val="230"/>
        </w:trPr>
        <w:tc>
          <w:tcPr>
            <w:tcW w:w="37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386,220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1,058,623</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1,017,287</w:t>
            </w:r>
          </w:p>
        </w:tc>
        <w:tc>
          <w:tcPr>
            <w:tcW w:w="120" w:type="dxa"/>
            <w:vAlign w:val="bottom"/>
            <w:shd w:val="clear" w:color="auto" w:fill="CFF0FC"/>
          </w:tcPr>
          <w:p>
            <w:pPr>
              <w:spacing w:after="0"/>
              <w:rPr>
                <w:sz w:val="19"/>
                <w:szCs w:val="19"/>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-890905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-890905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-890905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or at a point in time as the related performance obligation is satisfied. Revenues recognized during the nine months ended September 30, 2025 and 2024 that were included in the opening contract liability balances were $112.8 million and $101.8 million, respectively. The Company presents all contract liabilities within the deferred revenues financial statement caption on the balance sheets. The Company did not have any contract assets as of September 30, 2025 or December 31, 2024.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3" w:lineRule="exact"/>
        <w:rPr>
          <w:sz w:val="20"/>
          <w:szCs w:val="20"/>
          <w:color w:val="auto"/>
        </w:rPr>
      </w:pPr>
    </w:p>
    <w:p>
      <w:pPr>
        <w:jc w:val="both"/>
        <w:ind w:firstLine="56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55"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by the Company’s chief operating decision maker (“CODM”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its Chief Executive Officer, based on fundamental differences in their operations. The Company’s accounting policies for the business segments are the same as those described in Note 1, Summary of Significant Accounting Policies of the Notes to Consolidated Financial Statements in the Company’s 2024 Annual Report on Form 10-K.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invested capital of each segment. Intersegment revenues, based on market-based pricing, of KDS from KMT of $5.6 million and $28.1 million for the three months and nine months ended September 30, 2025, respectively, and $5.0 million and $19.1 million for the three months and nine months ended September 30, 2024, respectively, as well as the related intersegment profit of $0.6 million and $2.8 million for the three months and nine months ended September 30, 2025, respectively, and $0.5 million and $1.9 million for the three months and nine months ended September 30, 2024, respectively, have been eliminated from the tables below.</w:t>
      </w:r>
    </w:p>
    <w:p>
      <w:pPr>
        <w:spacing w:after="0" w:line="14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revenues, depreciation and amortization, and income or loss by reportable segment and total assets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55"/>
        </w:trPr>
        <w:tc>
          <w:tcPr>
            <w:tcW w:w="32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484,941</w:t>
            </w:r>
          </w:p>
        </w:tc>
        <w:tc>
          <w:tcPr>
            <w:tcW w:w="52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386,220</w:t>
            </w:r>
          </w:p>
        </w:tc>
        <w:tc>
          <w:tcPr>
            <w:tcW w:w="50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871,161</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486,054</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345,095</w:t>
            </w:r>
          </w:p>
        </w:tc>
        <w:tc>
          <w:tcPr>
            <w:tcW w:w="46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831,149</w:t>
            </w:r>
          </w:p>
        </w:tc>
        <w:tc>
          <w:tcPr>
            <w:tcW w:w="100" w:type="dxa"/>
            <w:vAlign w:val="bottom"/>
            <w:shd w:val="clear" w:color="auto" w:fill="CFF0FC"/>
          </w:tcPr>
          <w:p>
            <w:pPr>
              <w:spacing w:after="0"/>
              <w:rPr>
                <w:sz w:val="13"/>
                <w:szCs w:val="13"/>
                <w:color w:val="auto"/>
              </w:rPr>
            </w:pPr>
          </w:p>
        </w:tc>
      </w:tr>
      <w:tr>
        <w:trPr>
          <w:trHeight w:val="162"/>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 of sales and operating expenses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280,049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296,114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551,949</w:t>
            </w: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Administrative payroll expense</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19,141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18,502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40,236</w:t>
            </w: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w:t>
            </w:r>
          </w:p>
        </w:tc>
        <w:tc>
          <w:tcPr>
            <w:tcW w:w="100" w:type="dxa"/>
            <w:vAlign w:val="bottom"/>
          </w:tcPr>
          <w:p>
            <w:pPr>
              <w:spacing w:after="0"/>
              <w:rPr>
                <w:sz w:val="14"/>
                <w:szCs w:val="1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54,100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49,876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58,797</w:t>
            </w:r>
          </w:p>
        </w:tc>
        <w:tc>
          <w:tcPr>
            <w:tcW w:w="100" w:type="dxa"/>
            <w:vAlign w:val="bottom"/>
            <w:shd w:val="clear" w:color="auto" w:fill="CFF0FC"/>
          </w:tcPr>
          <w:p>
            <w:pPr>
              <w:spacing w:after="0"/>
              <w:rPr>
                <w:sz w:val="14"/>
                <w:szCs w:val="14"/>
                <w:color w:val="auto"/>
              </w:rPr>
            </w:pPr>
          </w:p>
        </w:tc>
      </w:tr>
      <w:tr>
        <w:trPr>
          <w:trHeight w:val="148"/>
        </w:trPr>
        <w:tc>
          <w:tcPr>
            <w:tcW w:w="3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segment items (a)</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15,844</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15,562</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41,375</w:t>
            </w:r>
          </w:p>
        </w:tc>
        <w:tc>
          <w:tcPr>
            <w:tcW w:w="100" w:type="dxa"/>
            <w:vAlign w:val="bottom"/>
          </w:tcPr>
          <w:p>
            <w:pPr>
              <w:spacing w:after="0"/>
              <w:rPr>
                <w:sz w:val="12"/>
                <w:szCs w:val="12"/>
                <w:color w:val="auto"/>
              </w:rPr>
            </w:pPr>
          </w:p>
        </w:tc>
      </w:tr>
      <w:tr>
        <w:trPr>
          <w:trHeight w:val="156"/>
        </w:trPr>
        <w:tc>
          <w:tcPr>
            <w:tcW w:w="32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88,569</w:t>
            </w:r>
          </w:p>
        </w:tc>
        <w:tc>
          <w:tcPr>
            <w:tcW w:w="52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42,669</w:t>
            </w:r>
          </w:p>
        </w:tc>
        <w:tc>
          <w:tcPr>
            <w:tcW w:w="50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131,238</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99,476</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30,378</w:t>
            </w:r>
          </w:p>
        </w:tc>
        <w:tc>
          <w:tcPr>
            <w:tcW w:w="46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129,854</w:t>
            </w:r>
          </w:p>
        </w:tc>
        <w:tc>
          <w:tcPr>
            <w:tcW w:w="100" w:type="dxa"/>
            <w:vAlign w:val="bottom"/>
            <w:shd w:val="clear" w:color="auto" w:fill="CFF0FC"/>
          </w:tcPr>
          <w:p>
            <w:pPr>
              <w:spacing w:after="0"/>
              <w:rPr>
                <w:sz w:val="13"/>
                <w:szCs w:val="13"/>
                <w:color w:val="auto"/>
              </w:rPr>
            </w:pPr>
          </w:p>
        </w:tc>
      </w:tr>
      <w:tr>
        <w:trPr>
          <w:trHeight w:val="32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segment operating income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Unallocated amounts:</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corporate expenses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(4,541)</w:t>
            </w:r>
          </w:p>
        </w:tc>
      </w:tr>
      <w:tr>
        <w:trPr>
          <w:trHeight w:val="148"/>
        </w:trPr>
        <w:tc>
          <w:tcPr>
            <w:tcW w:w="32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5"/>
        </w:trPr>
        <w:tc>
          <w:tcPr>
            <w:tcW w:w="32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129,219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126,930</w:t>
            </w:r>
          </w:p>
        </w:tc>
        <w:tc>
          <w:tcPr>
            <w:tcW w:w="100" w:type="dxa"/>
            <w:vAlign w:val="bottom"/>
          </w:tcPr>
          <w:p>
            <w:pPr>
              <w:spacing w:after="0"/>
              <w:rPr>
                <w:sz w:val="13"/>
                <w:szCs w:val="13"/>
                <w:color w:val="auto"/>
              </w:rPr>
            </w:pPr>
          </w:p>
        </w:tc>
      </w:tr>
      <w:tr>
        <w:trPr>
          <w:trHeight w:val="162"/>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shd w:val="clear" w:color="auto" w:fill="CFF0FC"/>
          </w:tcPr>
          <w:p>
            <w:pPr>
              <w:spacing w:after="0"/>
              <w:rPr>
                <w:sz w:val="14"/>
                <w:szCs w:val="14"/>
                <w:color w:val="auto"/>
              </w:rPr>
            </w:pPr>
          </w:p>
        </w:tc>
      </w:tr>
      <w:tr>
        <w:trPr>
          <w:trHeight w:val="148"/>
        </w:trPr>
        <w:tc>
          <w:tcPr>
            <w:tcW w:w="3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(12,498)</w:t>
            </w:r>
          </w:p>
        </w:tc>
      </w:tr>
      <w:tr>
        <w:trPr>
          <w:trHeight w:val="182"/>
        </w:trPr>
        <w:tc>
          <w:tcPr>
            <w:tcW w:w="32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 before taxes on income</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122,938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117,381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-2094865</wp:posOffset>
            </wp:positionV>
            <wp:extent cx="93980"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-2094865</wp:posOffset>
            </wp:positionV>
            <wp:extent cx="93980"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55"/>
        </w:trPr>
        <w:tc>
          <w:tcPr>
            <w:tcW w:w="29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5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1,453,652</w:t>
            </w:r>
          </w:p>
        </w:tc>
        <w:tc>
          <w:tcPr>
            <w:tcW w:w="52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1,058,623</w:t>
            </w:r>
          </w:p>
        </w:tc>
        <w:tc>
          <w:tcPr>
            <w:tcW w:w="36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2,512,275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1,446,274</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1,017,287</w:t>
            </w:r>
          </w:p>
        </w:tc>
        <w:tc>
          <w:tcPr>
            <w:tcW w:w="4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2,463,561</w:t>
            </w:r>
          </w:p>
        </w:tc>
        <w:tc>
          <w:tcPr>
            <w:tcW w:w="100" w:type="dxa"/>
            <w:vAlign w:val="bottom"/>
            <w:shd w:val="clear" w:color="auto" w:fill="CFF0FC"/>
          </w:tcPr>
          <w:p>
            <w:pPr>
              <w:spacing w:after="0"/>
              <w:rPr>
                <w:sz w:val="13"/>
                <w:szCs w:val="13"/>
                <w:color w:val="auto"/>
              </w:rPr>
            </w:pPr>
          </w:p>
        </w:tc>
      </w:tr>
      <w:tr>
        <w:trPr>
          <w:trHeight w:val="162"/>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 of sales and operating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889,797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1,656,405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897,351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758,980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1,656,331</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Administrative payroll expense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58,749</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71,759</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130,508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66,841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124,619</w:t>
            </w: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27,246</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158,954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31,950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190,904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146,772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172,122</w:t>
            </w:r>
          </w:p>
        </w:tc>
        <w:tc>
          <w:tcPr>
            <w:tcW w:w="100" w:type="dxa"/>
            <w:vAlign w:val="bottom"/>
            <w:shd w:val="clear" w:color="auto" w:fill="CFF0FC"/>
          </w:tcPr>
          <w:p>
            <w:pPr>
              <w:spacing w:after="0"/>
              <w:rPr>
                <w:sz w:val="14"/>
                <w:szCs w:val="14"/>
                <w:color w:val="auto"/>
              </w:rPr>
            </w:pPr>
          </w:p>
        </w:tc>
      </w:tr>
      <w:tr>
        <w:trPr>
          <w:trHeight w:val="148"/>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segment items (a)</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50,105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80,395</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130,500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78,146</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124,080</w:t>
            </w:r>
          </w:p>
        </w:tc>
        <w:tc>
          <w:tcPr>
            <w:tcW w:w="100" w:type="dxa"/>
            <w:vAlign w:val="bottom"/>
          </w:tcPr>
          <w:p>
            <w:pPr>
              <w:spacing w:after="0"/>
              <w:rPr>
                <w:sz w:val="12"/>
                <w:szCs w:val="12"/>
                <w:color w:val="auto"/>
              </w:rPr>
            </w:pPr>
          </w:p>
        </w:tc>
      </w:tr>
      <w:tr>
        <w:trPr>
          <w:trHeight w:val="155"/>
        </w:trPr>
        <w:tc>
          <w:tcPr>
            <w:tcW w:w="290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5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274,205</w:t>
            </w:r>
          </w:p>
        </w:tc>
        <w:tc>
          <w:tcPr>
            <w:tcW w:w="52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100,695</w:t>
            </w:r>
          </w:p>
        </w:tc>
        <w:tc>
          <w:tcPr>
            <w:tcW w:w="36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374,900</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277,335</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81,828</w:t>
            </w:r>
          </w:p>
        </w:tc>
        <w:tc>
          <w:tcPr>
            <w:tcW w:w="4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359,163</w:t>
            </w:r>
          </w:p>
        </w:tc>
        <w:tc>
          <w:tcPr>
            <w:tcW w:w="100" w:type="dxa"/>
            <w:vAlign w:val="bottom"/>
            <w:shd w:val="clear" w:color="auto" w:fill="CFF0FC"/>
          </w:tcPr>
          <w:p>
            <w:pPr>
              <w:spacing w:after="0"/>
              <w:rPr>
                <w:sz w:val="13"/>
                <w:szCs w:val="13"/>
                <w:color w:val="auto"/>
              </w:rPr>
            </w:pP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segment operating income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Unallocated amounts: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corporate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(13,048)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(12,418)</w:t>
            </w:r>
          </w:p>
        </w:tc>
      </w:tr>
      <w:tr>
        <w:trPr>
          <w:trHeight w:val="148"/>
        </w:trPr>
        <w:tc>
          <w:tcPr>
            <w:tcW w:w="290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6"/>
        </w:trPr>
        <w:tc>
          <w:tcPr>
            <w:tcW w:w="29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366,611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348,951</w:t>
            </w:r>
          </w:p>
        </w:tc>
        <w:tc>
          <w:tcPr>
            <w:tcW w:w="100" w:type="dxa"/>
            <w:vAlign w:val="bottom"/>
          </w:tcPr>
          <w:p>
            <w:pPr>
              <w:spacing w:after="0"/>
              <w:rPr>
                <w:sz w:val="13"/>
                <w:szCs w:val="13"/>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9,306</w:t>
            </w:r>
          </w:p>
        </w:tc>
        <w:tc>
          <w:tcPr>
            <w:tcW w:w="100" w:type="dxa"/>
            <w:vAlign w:val="bottom"/>
            <w:shd w:val="clear" w:color="auto" w:fill="CFF0FC"/>
          </w:tcPr>
          <w:p>
            <w:pPr>
              <w:spacing w:after="0"/>
              <w:rPr>
                <w:sz w:val="14"/>
                <w:szCs w:val="14"/>
                <w:color w:val="auto"/>
              </w:rPr>
            </w:pPr>
          </w:p>
        </w:tc>
      </w:tr>
      <w:tr>
        <w:trPr>
          <w:trHeight w:val="148"/>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(35,105)</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(38,468)</w:t>
            </w:r>
          </w:p>
        </w:tc>
      </w:tr>
      <w:tr>
        <w:trPr>
          <w:trHeight w:val="182"/>
        </w:trPr>
        <w:tc>
          <w:tcPr>
            <w:tcW w:w="290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 before taxes on income</w:t>
            </w:r>
          </w:p>
        </w:tc>
        <w:tc>
          <w:tcPr>
            <w:tcW w:w="3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347,209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319,789</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-2094865</wp:posOffset>
            </wp:positionV>
            <wp:extent cx="102235" cy="136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-2094865</wp:posOffset>
            </wp:positionV>
            <wp:extent cx="93980" cy="136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KMT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selling expense, professional service expense, occupancy expense, and certain overhead expenses.</w:t>
      </w:r>
    </w:p>
    <w:p>
      <w:pPr>
        <w:ind w:left="1500"/>
        <w:spacing w:after="0"/>
        <w:rPr>
          <w:sz w:val="20"/>
          <w:szCs w:val="20"/>
          <w:color w:val="auto"/>
        </w:rPr>
      </w:pPr>
      <w:r>
        <w:rPr>
          <w:rFonts w:ascii="Times New Roman" w:cs="Times New Roman" w:eastAsia="Times New Roman" w:hAnsi="Times New Roman"/>
          <w:sz w:val="14"/>
          <w:szCs w:val="14"/>
          <w:color w:val="auto"/>
        </w:rPr>
        <w:t xml:space="preserve">KDS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inventory-related expense, warranty expense, selling expense, professional service expense, occupancy expense, and certain overhead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4,707,146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4,578,616</w:t>
            </w:r>
          </w:p>
        </w:tc>
      </w:tr>
      <w:tr>
        <w:trPr>
          <w:trHeight w:val="216"/>
        </w:trPr>
        <w:tc>
          <w:tcPr>
            <w:tcW w:w="7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1,182,524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1,115,781</w:t>
            </w: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120" w:type="dxa"/>
            <w:vAlign w:val="bottom"/>
          </w:tcPr>
          <w:p>
            <w:pPr>
              <w:spacing w:after="0"/>
              <w:rPr>
                <w:sz w:val="18"/>
                <w:szCs w:val="18"/>
                <w:color w:val="auto"/>
              </w:rPr>
            </w:pPr>
          </w:p>
        </w:tc>
      </w:tr>
      <w:tr>
        <w:trPr>
          <w:trHeight w:val="250"/>
        </w:trPr>
        <w:tc>
          <w:tcPr>
            <w:tcW w:w="7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6,063,559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372"/>
        </w:trPr>
        <w:tc>
          <w:tcPr>
            <w:tcW w:w="7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10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40"/>
        </w:trPr>
        <w:tc>
          <w:tcPr>
            <w:tcW w:w="7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171,050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154,655</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1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8"/>
                <w:szCs w:val="18"/>
                <w:color w:val="auto"/>
              </w:rPr>
            </w:pPr>
          </w:p>
        </w:tc>
      </w:tr>
      <w:tr>
        <w:trPr>
          <w:trHeight w:val="230"/>
        </w:trPr>
        <w:tc>
          <w:tcPr>
            <w:tcW w:w="7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173,889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157,555</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-1036320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500,140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491,923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52,956</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218,241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212,650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878,226</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835,755</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1,048,915</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1,025,038</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874,948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835,755</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-454025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-454025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-454025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ind w:left="940" w:hanging="370"/>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5.3% at September 30, 2025 and 5.6% at December 31, 2024.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0" w:name="page11"/>
    <w:bookmarkEnd w:id="10"/>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$325.0 million as of September 30, 2025.</w:t>
      </w:r>
    </w:p>
    <w:p>
      <w:pPr>
        <w:spacing w:after="0" w:line="16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w:t>
      </w:r>
    </w:p>
    <w:p>
      <w:pPr>
        <w:spacing w:after="0" w:line="13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has a $15 million line of credit (“Credit Line”) with Bank of America, N.A. (“Bank of America”) for short-term liquidity needs and letters of credit, with a maturity date of June 30, 2026. Outstanding letters of credit under the Credit Line were $6.8 million and available borrowing capacity was $8.2 million as of September 30, 2025.</w:t>
      </w:r>
    </w:p>
    <w:p>
      <w:pPr>
        <w:spacing w:after="0" w:line="172"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42,202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50,935</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38,115</w:t>
            </w: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40,984</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30,263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30,062</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22,860</w:t>
            </w: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15,709</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12,483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94,925</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76,621</w:t>
            </w:r>
          </w:p>
        </w:tc>
      </w:tr>
      <w:tr>
        <w:trPr>
          <w:trHeight w:val="20"/>
        </w:trPr>
        <w:tc>
          <w:tcPr>
            <w:tcW w:w="4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09"/>
        </w:trPr>
        <w:tc>
          <w:tcPr>
            <w:tcW w:w="4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245,816</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222,544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(38,647)</w:t>
            </w:r>
          </w:p>
        </w:tc>
      </w:tr>
      <w:tr>
        <w:trPr>
          <w:trHeight w:val="20"/>
        </w:trPr>
        <w:tc>
          <w:tcPr>
            <w:tcW w:w="4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49"/>
        </w:trPr>
        <w:tc>
          <w:tcPr>
            <w:tcW w:w="49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203,583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183,897</w:t>
            </w:r>
          </w:p>
        </w:tc>
      </w:tr>
      <w:tr>
        <w:trPr>
          <w:trHeight w:val="386"/>
        </w:trPr>
        <w:tc>
          <w:tcPr>
            <w:tcW w:w="4940" w:type="dxa"/>
            <w:vAlign w:val="bottom"/>
            <w:tcBorders>
              <w:top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84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97"/>
        </w:trPr>
        <w:tc>
          <w:tcPr>
            <w:tcW w:w="4940" w:type="dxa"/>
            <w:vAlign w:val="bottom"/>
          </w:tcPr>
          <w:p>
            <w:pPr>
              <w:spacing w:after="0"/>
              <w:rPr>
                <w:sz w:val="24"/>
                <w:szCs w:val="24"/>
                <w:color w:val="auto"/>
              </w:rPr>
            </w:pPr>
          </w:p>
        </w:tc>
        <w:tc>
          <w:tcPr>
            <w:tcW w:w="32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4"/>
                <w:szCs w:val="24"/>
                <w:color w:val="auto"/>
              </w:rPr>
            </w:pPr>
          </w:p>
        </w:tc>
        <w:tc>
          <w:tcPr>
            <w:tcW w:w="29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9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13,093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37,036</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r>
      <w:tr>
        <w:trPr>
          <w:trHeight w:val="216"/>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10,098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31,786</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(2,520)</w:t>
            </w:r>
          </w:p>
        </w:tc>
      </w:tr>
      <w:tr>
        <w:trPr>
          <w:trHeight w:val="20"/>
        </w:trPr>
        <w:tc>
          <w:tcPr>
            <w:tcW w:w="4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94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22,310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65,746</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120" w:type="dxa"/>
            <w:vAlign w:val="bottom"/>
            <w:tcBorders>
              <w:left w:val="single" w:sz="8" w:color="CFF0FC"/>
            </w:tcBorders>
            <w:shd w:val="clear" w:color="auto" w:fill="CFF0FC"/>
          </w:tcPr>
          <w:p>
            <w:pPr>
              <w:spacing w:after="0"/>
              <w:rPr>
                <w:sz w:val="19"/>
                <w:szCs w:val="19"/>
                <w:color w:val="auto"/>
              </w:rPr>
            </w:pPr>
          </w:p>
        </w:tc>
      </w:tr>
      <w:tr>
        <w:trPr>
          <w:trHeight w:val="20"/>
        </w:trPr>
        <w:tc>
          <w:tcPr>
            <w:tcW w:w="49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372"/>
        </w:trPr>
        <w:tc>
          <w:tcPr>
            <w:tcW w:w="818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2"/>
        </w:trPr>
        <w:tc>
          <w:tcPr>
            <w:tcW w:w="4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3"/>
                <w:szCs w:val="2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years</w:t>
            </w:r>
          </w:p>
        </w:tc>
      </w:tr>
      <w:tr>
        <w:trPr>
          <w:trHeight w:val="562"/>
        </w:trPr>
        <w:tc>
          <w:tcPr>
            <w:tcW w:w="4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-2982595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-1704975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-1687830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-1704975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-1687830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-1704975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-1687830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60" w:type="dxa"/>
            <w:vAlign w:val="bottom"/>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26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20" w:type="dxa"/>
            <w:vAlign w:val="bottom"/>
            <w:shd w:val="clear" w:color="auto" w:fill="CFF0FC"/>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131,190 restricted stock units (“RSUs”) to selected officers and other key employees under the employee stock award plan that vest ratably over five years. During May 2025, the Company granted 15,384 shares of restricted stock to nonemployee directors of the Company under the director stock plan which vest six months after the date of grant.</w:t>
      </w:r>
    </w:p>
    <w:p>
      <w:pPr>
        <w:spacing w:after="0" w:line="145"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117,520</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347,634</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320,265</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39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122,938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117,381</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347,209</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319,789</w:t>
            </w:r>
          </w:p>
        </w:tc>
        <w:tc>
          <w:tcPr>
            <w:tcW w:w="12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Provision (benefit) for taxes on income:</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(28,579)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35,825</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and local:</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 current</w:t>
            </w: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r>
      <w:tr>
        <w:trPr>
          <w:trHeight w:val="230"/>
        </w:trPr>
        <w:tc>
          <w:tcPr>
            <w:tcW w:w="39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75,861</w:t>
            </w:r>
          </w:p>
        </w:tc>
        <w:tc>
          <w:tcPr>
            <w:tcW w:w="120" w:type="dxa"/>
            <w:vAlign w:val="bottom"/>
            <w:shd w:val="clear" w:color="auto" w:fill="CFF0FC"/>
          </w:tcPr>
          <w:p>
            <w:pPr>
              <w:spacing w:after="0"/>
              <w:rPr>
                <w:sz w:val="19"/>
                <w:szCs w:val="19"/>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-1439545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-1439545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-1439545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legislation included several significant U.S. income tax provisions that will help reduce the Company’s U.S. federal cash tax payments for the remainder of 2025 and future years. These provisions include 100% bonus tax depreciation and domestic research and development cost expensing. The Company incorporated these provisions effective during the quarter, and they had no material impact on the operational results for the three and nine months ended September 30, 2025. At September 30, 2025, the Company had a federal income tax receivable of $39.7 million included in Accounts receivable – other on the balance sheet.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243,890</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92,470</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262,719</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243,854</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89,945</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262,719</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243,855</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55,626</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58,129</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4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46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shd w:val="clear" w:color="auto" w:fill="CFF0FC"/>
          </w:tcPr>
          <w:p>
            <w:pPr>
              <w:jc w:val="right"/>
              <w:ind w:right="6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FF0FC"/>
          </w:tcPr>
          <w:p>
            <w:pPr>
              <w:spacing w:after="0"/>
              <w:rPr>
                <w:sz w:val="18"/>
                <w:szCs w:val="18"/>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-1910715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-1910715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-1910715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-744855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-744855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-744855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antidilutive stock options as of September 30, 2025 and 2024. There were no antidilutive RSUs as of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340,415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328,540</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65,358</w:t>
            </w:r>
          </w:p>
        </w:tc>
        <w:tc>
          <w:tcPr>
            <w:tcW w:w="120" w:type="dxa"/>
            <w:vAlign w:val="bottom"/>
          </w:tcPr>
          <w:p>
            <w:pPr>
              <w:spacing w:after="0"/>
              <w:rPr>
                <w:sz w:val="18"/>
                <w:szCs w:val="18"/>
                <w:color w:val="auto"/>
              </w:rPr>
            </w:pPr>
          </w:p>
        </w:tc>
      </w:tr>
      <w:tr>
        <w:trPr>
          <w:trHeight w:val="250"/>
        </w:trPr>
        <w:tc>
          <w:tcPr>
            <w:tcW w:w="420" w:type="dxa"/>
            <w:vAlign w:val="bottom"/>
            <w:shd w:val="clear" w:color="auto" w:fill="CFF0FC"/>
          </w:tcPr>
          <w:p>
            <w:pPr>
              <w:spacing w:after="0"/>
              <w:rPr>
                <w:sz w:val="21"/>
                <w:szCs w:val="21"/>
                <w:color w:val="auto"/>
              </w:rPr>
            </w:pPr>
          </w:p>
        </w:tc>
        <w:tc>
          <w:tcPr>
            <w:tcW w:w="66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423,976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413"/>
        </w:trPr>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1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-281940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$1.0 million to the Higman pension plan during the nine months ended September 30, 2025. The Company expects to make additional contributions of $0.2 million during the remainder of 2025.</w:t>
      </w:r>
    </w:p>
    <w:p>
      <w:pPr>
        <w:spacing w:after="0" w:line="156"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center"/>
              <w:ind w:left="617"/>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ind w:left="737"/>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(6,811)</w:t>
            </w:r>
          </w:p>
        </w:tc>
        <w:tc>
          <w:tcPr>
            <w:tcW w:w="4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center"/>
              <w:ind w:left="617"/>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ind w:left="737"/>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13,642</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12,884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(20,432)</w:t>
            </w:r>
          </w:p>
        </w:tc>
        <w:tc>
          <w:tcPr>
            <w:tcW w:w="4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(6,751)</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-1576705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-1576705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-1576705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5"/>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62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Borders>
              <w:bottom w:val="single" w:sz="8" w:color="auto"/>
            </w:tcBorders>
            <w:gridSpan w:val="5"/>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9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r>
      <w:tr>
        <w:trPr>
          <w:trHeight w:val="216"/>
        </w:trPr>
        <w:tc>
          <w:tcPr>
            <w:tcW w:w="49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49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40" w:type="dxa"/>
            <w:vAlign w:val="bottom"/>
          </w:tcPr>
          <w:p>
            <w:pPr>
              <w:jc w:val="right"/>
              <w:ind w:right="81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4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changes in other comprehensive loss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2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33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-1036320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-1036320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-1036320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-1036320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-1036320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gains (losses)</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(9,811)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(7,204)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11, Retirement Plans)</w:t>
      </w:r>
    </w:p>
    <w:p>
      <w:pPr>
        <w:spacing w:after="0" w:line="19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8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4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3"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$30.5 million at September 30, 2025, including $11.6 million in letters of credit and $18.9 million in performance bonds. All of these instruments have an expiration date within approximately two years. The Company does not believe demand for payment under these instruments is likely and expects no material cash outlays to occur regarding these instruments.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5" w:name="page16"/>
    <w:bookmarkEnd w:id="1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18"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871,161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831,149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2,512,275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2,463,561</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243,890</w:t>
            </w:r>
          </w:p>
        </w:tc>
        <w:tc>
          <w:tcPr>
            <w:tcW w:w="120" w:type="dxa"/>
            <w:vAlign w:val="bottom"/>
          </w:tcPr>
          <w:p>
            <w:pPr>
              <w:spacing w:after="0"/>
              <w:rPr>
                <w:sz w:val="18"/>
                <w:szCs w:val="18"/>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FF0FC"/>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357,994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509,110</w:t>
            </w: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245,990</w:t>
            </w:r>
          </w:p>
        </w:tc>
        <w:tc>
          <w:tcPr>
            <w:tcW w:w="12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2025 first nine months decreased in comparison to the 2024 first nine months primarily due to unfavorable working capital changes driven by the timing of accounts receivable collections, accounts payable payments and federal income tax payments, as well as an increase in inventories in the first nine months of 2025, partially offset by increased net earnings. The increase in inventories was due to the impact of higher business activity levels and supply delays in KDS resulting in the buildup of inventory for projects, mainly due to power generation orders, which are scheduled to be delivered later in 2025 and into 2026. For the 2025 first nine months, capital expenditures of $217.4 million included $186.5 million in KMT and $30.9 million in KDS and corporate, each more fully described under Cash Flow and Capital Expenditures below.</w:t>
      </w:r>
    </w:p>
    <w:p>
      <w:pPr>
        <w:spacing w:after="0" w:line="14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projects that capital expenditures for 2025 will be in the $260 million to $290 million range. Approximately $180 million to $210 million is associated with marine maintenance capital and improvements to existing inland and coastal marine equipment, and facility improvements. Up to approximately $80 million is associated with growth capital spending in both segments.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Company’s debt-to-capitalization ratio increased to 23.8% at September 30, 2025 compared to 20.7% at December 31, 2024, primarily due to an increase in debt outstanding. Total equity at September 30, 2025 increased as compared to December 31, 2024 primarily from net earnings attributable to Kirby of $262.8 million, partially offset by treasury stock purchases of $252.6 million. The Company’s debt outstanding as of September 30, 2025 and December 31, 2024 is detailed in Long-Term Financing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For the 2025 third quarter and first nine months, KMT generated 56% and 58%, respectively, of the Company’s revenues compared to 58% and 59% for the 2024 third quarter and first nine months, respectively.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19"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tank barges: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40" w:type="dxa"/>
            <w:vAlign w:val="bottom"/>
            <w:gridSpan w:val="2"/>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14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24.2</w:t>
            </w:r>
          </w:p>
        </w:tc>
      </w:tr>
      <w:tr>
        <w:trPr>
          <w:trHeight w:val="216"/>
        </w:trPr>
        <w:tc>
          <w:tcPr>
            <w:tcW w:w="8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9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8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50"/>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197"/>
        </w:trPr>
        <w:tc>
          <w:tcPr>
            <w:tcW w:w="818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-3028315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-3028315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-2171065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-2171065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-1305560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-1288415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-448310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-431165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spacing w:after="0" w:line="153"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During the 2025 first nine months, the Company purchased 16 inland tank barges, brought back into service three inland tank barges, and retired eight inland tank barges, increasing its capacity by approximately 0.3 million barrels.</w:t>
      </w:r>
    </w:p>
    <w:p>
      <w:pPr>
        <w:spacing w:after="0" w:line="1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KMT revenues for both the 2025 third quarter and first nine months were flat, and operating income decreased 11% and 1%, respectively, compared to the 2024 third quarter and first nine months. Revenues for the 2025 first nine months were up 1% compared to the 2024 first nine months as higher spot and term pricing in the inland market over the 2025 first six months and higher term pricing in the coastal market for the 2025 first nine months were offset by lower fuel rebills in both inland and coastal markets. Revenues for the 2025 third quarter were flat as compared to the 2024 third quarter as lower barge utilization and moderating spot market pricing seen in the 2025 third quarter in the inland market were offset by higher term pricing in the coastal market. The decrease in operating income for the 2025 third quarter and first nine months was primarily due to lower barge utilization and moderating spot market prices in the third quarter in the inland market, partially offset by higher term pricing in the coastal market. The 2025 and 2024 first quarters were impacted by poor operating conditions including seasonal wind and fog along the Gulf Coast and various lock closures. For the 2025 third quarter and first nine months, the inland tank barge fleet contributed 78% and 80%, respectively, and the coastal fleet contributed 22% and 20% of KMT revenues, respectively. For both the 2024 third quarter and first nine months, the inland tank barge fleet contributed 81% and the coastal fleet contributed 19% of KMT revenues.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2025 and 2024 first and second quarters, the mid-80% range during the 2025 third quarter, and the 90% range during the 2024 third quarter. The 2025 third quarter experienced seasonally favorable weather and improved navigational conditions. In addition, the 2025 third quarter was also impacted by a lighter feedstock mix for refinery and chemical customers and fewer barges undergoing maintenance across the industry. The 2025 and 2024 first quarters were impacted by high winds and heavy fog along the Gulf Coast and lock delays. The 2024 second and third quarters were modestly impacted by weather and lock closures. Coastal tank barge utilization levels averaged in the mid to high 90% range during the 2025 and 2024 first, second, and third quarters.</w:t>
      </w:r>
    </w:p>
    <w:p>
      <w:pPr>
        <w:spacing w:after="0" w:line="160"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2025 third quarter and first nine months, approximately 70% of KMT inland revenues were under term contracts and 30% were spot contract revenues. During both the 2024 third quarter and first nine months, approximately 65% of KMT inland revenues were under term contracts and 35% were spot contract revenues. Inland time charters during the 2025 third quarter and first nine months represented approximately 57% and 59%, respectively, of inland revenues under term contracts compared with 62% and 61% in the 2024 third quarter and first nine months, respectively. During both the 2025 third quarter and first nine months, approximately 100% of KMT coastal revenues were under term contracts and none were under spot contracts. During the 2024 third quarter and first nine months, approximately 99% and 98%, respectively, of KMT coastal revenues were under term contracts and 1% and 2%, respectively, were under spot contracts. Coastal time charters represented approximately 100% of coastal revenues under term contracts during both the 2025 third quarter and first nine months compared to 99% and 98% during the 2024 third quarter and first nine months, respectively. Term contracts have contract terms of 12 months or longer, while spot contracts have contract terms of less than 12 months.</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4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increase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4%</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 2%</w:t>
            </w: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Spot increase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 (4)%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Term increase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r>
    </w:tbl>
    <w:p>
      <w:pPr>
        <w:spacing w:after="0" w:line="157" w:lineRule="exact"/>
        <w:rPr>
          <w:sz w:val="20"/>
          <w:szCs w:val="20"/>
          <w:color w:val="auto"/>
        </w:rPr>
      </w:pPr>
    </w:p>
    <w:p>
      <w:pPr>
        <w:ind w:left="940" w:hanging="370"/>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is contingent on various factors including geographic location, vessel capacity, vessel type, and product serviced.</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KMT operating margin was 18.3% and 18.9% for the 2025 third quarter and first nine months, respectively, compared to 20.5% and 19.2% for the 2024 third quarter and first nine months,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 through KDS,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For the 2025 third quarter and first nine months, KDS generated 44% and 42% of the Company’s revenues, respectively, of which 79% and 84%, respectively, were generated from service and parts and 21% and 16%, respectively, from manufacturing. The results of KDS are largely influenced by the economic cycles of the oil and gas, marine, power generation, on-highway, and other related industrial markets.</w:t>
      </w:r>
    </w:p>
    <w:p>
      <w:pPr>
        <w:spacing w:after="0" w:line="13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revenues for the 2025 third quarter and first nine months increased 12% and 4%, respectively, compared with the 2024 third quarter and first nine months. KDS operating income for the 2025 third quarter and first nine months increased 40% and 23%, respectively, compared with the 2024 third quarter and first nine months. In the commercial and industrial market, revenues and operating income increased compared to the 2024 third quarter and first nine months due to higher business levels in marine repair. For the 2025 third quarter and first nine months, the commercial and industrial market contributed 44% and 47% of KDS revenues, respectively.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the power generation market, revenues and operating income increased compared to the 2024 third quarter and first nine months due to increased demand for backup and critical power applications. For the 2025 third quarter and first nine months, the power generation market contributed 45% and 40% of KDS revenues, respectively.</w:t>
      </w:r>
    </w:p>
    <w:p>
      <w:pPr>
        <w:spacing w:after="0" w:line="14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the oil and gas market, revenues decreased compared to the 2024 third quarter and first nine months, impacted by lower levels of conventional oilfield activity which resulted in decreased demand for new transmissions and parts, partially offset by deliveries of electric fracturing equipment. Operating income in the oil and gas market increased compared to the 2024 third quarter and first nine months due to product mix and ongoing cost management initiatives. For the 2025 third quarter and first nine months, the oil and gas market contributed 11% and 13% of KDS revenues, respectively.</w:t>
      </w:r>
    </w:p>
    <w:p>
      <w:pPr>
        <w:spacing w:after="0" w:line="13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KDS operating margin was 11.0% and 9.5% for the 2025 third quarter and first nine months, respectively, compared to 8.8% and 8.0% for the 2024 third quarter and first nine months,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2025. In KMT, the Company expects barge utilization rates in the 2025 fourth quarter to improve over the 2025 third quarter. The coastal marine market conditions remain very favorable. In KDS, growth in the power generation market is expected to offset softness in oil and gas markets, and the on-highway service and repair business continues to modestly improve despite the ongoing trucking recession. The Company remains mindful of the ever-changing economic landscape related to the possible impact of high interest rates, tariffs and possible recessionary headwinds as it moves through the 2025 fourth quarter and into 2026.</w:t>
      </w:r>
    </w:p>
    <w:p>
      <w:pPr>
        <w:spacing w:after="0" w:line="183"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 the inland marine transportation market for the remainder of 2025, the Company continues to see inflationary pressures persisting which continue to drive up operating costs. These continuing cost pressures, along with limited new barge construction and the increasing cost of equipment, should continue to put upward pressure on prices over the long-term. In the near term, however, term and spot market pricing could face headwinds if short-term market softness experienced in the 2025 third quarter re-emerges. In the coastal marine transportation market in 2025, market conditions remain very favorable with steady customer demand. This is expected to keep barge utilization at high levels with improved rates as the availability of equipment is limited across the industry given there are currently no new ATBs under construction.</w:t>
      </w:r>
    </w:p>
    <w:p>
      <w:pPr>
        <w:spacing w:after="0" w:line="18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expects improved results in KDS in 2025 driven by increased orders in the power generation market, partially offset by near-term volatility from supply issues, customers deferring maintenance, and lower overall levels of activity in the oil and gas market. In commercial and industrial, the demand outlook in marine repair remains steady while on-highway service and repair remains soft but has shown some recent modest improvement. In power generation, the Company anticipates continued strong growth in orders as data center demand and the need for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products to continue in the 2025 fourth quarter and into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7, 2025, the Company purchased two inland tank barges and one towboat from an undisclosed seller for $9.2 million in cash.</w:t>
      </w:r>
    </w:p>
    <w:p>
      <w:pPr>
        <w:spacing w:after="0" w:line="15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9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Financing of these purchases was through borrowings under the Company’s 2027 Revolving Credit Facility and cash provided by operating activities.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gridSpan w:val="2"/>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Marine</w:t>
            </w:r>
          </w:p>
        </w:tc>
        <w:tc>
          <w:tcPr>
            <w:tcW w:w="2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484,941</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486,054</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1,453,652</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1,446,274</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 and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386,220</w:t>
            </w:r>
          </w:p>
        </w:tc>
        <w:tc>
          <w:tcPr>
            <w:tcW w:w="220" w:type="dxa"/>
            <w:vAlign w:val="bottom"/>
            <w:vMerge w:val="restart"/>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22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1,058,623</w:t>
            </w:r>
          </w:p>
        </w:tc>
        <w:tc>
          <w:tcPr>
            <w:tcW w:w="20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1,017,287</w:t>
            </w:r>
          </w:p>
        </w:tc>
        <w:tc>
          <w:tcPr>
            <w:tcW w:w="22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871,161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831,149</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2,512,275</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2,463,561</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1117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-8255</wp:posOffset>
            </wp:positionV>
            <wp:extent cx="1117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111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1111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6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484,941</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486,054</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1,453,652</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1,446,274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9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r>
      <w:tr>
        <w:trPr>
          <w:trHeight w:val="216"/>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r>
      <w:tr>
        <w:trPr>
          <w:trHeight w:val="216"/>
        </w:trPr>
        <w:tc>
          <w:tcPr>
            <w:tcW w:w="2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158,954</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146,772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386,578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1,179,447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99,476</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277,335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2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-1310640</wp:posOffset>
            </wp:positionV>
            <wp:extent cx="1117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-1310640</wp:posOffset>
            </wp:positionV>
            <wp:extent cx="1117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-1310640</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-1310640</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-479425</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-479425</wp:posOffset>
            </wp:positionV>
            <wp:extent cx="1117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-479425</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-479425</wp:posOffset>
            </wp:positionV>
            <wp:extent cx="111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-187960</wp:posOffset>
            </wp:positionV>
            <wp:extent cx="1117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-170815</wp:posOffset>
            </wp:positionV>
            <wp:extent cx="1117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-187960</wp:posOffset>
            </wp:positionV>
            <wp:extent cx="1117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111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1111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1111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0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Third Quarter</w:t>
            </w:r>
          </w:p>
        </w:tc>
        <w:tc>
          <w:tcPr>
            <w:tcW w:w="1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Nine Months</w:t>
            </w: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60" w:type="dxa"/>
            <w:vAlign w:val="bottom"/>
          </w:tcPr>
          <w:p>
            <w:pPr>
              <w:spacing w:after="0"/>
              <w:rPr>
                <w:sz w:val="12"/>
                <w:szCs w:val="12"/>
                <w:color w:val="auto"/>
              </w:rPr>
            </w:pPr>
          </w:p>
        </w:tc>
        <w:tc>
          <w:tcPr>
            <w:tcW w:w="22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5"/>
                <w:szCs w:val="15"/>
                <w:color w:val="auto"/>
              </w:rPr>
            </w:pPr>
          </w:p>
        </w:tc>
        <w:tc>
          <w:tcPr>
            <w:tcW w:w="3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Petrochemicals</w:t>
            </w:r>
          </w:p>
        </w:tc>
        <w:tc>
          <w:tcPr>
            <w:tcW w:w="1560" w:type="dxa"/>
            <w:vAlign w:val="bottom"/>
            <w:gridSpan w:val="2"/>
            <w:shd w:val="clear" w:color="auto" w:fill="CFF0FC"/>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3740" w:type="dxa"/>
            <w:vAlign w:val="bottom"/>
            <w:gridSpan w:val="2"/>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242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Consumer non-durables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70%, Consumer durables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Propylene</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56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154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3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 Vacuum</w:t>
            </w:r>
          </w:p>
        </w:tc>
        <w:tc>
          <w:tcPr>
            <w:tcW w:w="24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Fuel for Power Plants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Gas Oil, Asphalt, Carbon Black Feedstock,</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Ships, Feedstock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Natural Gas Condensate, Ship</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Refineries, Road Construction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Bunkers</w:t>
            </w: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Refined Petroleum</w:t>
            </w:r>
          </w:p>
        </w:tc>
        <w:tc>
          <w:tcPr>
            <w:tcW w:w="1560" w:type="dxa"/>
            <w:vAlign w:val="bottom"/>
            <w:gridSpan w:val="2"/>
            <w:shd w:val="clear" w:color="auto" w:fill="CFF0FC"/>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154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374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242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Vehicle Usage, Air Travel,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Fuel, Ethanol</w:t>
            </w: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Weather Conditions, Refinery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Utilization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56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15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37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Anhydrous Ammonia, Nitrogen – Based Liquid</w:t>
            </w:r>
          </w:p>
        </w:tc>
        <w:tc>
          <w:tcPr>
            <w:tcW w:w="24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Production, Chemical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Feedstock Usage</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KMT revenues for both the 2025 third quarter and first nine months were flat, and operating income decreased 11% and 1%, respectively, compared to the 2024 third quarter and first nine months. Revenues for the 2025 first nine months were up 1% compared to the 2024 first nine months as higher spot and term pricing in the inland market over the 2025 first six months and higher term pricing in the coastal market for the 2025 first nine months were offset by lower fuel rebills in both inland and coastal markets. Revenues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the 2025 third quarter were flat as compared to the 2024 third quarter as lower barge utilization and moderating spot market pricing seen in the 2025 third quarter in the inland market were offset by higher term pricing in the coastal market. The decrease in operating income for the 2025 third quarter and first nine months was primarily due to lower barge utilization and moderating spot market prices in the third quarter in the inland market, partially offset by higher term pricing in the coastal market. The 2025 and 2024 first quarters were impacted by poor operating conditions including seasonal wind and fog along the Gulf Coast and various lock closures. For the 2025 third quarter and first nine months, the inland tank barge fleet contributed 78% and 80%, respectively, and the coastal fleet contributed 22% and 20% of KMT revenues, respectively. For both the 2024 third quarter and first nine months, the inland tank barge fleet contributed 81% and the coastal fleet contributed 19% of KMT revenues.</w:t>
      </w:r>
    </w:p>
    <w:p>
      <w:pPr>
        <w:spacing w:after="0" w:line="162"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2025 and 2024 first and second quarters, the mid-80% range during the 2025 third quarter, and the 90% range during the 2024 third quarter. The 2025 third quarter experienced seasonally favorable weather and improved navigational conditions. In addition, the 2025 third quarter was also impacted by a lighter feedstock mix for refinery and chemical customers and fewer barges undergoing maintenance across the industry. The 2025 and 2024 first quarters were impacted by high winds and heavy fog along the Gulf Coast and lock delays. The 2024 second and third quarters were modestly impacted by weather and lock closures. Coastal tank barge utilization levels averaged in the mid to high 90% range during the 2025 and 2024 first, second, and third quarters.</w:t>
      </w:r>
    </w:p>
    <w:p>
      <w:pPr>
        <w:spacing w:after="0" w:line="14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48% and 49% of KMT revenues for the 2025 third quarter and first nine months, respectively, reflecting steady rates, volumes and utilization from Gulf Coast petrochemical plants as compared to the 2024 third quarter and first nine months.</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25% and 26% of KMT revenues for the 2025 third quarter and first nine months, respectively, reflected stable demand as refinery utilization and production levels of refined petroleum products and fuel oils increased. During the 2025 first nine months,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spacing w:after="0" w:line="156"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24% and 22% of KMT revenues for the 2025 third quarter and first nine months, respectively, reflected stable volumes in the inland market with steady refinery utilization and product levels as compared to the 2024 third quarter and first nine months.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both the 2025 third quarter and first nine months reflected stable demand for transportation of both domestically produced and imported products as compared to the 2024 third quarter and first nine months.</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2025 third quarter, inland operations incurred 1,442 delay days, 30% fewer than the 2,061 delay days that occurred during the 2024 third quarter. For the 2025 first nine months, inland operations incurred 8,791 delay days, 1% fewer than the 8,902 delay days that occurred during the 2024 first nine months. Delay days measure the lost time incurred by a tow (towboat and one or more tank barges) during transit when the tow is stopped due to weather, lock conditions, or other navigational factors. Delay days reflected very favorable seasonal weather and improved navigational conditions in the 2025 third quarter, and poor operating conditions due to heavy wind and fog along the Gulf Coast and lock delays during the 2025 and 2024 first quarters.</w:t>
      </w:r>
    </w:p>
    <w:p>
      <w:pPr>
        <w:spacing w:after="0" w:line="15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2025 third quarter and first nine months, approximately 70% of KMT inland revenues were under term contracts and 30% were spot contract revenues. During both the 2024 third quarter and first nine months, approximately 65% of KMT inland revenues were under term contracts and 35% were spot contract revenues. Inland time charters during the 2025 third quarter and first nine months represented approximately 57% and 59%, respectively, of inland revenues under term contracts compared with 62% and 61% in the 2024 third quarter and first nine months, respectively. During both the 2025 third quarter and first nine months, approximately 100% of KMT coastal revenues were under term contracts and none were under spot contracts. During the 2024 third quarter and first nine months, approximately 99% and 98%, respectively, of KMT coastal revenues were under term contracts and 1% and 2%, respectively, were under spot contracts. Coastal time charters represented approximately 100% of coastal revenues under term contracts during both the 2025 third quarter and first nine months compared to 99% and 98% during the 2024 third quarter and first nine months, respectively. Term contracts have contract terms of 12 months or longer, while spot contracts have contract terms of less than 12 months.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4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increase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4%</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 2%</w:t>
            </w: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Spot increase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 (4)%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Term increase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r>
    </w:tbl>
    <w:p>
      <w:pPr>
        <w:spacing w:after="0" w:line="171" w:lineRule="exact"/>
        <w:rPr>
          <w:sz w:val="20"/>
          <w:szCs w:val="20"/>
          <w:color w:val="auto"/>
        </w:rPr>
      </w:pPr>
    </w:p>
    <w:p>
      <w:pPr>
        <w:ind w:left="940" w:hanging="370"/>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contract pricing in the coastal market is contingent on various factors including geographic location, vessel capacity, vessel type, and product serviced.</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0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Costs and expenses for both the 2025 third quarter and first nine months increased 3% and 1%, respectively, compared to the 2024 third quarter and first nine months. Costs of sales and operating expenses for the 2025 third quarter and first nine months were flat compared with the 2024 third quarter and first nine months. The results for the 2025 third quarter and first nine months were driven by inflationary cost pressures including wage increases that went into effect on July 1, 2025. Fuel costs were slightly higher in the 2025 third quarter as compared to the 2024 third quarter but lower in the 2025 first nine months as compared to the 2024 first nine months.</w:t>
      </w:r>
    </w:p>
    <w:p>
      <w:pPr>
        <w:spacing w:after="0" w:line="143"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270 towboats during the 2025 third quarter, of which an average of 61 were chartered, compared to 287 during the 2024 third quarter, of which an average of 71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4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During the 2025 third quarter, inland operations consumed 12.5 million gallons of diesel fuel compared to 11.3 million gallons consumed during the 2024 third quarter. The average price per gallon of diesel fuel consumed during the 2025 third quarter was $2.46 per gallon compared with $2.65 per gallon for the 2024 third quarter. During the 2025 first nine months, inland operations consumed 37.0 million gallons of diesel fuel compared to 35.3 million gallons consumed during the 2024 first nine months. The average price per gallon of diesel fuel consumed during the 2025 first nine months was $2.46 per gallon compared with $2.77 per gallon for the 2024 first nine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6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2025 third quarter and first nine months increased 3% and 5%, respectively, compared to the 2024 third quarter and first nine months. The increase in selling, general and administrative expenses for the 2025 third quarter and first nine months as compared to the 2024 third quarter and first nine months was primarily due to continued inflationary cost pressures, including higher medical costs, and salary and wage increases that went into effect on July 1, 2025. The 2025 first nine months was also impacted by an increase in the provision for credit losses related to a certain customer during the 2025 first quarter.</w:t>
      </w:r>
    </w:p>
    <w:p>
      <w:pPr>
        <w:spacing w:after="0" w:line="143"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both the 2025 third quarter and first nine months increased 8% compared to the 2024 third quarter and first nine months. The increase was primarily due to capital additions during 2024 and the first nine months of 2025, as well as equipment acquisitions.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20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KMT operating income for the 2025 third quarter and first nine months decreased 11% and 1% compared with the 2024 third quarter and first nine months, respectively. The 2025 third quarter operating margin was 18.3% compared with 20.5% for the 2024 third quarter. The 2025 first nine months operating margin was 18.9% compared with 19.2% for the 2024 first nine months. The decrease in operating income and operating margin were primarily due to lower barge utilization and moderating spot market prices in the inland market in the 2025 third quarter, partially offset by higher term pricing in the coastal market.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 Change</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386,220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12%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1,058,623</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280,049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255,835</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31,950</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343,551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314,717</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40%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100,695</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2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-1311275</wp:posOffset>
            </wp:positionV>
            <wp:extent cx="111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-1311275</wp:posOffset>
            </wp:positionV>
            <wp:extent cx="111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-1311275</wp:posOffset>
            </wp:positionV>
            <wp:extent cx="111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-1311275</wp:posOffset>
            </wp:positionV>
            <wp:extent cx="1117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-479425</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-479425</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-479425</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-479425</wp:posOffset>
            </wp:positionV>
            <wp:extent cx="1117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-187960</wp:posOffset>
            </wp:positionV>
            <wp:extent cx="111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-170815</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-187960</wp:posOffset>
            </wp:positionV>
            <wp:extent cx="111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1111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111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1117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1117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Third Quarter</w:t>
            </w:r>
          </w:p>
        </w:tc>
        <w:tc>
          <w:tcPr>
            <w:tcW w:w="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Nine Months</w:t>
            </w:r>
          </w:p>
        </w:tc>
        <w:tc>
          <w:tcPr>
            <w:tcW w:w="1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72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5"/>
                <w:szCs w:val="15"/>
                <w:color w:val="auto"/>
              </w:rPr>
            </w:pPr>
          </w:p>
        </w:tc>
        <w:tc>
          <w:tcPr>
            <w:tcW w:w="4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Commercial and Industrial</w:t>
            </w:r>
          </w:p>
        </w:tc>
        <w:tc>
          <w:tcPr>
            <w:tcW w:w="1680" w:type="dxa"/>
            <w:vAlign w:val="bottom"/>
            <w:gridSpan w:val="2"/>
            <w:shd w:val="clear" w:color="auto" w:fill="CFF0FC"/>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1680" w:type="dxa"/>
            <w:vAlign w:val="bottom"/>
            <w:gridSpan w:val="2"/>
            <w:shd w:val="clear" w:color="auto" w:fill="CFF0FC"/>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6"/>
              </w:rPr>
              <w:t>47%</w:t>
            </w:r>
          </w:p>
        </w:tc>
        <w:tc>
          <w:tcPr>
            <w:tcW w:w="488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Inland River Carriers — Dry and Liquid, Offshore Towing —</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Dry and Liquid, Offshore Oilfield Services — Drilling Rigs &amp;</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Supply Boats, Harbor Towing, Dredging, Great Lakes Ore</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Carriers, Pleasure Crafts, On and Off-Highway Transportation,</w:t>
            </w:r>
          </w:p>
        </w:tc>
        <w:tc>
          <w:tcPr>
            <w:tcW w:w="0" w:type="dxa"/>
            <w:vAlign w:val="bottom"/>
          </w:tcPr>
          <w:p>
            <w:pPr>
              <w:spacing w:after="0"/>
              <w:rPr>
                <w:sz w:val="1"/>
                <w:szCs w:val="1"/>
                <w:color w:val="auto"/>
              </w:rPr>
            </w:pPr>
          </w:p>
        </w:tc>
      </w:tr>
      <w:tr>
        <w:trPr>
          <w:trHeight w:val="234"/>
        </w:trPr>
        <w:tc>
          <w:tcPr>
            <w:tcW w:w="3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Pumping Stations, Mining</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Power Generation</w:t>
            </w:r>
          </w:p>
        </w:tc>
        <w:tc>
          <w:tcPr>
            <w:tcW w:w="168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6"/>
              </w:rPr>
              <w:t>40%</w:t>
            </w:r>
          </w:p>
        </w:tc>
        <w:tc>
          <w:tcPr>
            <w:tcW w:w="4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Power Generation &amp; Standby Power Generation Equipment,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Power Generation Rentals &amp; Related Service, Data Centers</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and Gas</w:t>
            </w:r>
          </w:p>
        </w:tc>
        <w:tc>
          <w:tcPr>
            <w:tcW w:w="16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13%</w:t>
            </w:r>
          </w:p>
        </w:tc>
        <w:tc>
          <w:tcPr>
            <w:tcW w:w="4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KDS revenues for the 2025 third quarter and first nine months increased 12% and 4%, respectively, compared with the 2024 third quarter and first nine months. KDS operating income for the 2025 third quarter and first nine months increased 40% and 23%, respectively, compared with the 2024 third quarter and first nine months.</w:t>
      </w:r>
    </w:p>
    <w:p>
      <w:pPr>
        <w:spacing w:after="0" w:line="135"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 the commercial and industrial market, revenues and operating income increased compared to the 2024 third quarter and first nine months due to higher business levels in marine repair. In the power generation market, revenues and operating income increased compared to the 2024 third quarter and first nine months due to increased demand for backup and critical power applications. In the oil and gas market, revenues decreased compared to the 2024 third quarter and first nine months, impacted by lower levels of conventional oilfield activity which resulted in decreased demand for new transmissions and parts, partially offset by deliveries of electric fracturing equipment. Operating income in the oil and gas market increased compared to the 2024 third quarter and first nine months due to product mix and ongoing cost management initiatives.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0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Costs and expenses for the 2025 third quarter and first nine months increased 9% and 2%, respectively, compared with the 2024 third quarter and first nine months. Costs of sales and operating expenses for the 2025 third quarter and first nine months increased 9% and 1%, respectively, compared with the 2024 third quarter and first nine months. The increase for the 2025 third quarter and first nine months reflected higher deliveries of power generation equipment, partially offset by lower on-highway and conventional oilfield activity.</w:t>
      </w:r>
    </w:p>
    <w:p>
      <w:pPr>
        <w:spacing w:after="0" w:line="13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2025 third quarter and first nine months increased 5% compared to the 2024 third quarter and first nine months, reflecting higher business activity levels, inflationary cost pressures, including higher medical costs, and salary and wage increases that went into effect July 1, 2025.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2025 third quarter and first nine months increased 23% and 26%, respectively, compared to the 2024 third quarter and first nine months. The increase was primarily due to capital additions during 2024 and the first nine months of 2025 including additions to the equipment rental fleet.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8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operating income for the 2025 third quarter and first nine months increased 40% and 23%, respectively, compared with the 2024 third quarter and first nine months. The 2025 third quarter operating margin was 11.0% compared to 8.8% for the 2024 third quarter. The 2025 first nine months operating margin was 9.5% compared to 8.0% for the 2024 first nine months. The results reflect increased demand in power generation from data centers and prime power customers and higher marine repair activity and deliveries of electric fracturing equipment, partially offset by lower conventional oilfield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0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$3.0 million and $1.6 million for the 2025 and 2024 third quarters, respectively. The Company reported a net gain on disposition of assets of $4.8 million and $2.2 million for the 2025 and 2024 first nine months, respectively. The net gains were primarily from sales of marine transportation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92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284 %</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(11,838)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(12,498)</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(35,105)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(38,468)</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Other income for the 2025 and 2024 third quarters includes income of $4.6 million and $2.6 million, respectively, and the 2025 and 2024 first nine months includes income of $13.7 million and $7.7 million, respectively, for all components of net benefit costs except the service cost component related to the Company’s defined benefit plans.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1,057,714</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1,034,089</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1,051,279</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1,053,875</w:t>
            </w:r>
          </w:p>
        </w:tc>
        <w:tc>
          <w:tcPr>
            <w:tcW w:w="180" w:type="dxa"/>
            <w:vAlign w:val="bottom"/>
            <w:shd w:val="clear" w:color="auto" w:fill="CFF0FC"/>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Interest expense for the 2025 third quarter and first nine months decreased 5% and 9%, respectively, compared with the 2024 third quarter and first nine months, primarily due to a lower average interest rate in the 2025 third quarter and first nine months. Interest expense excludes capitalized interest for the 2025 third quarter and first nine months of $0.3 million and $0.8 million, respectively. There was no capitalized interest excluded from interest expense during the 2024 first nine months.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1,159,831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1,068,559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4,122,065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4,022,966</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158,990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438,748</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 net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34,406</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130,552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6,063,559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683,770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734,753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1,041,632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866,722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805,006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739,472</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148,170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10,649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9,587</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1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6,063,559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-1439545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-1439545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Current assets as of September 30, 2025 increased 9% compared with December 31, 2024. Trade accounts receivable increased 7% primarily due to higher business activity levels in both KMT and KDS. Accounts receivable – other increased 105% due to a federal income tax receivable associated with the OBBBA. Inventories – net increased 8% primarily due to the impact of higher business activity levels and efforts to manage supply in KDS resulting in the buildup of inventory for mainly power generation projects that are scheduled to be delivered later in 2025 and into 2026.</w:t>
      </w:r>
    </w:p>
    <w:p>
      <w:pPr>
        <w:spacing w:after="0" w:line="153"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Property and equipment, net of accumulated depreciation, at September 30, 2025 increased 2% compared with December 31, 2024. The increase reflected $206.9 million of capital additions (net of a decrease in accrued capital expenditures of $10.6 million) and $106.5 million of equipment acquisitions in the 2025 first nine months, partially offset by $189.7 million of depreciation expense and $24.5 million of property disposals more fully described under Cash Flow and Capital Expenditures below.</w:t>
      </w:r>
    </w:p>
    <w:p>
      <w:pPr>
        <w:spacing w:after="0" w:line="13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as of September 30, 2025 increased 14% compared with December 31, 2024, primarily due to new leases acquired in the 2025 first nine months, partially offset by lease amortization expense.</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Other intangibles, net, as of September 30, 2025 decreased 10% compared with December 31, 2024, due to amortization during the 2025 first nine months partially offset by a $3.0 million intellectual property intangible asset acquired in the 2025 second quarter.</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Other assets as of September 30, 2025 increased 2% compared with December 31, 2024, primarily due to additional deferred major maintenance drydock expenditures incurred during the 2025 first nine months, partially offset by amortization of drydock expenditures.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Current liabilities as of September 30, 2025 decreased 7% compared with December 31, 2024. Income taxes payable decreased 98% primarily due to timing of federal income tax payments. Accrued liabilities decreased 7% primarily from payment during the 2025 first nine months of employee incentive compensation accrued during 2024.</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Long-term debt, net – less current portion, as of September 30, 2025 increased 20% compared with December 31, 2024, primarily reflecting increased borrowings under the 2027 Revolving Credit Facility.</w:t>
      </w:r>
    </w:p>
    <w:p>
      <w:pPr>
        <w:spacing w:after="0" w:line="13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Total equity as of September 30, 2025 was flat compared with December 31, 2024. Net earnings attributable to Kirby of $262.8 million, amortization of share-based compensation of $14.6 million, and stock option exercises of $0.3 million were partially offset by treasury stock purchases of $252.6 million and tax withholdings of $6.0 million on RSU vestings.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2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Pr>
          <w:p>
            <w:pPr>
              <w:spacing w:after="0"/>
              <w:rPr>
                <w:sz w:val="18"/>
                <w:szCs w:val="18"/>
                <w:color w:val="auto"/>
              </w:rPr>
            </w:pPr>
          </w:p>
        </w:tc>
      </w:tr>
      <w:tr>
        <w:trPr>
          <w:trHeight w:val="209"/>
        </w:trPr>
        <w:tc>
          <w:tcPr>
            <w:tcW w:w="58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1,052,283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878,226</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r>
      <w:tr>
        <w:trPr>
          <w:trHeight w:val="20"/>
        </w:trPr>
        <w:tc>
          <w:tcPr>
            <w:tcW w:w="5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spacing w:after="0"/>
              <w:rPr>
                <w:sz w:val="19"/>
                <w:szCs w:val="19"/>
                <w:color w:val="auto"/>
              </w:rPr>
            </w:pPr>
          </w:p>
        </w:tc>
        <w:tc>
          <w:tcPr>
            <w:tcW w:w="2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1,048,915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874,948</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left="940" w:hanging="370"/>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of 5.3% at September 30, 2025 and 5.6% at December 31, 2024.</w:t>
      </w:r>
    </w:p>
    <w:p>
      <w:pPr>
        <w:spacing w:after="0" w:line="16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$325.0 million as of September 30, 2025.</w:t>
      </w:r>
    </w:p>
    <w:p>
      <w:pPr>
        <w:spacing w:after="0" w:line="16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has a $15 million Credit Line with Bank of America for short-term liquidity needs and letters of credit, with a maturity date of June 30, 2026. Outstanding letters of credit under the Credit Line were $6.8 million and available borrowing capacity was $8.2 million as of September 30, 2025.</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2025 first nine months with net cash provided by operating activities of $358.0 million compared with $509.1 million for the 2024 first nine months, a 30% decrease. The decline in operating cash flows was mainly due to the timing of accounts receivable collections, accounts payable payments and federal income tax payments, as well as an increase in inventories in 2025, partially offset by increased net earnings. The increase in inventories was due to the impact of higher business activity levels and efforts to manage supply in KDS resulting in the buildup of inventory for projects, mainly due to power generation orders, which are scheduled to be delivered later in 2025 and into 2026. The increase in net earnings was driven by higher term contract pricing in the KMT coastal market, higher spot and term pricing in the KMT inland market during the 2025 first six months, and improved KDS business activity levels in the commercial and industrial and power generation markets, partially offset by lower spot market pricing and barge utilization in the 2025 third quarter in the KMT inland market. During the 2025 and 2024 first nine months, the Company generated cash of $28.3 million and $13.8 million, respectively, from proceeds from the disposition of assets, and $0.3 million and $8.4 million, respectively, from proceeds from the exercise of stock options.</w:t>
      </w:r>
    </w:p>
    <w:p>
      <w:pPr>
        <w:spacing w:after="0" w:line="154"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2025 first nine months, cash generated was used for capital expenditures of $217.4 million, including $187.1 million associated with marine maintenance capital and improvements to existing inland and coastal marine equipment and facility improvements, as well as $30.3 million for growth spending in both segments. The growth spending is related to inland equipment construction and equipment for use in a variety of KDS markets including electric fracturing equipment, power generators, and other related equipment. In addition, the Company used cash of $106.5 million for equipment acquisitions in the 2025 first nine months.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During the 2025 first nine months, the Company purchased 2.6 million shares of its common stock for $252.6 million, at an average price of $95.38 per share. Subsequent to September 30, 2025 and through November 7, 2025, the Company purchased an additional 0.5 million shares of its common stock for $43.6 million, at an average price of $87.10 per share. On September 8, 2025, the Board approved an eight million share increase in the Company’s purchase authorization. As of November 7, 2025, the Company had approximately 7.7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2025 third quarter, see Part II, 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flows provided by operating activities, as of November 7, 2025 the Company also had cash and cash equivalents of $70 million, availability of $345 million under its 2027 Revolving Credit Facility, and $8.2 million available under its Credit Line.</w:t>
      </w:r>
    </w:p>
    <w:p>
      <w:pPr>
        <w:spacing w:after="0" w:line="153"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is subject to quarterly installments, beginning March 31, 2027,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2025.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2024.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2024.</w:t>
      </w:r>
    </w:p>
    <w:p>
      <w:pPr>
        <w:spacing w:after="0" w:line="14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$30.5 million at September 30, 2025, including $11.6 million in letters of credit and $18.9 million in performance bonds. All of these instruments have an expiration date within approximately two years. The Company does not believe demand for payment under these instruments is likely and expects no material cash outlays to occur in connection with these instruments.</w:t>
      </w:r>
    </w:p>
    <w:p>
      <w:pPr>
        <w:spacing w:after="0" w:line="143"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To the extent possible, the Company also seeks to include contractual language to address recovery of increased costs related to tariffs in KDS. The repair portion of KDS is based on prevailing current market rates.</w:t>
      </w:r>
    </w:p>
    <w:p>
      <w:pPr>
        <w:spacing w:after="0" w:line="1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Company’s Annual Report on Form 10-K. The Company’s exposure to market risk has not changed materially since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September 30, 2025, as required by Rule 13a-15(b) under the Exchange Act. Based on that evaluation, the Chief Executive Officer and the Chief Financial Officer concluded that, as of September 30, 2025,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6"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September 30, 2025 that have materially affected, or are reasonably likely to materially affect, the Company’s internal control over financial reporting.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Part I, Item 1A of the Company’s Annual Report on Form 10-K for the year ended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548,201</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99.00</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765,808</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85.78</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1,314,009</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91.30</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Purchases of the Company’s common stock during the 2025 third quarter were made in the open market pursuant to a discretionary authorization by the Board of Directors. For more information about stock purchases in the 2025 first nine months and other information responsive to this Item, see “Treasury Stock Purchases” in Financial Condition, Capital Resources and Liquidity included in Part I, Item 2. Management’s Discussion and Analysis of Financial Condition and Results of Operations.</w:t>
      </w:r>
    </w:p>
    <w:p>
      <w:pPr>
        <w:spacing w:after="0" w:line="1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There were no “Rule 10b5-1 trading arrangements” or “non-Rule 10b5-1 trading arrangements” (as defined in Item 408 of Regulation S-K of the Exchange Act) adopted, modified or terminated during the 2025 third quarter by the Company’s directors and Section 16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6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4"/>
        </w:trPr>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69"/>
        </w:trPr>
        <w:tc>
          <w:tcPr>
            <w:tcW w:w="8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4"/>
                <w:szCs w:val="14"/>
                <w:color w:val="auto"/>
              </w:rPr>
            </w:pPr>
          </w:p>
        </w:tc>
        <w:tc>
          <w:tcPr>
            <w:tcW w:w="10220" w:type="dxa"/>
            <w:vAlign w:val="bottom"/>
            <w:gridSpan w:val="16"/>
            <w:shd w:val="clear" w:color="auto" w:fill="CFF0FC"/>
          </w:tcPr>
          <w:p>
            <w:pPr>
              <w:ind w:left="1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5">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96"/>
        </w:trPr>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0" w:type="dxa"/>
            <w:vAlign w:val="bottom"/>
            <w:tcBorders>
              <w:top w:val="single" w:sz="8" w:color="0000FF"/>
            </w:tcBorders>
            <w:gridSpan w:val="12"/>
            <w:shd w:val="clear" w:color="auto" w:fill="CFF0FC"/>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Registrant’s Annual Report on Form 10-K for the year ended December 31, 2014).</w:t>
              </w:r>
            </w:hyperlink>
          </w:p>
        </w:tc>
        <w:tc>
          <w:tcPr>
            <w:tcW w:w="680" w:type="dxa"/>
            <w:vAlign w:val="bottom"/>
            <w:tcBorders>
              <w:top w:val="single" w:sz="8" w:color="CFF0FC"/>
            </w:tcBorders>
            <w:gridSpan w:val="3"/>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10220" w:type="dxa"/>
            <w:vAlign w:val="bottom"/>
            <w:gridSpan w:val="16"/>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6">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8-K filed with the Commission on October 28, 2022).</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7">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60" w:type="dxa"/>
            <w:vAlign w:val="bottom"/>
            <w:tcBorders>
              <w:top w:val="single" w:sz="8" w:color="0000FF"/>
            </w:tcBorders>
            <w:gridSpan w:val="14"/>
            <w:shd w:val="clear" w:color="auto" w:fill="CFF0FC"/>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Report on Form 8-K filed with the Commission on April 26, 2024).</w:t>
              </w:r>
            </w:hyperlink>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10220" w:type="dxa"/>
            <w:vAlign w:val="bottom"/>
            <w:gridSpan w:val="16"/>
          </w:tcPr>
          <w:p>
            <w:pPr>
              <w:ind w:left="120"/>
              <w:spacing w:after="0" w:line="198" w:lineRule="exact"/>
              <w:rPr>
                <w:sz w:val="20"/>
                <w:szCs w:val="20"/>
                <w:color w:val="auto"/>
              </w:rPr>
            </w:pPr>
            <w:r>
              <w:rPr>
                <w:rFonts w:ascii="Times New Roman" w:cs="Times New Roman" w:eastAsia="Times New Roman" w:hAnsi="Times New Roman"/>
                <w:sz w:val="18"/>
                <w:szCs w:val="18"/>
                <w:color w:val="auto"/>
              </w:rPr>
              <w:t>–  See Exhibits 3.1, 3.2 and 3.3 hereof for provisions of the Restated Articles of Incorporation of the Company with all amendments to date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Bylaws of the Company with all amendments to date (incorporated, respectively, by reference to Exhibit </w:t>
            </w:r>
            <w:hyperlink r:id="rId34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Exhibit </w:t>
            </w:r>
            <w:hyperlink r:id="rId346">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Commission on October 28, 2022, and Exhibit </w:t>
            </w:r>
            <w:hyperlink r:id="rId347">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 with the Commission</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April 26, 2024).</w:t>
            </w:r>
          </w:p>
        </w:tc>
        <w:tc>
          <w:tcPr>
            <w:tcW w:w="220" w:type="dxa"/>
            <w:vAlign w:val="bottom"/>
            <w:tcBorders>
              <w:top w:val="single" w:sz="8" w:color="0000FF"/>
            </w:tcBorders>
          </w:tcPr>
          <w:p>
            <w:pPr>
              <w:spacing w:after="0"/>
              <w:rPr>
                <w:sz w:val="20"/>
                <w:szCs w:val="20"/>
                <w:color w:val="auto"/>
              </w:rPr>
            </w:pPr>
          </w:p>
        </w:tc>
        <w:tc>
          <w:tcPr>
            <w:tcW w:w="56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5"/>
                <w:szCs w:val="15"/>
                <w:color w:val="auto"/>
              </w:rPr>
            </w:pPr>
          </w:p>
        </w:tc>
        <w:tc>
          <w:tcPr>
            <w:tcW w:w="10220" w:type="dxa"/>
            <w:vAlign w:val="bottom"/>
            <w:gridSpan w:val="16"/>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5"/>
                <w:szCs w:val="15"/>
                <w:color w:val="auto"/>
              </w:rPr>
            </w:pPr>
          </w:p>
        </w:tc>
        <w:tc>
          <w:tcPr>
            <w:tcW w:w="10220" w:type="dxa"/>
            <w:vAlign w:val="bottom"/>
            <w:gridSpan w:val="16"/>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10220" w:type="dxa"/>
            <w:vAlign w:val="bottom"/>
            <w:gridSpan w:val="16"/>
          </w:tcPr>
          <w:p>
            <w:pPr>
              <w:ind w:left="120"/>
              <w:spacing w:after="0" w:line="198"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FF0FC"/>
          </w:tcPr>
          <w:p>
            <w:pPr>
              <w:spacing w:after="0"/>
              <w:rPr>
                <w:sz w:val="18"/>
                <w:szCs w:val="18"/>
                <w:color w:val="auto"/>
              </w:rPr>
            </w:pPr>
          </w:p>
        </w:tc>
        <w:tc>
          <w:tcPr>
            <w:tcW w:w="10220" w:type="dxa"/>
            <w:vAlign w:val="bottom"/>
            <w:gridSpan w:val="16"/>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16"/>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 Kumar</w:t>
            </w:r>
          </w:p>
        </w:tc>
      </w:tr>
      <w:tr>
        <w:trPr>
          <w:trHeight w:val="189"/>
        </w:trPr>
        <w:tc>
          <w:tcPr>
            <w:tcW w:w="56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Raj Kumar</w:t>
            </w:r>
          </w:p>
        </w:tc>
      </w:tr>
      <w:tr>
        <w:trPr>
          <w:trHeight w:val="216"/>
        </w:trPr>
        <w:tc>
          <w:tcPr>
            <w:tcW w:w="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2025 by Kirby Corporation, David W.</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Grzebinski certifies that:</w:t>
      </w:r>
    </w:p>
    <w:p>
      <w:pPr>
        <w:spacing w:after="0" w:line="99"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7" w:lineRule="exact"/>
        <w:rPr>
          <w:sz w:val="20"/>
          <w:szCs w:val="20"/>
          <w:color w:val="auto"/>
        </w:rPr>
      </w:pPr>
    </w:p>
    <w:p>
      <w:pPr>
        <w:ind w:left="380" w:right="48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2025 by Kirby Corporation, Raj Kumar certifies that:</w:t>
      </w:r>
    </w:p>
    <w:p>
      <w:pPr>
        <w:spacing w:after="0" w:line="54"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7"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2025 (the “Report”) by Kirby Corporation (the “Company”), each of the undersigned hereby certifies that:</w:t>
      </w:r>
    </w:p>
    <w:p>
      <w:pPr>
        <w:spacing w:after="0" w:line="54"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3"/>
    </w:lvl>
    <w:lvl w:ilvl="1">
      <w:lvlJc w:val="left"/>
      <w:lvlText w:val="%2"/>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45" Type="http://schemas.openxmlformats.org/officeDocument/2006/relationships/hyperlink" Target="https://www.sec.gov/Archives/edgar/data/56047/000114036115008395/ex3_1.htm" TargetMode="External"/><Relationship Id="rId346" Type="http://schemas.openxmlformats.org/officeDocument/2006/relationships/hyperlink" Target="https://www.sec.gov/Archives/edgar/data/56047/000095017022020426/kex-ex3_1.htm" TargetMode="External"/><Relationship Id="rId347" Type="http://schemas.openxmlformats.org/officeDocument/2006/relationships/hyperlink" Target="https://www.sec.gov/Archives/edgar/data/0000056047/000095017024049254/kex-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2025-11-10T13:52:08Z</dcterms:created>
  <dcterms:modified xsi:type="dcterms:W3CDTF">2025-11-10T13:52:08Z</dcterms:modified>
</cp:coreProperties>
</file>