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56"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48" w:lineRule="exact"/>
        <w:rPr>
          <w:rFonts w:ascii="MS PGothic" w:cs="MS PGothic" w:eastAsia="MS PGothic" w:hAnsi="MS PGothic"/>
          <w:sz w:val="18"/>
          <w:szCs w:val="18"/>
          <w:color w:val="auto"/>
        </w:rPr>
      </w:pPr>
    </w:p>
    <w:p>
      <w:pPr>
        <w:ind w:left="44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1-7615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KIRBY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480" w:type="dxa"/>
        <w:tblCellMar>
          <w:top w:w="0" w:type="dxa"/>
          <w:left w:w="0" w:type="dxa"/>
          <w:bottom w:w="0" w:type="dxa"/>
          <w:right w:w="0" w:type="dxa"/>
        </w:tblCellMar>
      </w:tblPr>
      <w:tr>
        <w:trPr>
          <w:trHeight w:val="216"/>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0"/>
              </w:rPr>
              <w:t>Nevada</w:t>
            </w:r>
          </w:p>
        </w:tc>
        <w:tc>
          <w:tcPr>
            <w:tcW w:w="3720" w:type="dxa"/>
            <w:vAlign w:val="bottom"/>
          </w:tcPr>
          <w:p>
            <w:pPr>
              <w:jc w:val="right"/>
              <w:ind w:right="790"/>
              <w:spacing w:after="0"/>
              <w:rPr>
                <w:sz w:val="20"/>
                <w:szCs w:val="20"/>
                <w:color w:val="auto"/>
              </w:rPr>
            </w:pPr>
            <w:r>
              <w:rPr>
                <w:rFonts w:ascii="Arial" w:cs="Arial" w:eastAsia="Arial" w:hAnsi="Arial"/>
                <w:sz w:val="18"/>
                <w:szCs w:val="18"/>
                <w:b w:val="1"/>
                <w:bCs w:val="1"/>
                <w:color w:val="auto"/>
              </w:rPr>
              <w:t>74-1884980</w:t>
            </w:r>
          </w:p>
        </w:tc>
      </w:tr>
      <w:tr>
        <w:trPr>
          <w:trHeight w:val="234"/>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20" w:type="dxa"/>
            <w:vAlign w:val="bottom"/>
          </w:tcPr>
          <w:p>
            <w:pPr>
              <w:jc w:val="center"/>
              <w:ind w:left="10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55 Waugh Drive, Suite 1000</w:t>
            </w:r>
          </w:p>
        </w:tc>
        <w:tc>
          <w:tcPr>
            <w:tcW w:w="3720" w:type="dxa"/>
            <w:vAlign w:val="bottom"/>
          </w:tcPr>
          <w:p>
            <w:pPr>
              <w:spacing w:after="0"/>
              <w:rPr>
                <w:sz w:val="24"/>
                <w:szCs w:val="24"/>
                <w:color w:val="auto"/>
              </w:rPr>
            </w:pPr>
          </w:p>
        </w:tc>
      </w:tr>
      <w:tr>
        <w:trPr>
          <w:trHeight w:val="216"/>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2"/>
              </w:rPr>
              <w:t>Houston, TX</w:t>
            </w:r>
          </w:p>
        </w:tc>
        <w:tc>
          <w:tcPr>
            <w:tcW w:w="3720" w:type="dxa"/>
            <w:vAlign w:val="bottom"/>
          </w:tcPr>
          <w:p>
            <w:pPr>
              <w:jc w:val="right"/>
              <w:ind w:right="1010"/>
              <w:spacing w:after="0"/>
              <w:rPr>
                <w:sz w:val="20"/>
                <w:szCs w:val="20"/>
                <w:color w:val="auto"/>
              </w:rPr>
            </w:pPr>
            <w:r>
              <w:rPr>
                <w:rFonts w:ascii="Arial" w:cs="Arial" w:eastAsia="Arial" w:hAnsi="Arial"/>
                <w:sz w:val="18"/>
                <w:szCs w:val="18"/>
                <w:b w:val="1"/>
                <w:bCs w:val="1"/>
                <w:color w:val="auto"/>
              </w:rPr>
              <w:t>77007</w:t>
            </w:r>
          </w:p>
        </w:tc>
      </w:tr>
      <w:tr>
        <w:trPr>
          <w:trHeight w:val="234"/>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20" w:type="dxa"/>
            <w:vAlign w:val="bottom"/>
          </w:tcPr>
          <w:p>
            <w:pPr>
              <w:jc w:val="center"/>
              <w:ind w:left="99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435-1000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Change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Regulations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spacing w:after="0"/>
              <w:rPr>
                <w:sz w:val="18"/>
                <w:szCs w:val="18"/>
                <w:color w:val="auto"/>
              </w:rPr>
            </w:pPr>
          </w:p>
        </w:tc>
        <w:tc>
          <w:tcPr>
            <w:tcW w:w="3080" w:type="dxa"/>
            <w:vAlign w:val="bottom"/>
          </w:tcPr>
          <w:p>
            <w:pPr>
              <w:ind w:left="78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9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40"/>
              <w:spacing w:after="0"/>
              <w:rPr>
                <w:sz w:val="20"/>
                <w:szCs w:val="20"/>
                <w:color w:val="auto"/>
              </w:rPr>
            </w:pPr>
            <w:r>
              <w:rPr>
                <w:rFonts w:ascii="Arial" w:cs="Arial" w:eastAsia="Arial" w:hAnsi="Arial"/>
                <w:sz w:val="18"/>
                <w:szCs w:val="18"/>
                <w:color w:val="auto"/>
              </w:rPr>
              <w:t>(Do not check if a smaller reporting company)</w:t>
            </w:r>
          </w:p>
        </w:tc>
        <w:tc>
          <w:tcPr>
            <w:tcW w:w="3080" w:type="dxa"/>
            <w:vAlign w:val="bottom"/>
          </w:tcPr>
          <w:p>
            <w:pPr>
              <w:ind w:left="78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80" w:type="dxa"/>
            <w:vAlign w:val="bottom"/>
          </w:tcPr>
          <w:p>
            <w:pPr>
              <w:ind w:left="78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$.10 par value per share, on November 7, 2017 was 59,697,000.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113"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PART I – FINANCIAL INFORMATION</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w w:val="98"/>
              </w:rPr>
              <w:t>CONDENSED BALANCE SHEETS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 – less allowance for doubtful accounts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77,913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 net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51,327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890,764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4,583,442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4,328,897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(1,487,332)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(1,407,523)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Property and equipment – net</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3,096,110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2,921,374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5,200,415</w:t>
            </w:r>
          </w:p>
        </w:tc>
        <w:tc>
          <w:tcPr>
            <w:tcW w:w="14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4,289,895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60" w:type="dxa"/>
            <w:vAlign w:val="bottom"/>
            <w:vMerge w:val="restart"/>
          </w:tcPr>
          <w:p>
            <w:pPr>
              <w:jc w:val="center"/>
              <w:ind w:left="2730"/>
              <w:spacing w:after="0"/>
              <w:rPr>
                <w:sz w:val="20"/>
                <w:szCs w:val="20"/>
                <w:color w:val="auto"/>
              </w:rPr>
            </w:pPr>
            <w:r>
              <w:rPr>
                <w:rFonts w:ascii="Arial" w:cs="Arial" w:eastAsia="Arial" w:hAnsi="Arial"/>
                <w:sz w:val="18"/>
                <w:szCs w:val="18"/>
                <w:color w:val="auto"/>
                <w:w w:val="88"/>
              </w:rPr>
              <w:t>See accompanying notes to condensed financial statements.</w:t>
            </w: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w w:val="98"/>
              </w:rPr>
              <w:t>CONDENSED BALANCE SHEETS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Bank notes payable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214,109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40,421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462,190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Long-term debt – less current portion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1,031,028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74,801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Total long-term liabilities</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1,862,097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Contingencies and commitments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Kirby stockholders’ equity:</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Common stock, $.10 par value per share. Authorized 120,000,000 shares, issued 65,472,000 shares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Accumulated other comprehensive income – net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(35,778)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2,415,618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2,342,236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w w:val="98"/>
              </w:rPr>
              <w:t>Treasury stock – at cost, 5,784,000 shares at September 30, 2017 and 5,921,000 at December 31, 2016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(313,423)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(320,348)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Kirby stockholders’ equity</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2,872,678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2,876,128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2,412,867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equity</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5,200,415</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4,289,895</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560" w:type="dxa"/>
            <w:vAlign w:val="bottom"/>
            <w:tcBorders>
              <w:top w:val="single" w:sz="8" w:color="CCEEFF"/>
            </w:tcBorders>
          </w:tcPr>
          <w:p>
            <w:pPr>
              <w:jc w:val="center"/>
              <w:ind w:left="2730"/>
              <w:spacing w:after="0"/>
              <w:rPr>
                <w:sz w:val="20"/>
                <w:szCs w:val="20"/>
                <w:color w:val="auto"/>
              </w:rPr>
            </w:pPr>
            <w:r>
              <w:rPr>
                <w:rFonts w:ascii="Arial" w:cs="Arial" w:eastAsia="Arial" w:hAnsi="Arial"/>
                <w:sz w:val="18"/>
                <w:szCs w:val="18"/>
                <w:color w:val="auto"/>
                <w:w w:val="88"/>
              </w:rPr>
              <w:t>See accompanying notes to condensed financial statements.</w:t>
            </w: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gridSpan w:val="11"/>
          </w:tcPr>
          <w:p>
            <w:pPr>
              <w:jc w:val="center"/>
              <w:ind w:left="251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700" w:type="dxa"/>
            <w:vAlign w:val="bottom"/>
            <w:gridSpan w:val="9"/>
          </w:tcPr>
          <w:p>
            <w:pPr>
              <w:jc w:val="center"/>
              <w:ind w:left="3590"/>
              <w:spacing w:after="0"/>
              <w:rPr>
                <w:sz w:val="20"/>
                <w:szCs w:val="20"/>
                <w:color w:val="auto"/>
              </w:rPr>
            </w:pPr>
            <w:r>
              <w:rPr>
                <w:rFonts w:ascii="Arial" w:cs="Arial" w:eastAsia="Arial" w:hAnsi="Arial"/>
                <w:sz w:val="18"/>
                <w:szCs w:val="18"/>
                <w:b w:val="1"/>
                <w:bCs w:val="1"/>
                <w:color w:val="auto"/>
                <w:w w:val="98"/>
              </w:rPr>
              <w:t>CONDENSED STATEMENTS OF EARNINGS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7"/>
          </w:tcPr>
          <w:p>
            <w:pPr>
              <w:jc w:val="center"/>
              <w:ind w:right="460"/>
              <w:spacing w:after="0"/>
              <w:rPr>
                <w:sz w:val="20"/>
                <w:szCs w:val="20"/>
                <w:color w:val="auto"/>
              </w:rPr>
            </w:pPr>
            <w:r>
              <w:rPr>
                <w:rFonts w:ascii="Arial" w:cs="Arial" w:eastAsia="Arial" w:hAnsi="Arial"/>
                <w:sz w:val="18"/>
                <w:szCs w:val="18"/>
                <w:b w:val="1"/>
                <w:bCs w:val="1"/>
                <w:color w:val="auto"/>
                <w:w w:val="88"/>
              </w:rPr>
              <w:t>Three months ended</w:t>
            </w:r>
          </w:p>
        </w:tc>
        <w:tc>
          <w:tcPr>
            <w:tcW w:w="240" w:type="dxa"/>
            <w:vAlign w:val="bottom"/>
          </w:tcPr>
          <w:p>
            <w:pPr>
              <w:spacing w:after="0"/>
              <w:rPr>
                <w:sz w:val="24"/>
                <w:szCs w:val="24"/>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7"/>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w:t>
            </w:r>
          </w:p>
        </w:tc>
        <w:tc>
          <w:tcPr>
            <w:tcW w:w="2960" w:type="dxa"/>
            <w:vAlign w:val="bottom"/>
            <w:gridSpan w:val="8"/>
          </w:tcPr>
          <w:p>
            <w:pPr>
              <w:spacing w:after="0"/>
              <w:rPr>
                <w:sz w:val="20"/>
                <w:szCs w:val="20"/>
                <w:color w:val="auto"/>
              </w:rPr>
            </w:pPr>
            <w:r>
              <w:rPr>
                <w:rFonts w:ascii="Arial" w:cs="Arial" w:eastAsia="Arial" w:hAnsi="Arial"/>
                <w:sz w:val="18"/>
                <w:szCs w:val="18"/>
                <w:b w:val="1"/>
                <w:bCs w:val="1"/>
                <w:color w:val="auto"/>
                <w:w w:val="89"/>
              </w:rPr>
              <w:t>thousands, except per share amounts)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04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12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359,031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993,727</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1,115,677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222,464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75,677</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512,580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219,346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0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541,274</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434,708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1,506,307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1,335,023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Costs of sales and operating expenses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378,340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282,168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1,048,176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847,975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40,645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144,338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Taxes, other than on income</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5,445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19,511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50,142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147,669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Loss (gain) on disposition of assets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10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487,912</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378,522</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1,359,893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1,146,628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56,186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146,414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(4,507)</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Earnings before taxes on income</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51,559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131,874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Provision for taxes on income</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(19,072)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(19,206)</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(49,468)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(65,430)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Net earnings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28,789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32,353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82,406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109,946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earnings attributable to Kirby</w:t>
            </w:r>
          </w:p>
        </w:tc>
        <w:tc>
          <w:tcPr>
            <w:tcW w:w="12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28,607</w:t>
            </w:r>
          </w:p>
        </w:tc>
        <w:tc>
          <w:tcPr>
            <w:tcW w:w="120" w:type="dxa"/>
            <w:vAlign w:val="bottom"/>
            <w:shd w:val="clear" w:color="auto" w:fill="CCEEFF"/>
          </w:tcPr>
          <w:p>
            <w:pPr>
              <w:spacing w:after="0"/>
              <w:rPr>
                <w:sz w:val="22"/>
                <w:szCs w:val="22"/>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81,868</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4"/>
              </w:rPr>
              <w:t>Net earnings per share attributable to Kirby common stockholders: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Basic</w:t>
            </w:r>
          </w:p>
        </w:tc>
        <w:tc>
          <w:tcPr>
            <w:tcW w:w="12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0.59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6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15"/>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835"/>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 in</w:t>
            </w:r>
          </w:p>
        </w:tc>
        <w:tc>
          <w:tcPr>
            <w:tcW w:w="1340" w:type="dxa"/>
            <w:vAlign w:val="bottom"/>
            <w:gridSpan w:val="3"/>
          </w:tcPr>
          <w:p>
            <w:pPr>
              <w:jc w:val="right"/>
              <w:ind w:right="570"/>
              <w:spacing w:after="0"/>
              <w:rPr>
                <w:sz w:val="20"/>
                <w:szCs w:val="20"/>
                <w:color w:val="auto"/>
              </w:rPr>
            </w:pPr>
            <w:r>
              <w:rPr>
                <w:rFonts w:ascii="Arial" w:cs="Arial" w:eastAsia="Arial" w:hAnsi="Arial"/>
                <w:sz w:val="17"/>
                <w:szCs w:val="17"/>
                <w:b w:val="1"/>
                <w:bCs w:val="1"/>
                <w:color w:val="auto"/>
                <w:w w:val="71"/>
              </w:rPr>
              <w:t>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28,789</w:t>
            </w:r>
          </w:p>
        </w:tc>
        <w:tc>
          <w:tcPr>
            <w:tcW w:w="1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32,353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82,406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Pension and postretirement benefits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735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comprehensive income (loss), net of taxes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net of taxes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33,088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97,635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55"/>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Comprehensive income attributable to Kirby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28,950</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15"/>
              <w:spacing w:after="0"/>
              <w:rPr>
                <w:sz w:val="20"/>
                <w:szCs w:val="20"/>
                <w:color w:val="auto"/>
              </w:rPr>
            </w:pPr>
            <w:r>
              <w:rPr>
                <w:rFonts w:ascii="Arial" w:cs="Arial" w:eastAsia="Arial" w:hAnsi="Arial"/>
                <w:sz w:val="18"/>
                <w:szCs w:val="18"/>
                <w:color w:val="auto"/>
              </w:rPr>
              <w:t>32,745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97,097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107,286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w w:val="98"/>
              </w:rPr>
              <w:t>CONDENSED STATEMENTS OF CASH FLOWS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82,406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Provision for deferred income taxes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32,783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unearned share-based compensation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Amortization of major maintenance costs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15,232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cash flows resulting from changes in operating assets and liabilities, net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259,455</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338,246</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(133,437)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Acquisitions of businesses and marine equipment, net of cash acquired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(451,219)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(125,632)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disposition of assets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29,743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(554,913)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(279,801)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(payments) on bank credit facilities, net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Payments on long-term debt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noncontrolling interests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Payments related to tax withholding for share-based compensation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294,650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Decrease in cash and cash equivalents</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4,826</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21"/>
        </w:trPr>
        <w:tc>
          <w:tcPr>
            <w:tcW w:w="8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Interest paid</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18,390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paid</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19,388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Capital expenditures included in accounts payable</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8,917</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investing activity:</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Fair value of property transferred in acquisition</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issued in acquisition</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366,554</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Cash acquired in acquisition</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Debt assumed in acquisition</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13,724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FOR PREPARATION OF THE CONDENSED FINANCIAL STATEMENTS</w:t>
      </w:r>
    </w:p>
    <w:p>
      <w:pPr>
        <w:spacing w:after="0" w:line="25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condensed financial statements included herein have been prepared by Kirby Corporation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STANDARDS ADOPTIONS</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March 2017, the Financial Accounting Standards Board (“FASB”) issued Accounting Standards Update (“ASU”) 2017-07, “Compensation – Retirement Benefits (Topic 715): Improving the Presentation of Net Periodic Pension Cost and Net Periodic Postretirement Benefit Cost” (“ASU 2017-07”) which requires employers to include only the service cost component of net periodic pension cost and net periodic postretirement benefit cost in operating expenses. The other components of net benefit cost are required to be presented in the income statement separately from the service cost component and outside a subtotal of income from operations. The standard allows only the service cost component to be eligible for capitalization when applicable. ASU 2017-07 is effective for annual and interim periods beginning after December 15, 2017 with early adoption permitted. This standard shall be applied retrospectively for the presentation of the service cost component and the other components of net periodic pension cost and net periodic postretirement benefit cost in the income statement and prospectively for the capitalization of the service cost benefit in assets. The Company is currently evaluating the impact that the adoption of this standard will have on its consolidated financial statements.</w:t>
      </w:r>
    </w:p>
    <w:p>
      <w:pPr>
        <w:spacing w:after="0" w:line="20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(“ASU 2017-04”) which simplifies the subsequent measurement of goodwill by eliminating Step 2 in the goodwill impairment test that required an entity to perform procedures to determine the fair value of its assets and liabilities at the testing date. An entity instead will perform its annual, or interim, goodwill impairment test by comparing the fair value of a reporting unit with its carrying value and record an impairment charge based on the excess of a reporting unit’s carrying amount over its fair value. An entity still has the option to perform the qualitative assessment for a reporting unit to determine if the quantitative impairment test is necessary. ASU 2017-04 will be applied prospectively and is effective for annual and interim goodwill impairment tests conducted in fiscal years beginning after December 15, 2019. Early adoption is permitted for interim or annual goodwill impairment testing dates after January 1, 2017. The Company is currently evaluating the impact, if any, that the adoption of this standard will have on its consolidated financial statements.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(“ASU 2016-15”) to create consistency in practice in how certain cash receipts and cash payments are presented and classified in the statement of cash flows. ASU 2016-15 is effective for annual and interim periods beginning after December 15, 2017. Early adoption is permitted. The Company is currently evaluating the impact that the adoption of this standard will have on its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both"/>
        <w:ind w:firstLine="324"/>
        <w:spacing w:after="0" w:line="286" w:lineRule="auto"/>
        <w:rPr>
          <w:sz w:val="20"/>
          <w:szCs w:val="20"/>
          <w:color w:val="auto"/>
        </w:rPr>
      </w:pPr>
      <w:r>
        <w:rPr>
          <w:rFonts w:ascii="Arial" w:cs="Arial" w:eastAsia="Arial" w:hAnsi="Arial"/>
          <w:sz w:val="16"/>
          <w:szCs w:val="16"/>
          <w:color w:val="auto"/>
        </w:rPr>
        <w:t>In March 2016, the FASB issued ASU 2016-09, “Compensation – Stock Compensation (Topic 718): Improvements to Employee Share-Based Payment Accounting” (“ASU 2016-09”) which simplifies several aspects of the accounting for share-based payment transactions, including income tax consequences, forfeitures, minimum statutory tax withholding requirements, classification as either equity or liabilities, and classification on the statement of cash flows. The Company adopted the provisions of ASU 2016-09 on January 1, 2017. ASU 2016-09 requires all excess tax benefits and tax deficiencies be recognized as income tax expense or benefit in the income statement, thus eliminating additional paid-in capital pools. The Company recognized a cumulative effect adjustment of $8,486,000 to retained earnings on a modified retrospective basis as of January 1, 2017 and will apply the new standard guidance prospectively to all excess tax benefits and tax deficiencies resulting from settlements after January 1, 2017. The standard also requires a policy election to either estimate the number of awards that are expected to vest or account for forfeitures when they occur. The Company will elect to account for forfeitures when they occur. Also, the standard requires that excess tax benefits should be classified along with other income tax cash flows as an operating activity on the statement of cash flows, which differs from the Company’s historical classification of excess tax benefits as cash inflows from financing activities. The Company elected to apply this provision using the prospective transition method. Additionally, the standard requires cash paid by an employer when directly withholding shares for tax withholding purposes to be classified in the statement of cash flows as a financing activity, which differs from the Company’s previous method of classification of such cash payments as an operating activity. The Company applied this provision retrospectively and, for the nine months ended September 30, 2016, reclassified $1,753,000, which increased net cash provided by operating activities and net cash used in financing activities.</w:t>
      </w:r>
    </w:p>
    <w:p>
      <w:pPr>
        <w:spacing w:after="0" w:line="19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February 2016, the FASB issued ASU No. 2016-02, “Leases (Topic 842)” (“ASU 2016-02”) to increase transparency and comparability among organizations by requiring recognition of lease assets and lease liabilities on the balance sheet and disclosure of key information about leasing arrangements. ASU 2016-02 is effective for annual and interim periods beginning after December 15, 2018, with early adoption permitted. A modified retrospective approach is required. The Company has formed a project team to evaluate the impact that the adoption of this standard will have on its consolidated financial statements and disclosures. The project team has completed training on the new standard and has started lease review and documentation, but the Company has not yet determined the effect of ASU 2016-02 on its ongoing financial reporting.</w:t>
      </w:r>
    </w:p>
    <w:p>
      <w:pPr>
        <w:spacing w:after="0" w:line="20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November 2015, the FASB issued ASU 2015-17, “Balance Sheet Classification of Deferred Taxes” (“ASU 2015-17”) which requires that deferred tax liabilities and assets be classified as noncurrent on the balance sheet. The current requirement that deferred tax liabilities and assets of a tax-paying component of an entity be offset and presented as a single amount is not affected by this guidance. The guidance may be applied either prospectively to all deferred tax liabilities and assets or retrospectively to all periods presented. The Company adopted the provisions of ASU 2015-17 on January 1, 2017 on a retrospective basis. The December 31, 2016 current deferred tax assets of $13,604,000 have been reclassified in the consolidated balance sheet from current deferred income taxes asset to noncurrent deferred income taxes liability.</w:t>
      </w:r>
    </w:p>
    <w:p>
      <w:pPr>
        <w:spacing w:after="0" w:line="20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(“ASU 2015-11”) which applies to inventory that is measured using first-in, first-out (“FIFO”) or average cost. Under the guidance, an entity should measure inventory that is within the scope of this update at the lower of cost and net realizable value. Net realizable value is the estimated selling prices in the ordinary course of business, less reasonably predictable costs of completion, disposal and transportation. ASU 2015-11 is effective for annual and interim periods beginning after December 15, 2016, and should be applied prospectively with early adoption permitted at the beginning of an interim period or annual reporting period. The Company adopted the provisions of ASU 2015-11 on January 1, 2017 and, based on a lower of cost and net realizable value inventory analysis as of December 31, 2016, no adjustments to inventory value were required. The analysis reflected the inventory values are proper within the guidance of ASU 2015-11.</w:t>
      </w:r>
    </w:p>
    <w:p>
      <w:pPr>
        <w:spacing w:after="0" w:line="1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May 2014, the FASB issued ASU 2014-09, “Revenue from Contracts with Customers” (“ASU 2014-09”). ASU 2014-09 requires an entity to recognize the amount of revenue to which it expects to be entitled for the transfer of promised goods or services to customers. ASU 2014-09 will replace most existing revenue recognition guidance in United States Generally Accepted Accounting Principles when it becomes effective. In July 2015, the FASB voted to delay the effective date of ASU 2014-09 by one year, making it effective for fiscal years, and interim periods within those years, beginning after December 15, 2017, with early adoption permitted as of the original effective date. ASU 2014-09 permits the use of either the retrospective, modified retrospective or prospective with a cumulative catch-up approach. The Company has formed a project team to evaluate the standard and determine the effect that ASU 2014-09 will have on its consolidated financial statements and related disclosures. The project team has completed training on the new standard and has started contract review and documentation. The Company has not yet selected a transition method nor has it determined the effect of ASU 2014-09 on its ongoing financial reporting.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ACQUISITIONS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September 13, 2017, the Company completed the acquisition of substantially all of the assets of Stewart &amp; Stevenson LLC (“S&amp;S”), a global manufacturer and distributor of products and services for the oil and gas, marine, construction, power generation, transportation, mining and agricultural industries. The acquired business, which the Company operates through a newly formed subsidiary renamed Stewart &amp; Stevenson LLC after the closing of the acquisition, was founded in 1902 and serves domestic and global markets with equipment, rental solutions, parts and service through a strategic network of sales and service centers in domestic and international locations.</w:t>
      </w:r>
    </w:p>
    <w:p>
      <w:pPr>
        <w:spacing w:after="0" w:line="2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total value of the transaction was $758,245,000, before post-closing adjustments and excluding transaction fees, consisting of cash consideration of $377,967,000, the assumption of $13,724,000 of debt and $366,554,000 through the issuance of 5,696,259 shares of Company common stock valued at $64.35 per share, the Company’s closing share price on September 13, 2017. On June 26, 2017, in advance of the purchase of S&amp;S, the Company entered into an amendment of its revolving credit facility that increased the borrowing limit from $550,000,000 to $850,000,000 and extended the maturity date to June 26, 2022. The debt assumed consists of $12,135,000 of term debt and $1,589,000 of short-term secured loans related to the Company’s South American operations. The term debt has a maturity date of September 15, 2032 and carries an interest rate of 4.0%. The term debt has quarterly interest payments plus quarterly principal payments of $375,000 due through December 2022 and $99,000 due thereafter through the maturity date. The term debt can be paid off prior to maturity without penalty.</w:t>
      </w:r>
    </w:p>
    <w:p>
      <w:pPr>
        <w:spacing w:after="0" w:line="21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S&amp;S, headquartered in Houston, Texas with 42 branches across 12 states, is a distributor in certain geographic areas for Allison Transmission, MTU Detroit Diesel, Electro-Motive Diesel, Deutz and several other manufacturers. S&amp;S’ principal customers are oilfield service companies, oil and gas operators and producers, and companies in the marine, construction, power generation, transportation, mining and agricultural industries.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S&amp;S to be a natural extension of the current distribution and services segment, expanding its geographic footprint and capabilities of the distribution and services business.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jc w:val="right"/>
              <w:ind w:right="2590"/>
              <w:spacing w:after="0"/>
              <w:rPr>
                <w:sz w:val="20"/>
                <w:szCs w:val="20"/>
                <w:color w:val="auto"/>
              </w:rPr>
            </w:pPr>
            <w:r>
              <w:rPr>
                <w:rFonts w:ascii="Arial" w:cs="Arial" w:eastAsia="Arial" w:hAnsi="Arial"/>
                <w:sz w:val="18"/>
                <w:szCs w:val="18"/>
                <w:color w:val="auto"/>
                <w:w w:val="96"/>
              </w:rPr>
              <w:t>Total consideration transferred was as follows (in thousands):</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vMerge w:val="restart"/>
          </w:tcPr>
          <w:p>
            <w:pPr>
              <w:spacing w:after="0"/>
              <w:rPr>
                <w:sz w:val="21"/>
                <w:szCs w:val="21"/>
                <w:color w:val="auto"/>
              </w:rPr>
            </w:pPr>
          </w:p>
        </w:tc>
        <w:tc>
          <w:tcPr>
            <w:tcW w:w="6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paid</w:t>
            </w:r>
          </w:p>
        </w:tc>
        <w:tc>
          <w:tcPr>
            <w:tcW w:w="19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377,967</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Stock consideration through issuance of Company common stock</w:t>
            </w:r>
          </w:p>
        </w:tc>
        <w:tc>
          <w:tcPr>
            <w:tcW w:w="1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366,554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6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of consideration transferred</w:t>
            </w:r>
          </w:p>
        </w:tc>
        <w:tc>
          <w:tcPr>
            <w:tcW w:w="15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744,521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6"/>
        </w:trPr>
        <w:tc>
          <w:tcPr>
            <w:tcW w:w="7440" w:type="dxa"/>
            <w:vAlign w:val="bottom"/>
            <w:gridSpan w:val="2"/>
          </w:tcPr>
          <w:p>
            <w:pPr>
              <w:jc w:val="right"/>
              <w:ind w:right="1610"/>
              <w:spacing w:after="0"/>
              <w:rPr>
                <w:sz w:val="20"/>
                <w:szCs w:val="20"/>
                <w:color w:val="auto"/>
              </w:rPr>
            </w:pPr>
            <w:r>
              <w:rPr>
                <w:rFonts w:ascii="Arial" w:cs="Arial" w:eastAsia="Arial" w:hAnsi="Arial"/>
                <w:sz w:val="14"/>
                <w:szCs w:val="14"/>
                <w:color w:val="auto"/>
              </w:rPr>
              <w:t>8</w:t>
            </w: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62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The fair values of the assets acquired and liabilities assumed recorded at the acquisition date were as follows (in thousands):</w:t>
      </w:r>
    </w:p>
    <w:p>
      <w:pPr>
        <w:spacing w:after="0" w:line="252"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97,891</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317,861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163,230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883,582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6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8"/>
                <w:szCs w:val="18"/>
                <w:color w:val="auto"/>
              </w:rPr>
              <w:t>Bank notes payable</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72,200</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31,803</w:t>
            </w:r>
          </w:p>
        </w:tc>
        <w:tc>
          <w:tcPr>
            <w:tcW w:w="0" w:type="dxa"/>
            <w:vAlign w:val="bottom"/>
          </w:tcPr>
          <w:p>
            <w:pPr>
              <w:spacing w:after="0"/>
              <w:rPr>
                <w:sz w:val="1"/>
                <w:szCs w:val="1"/>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8"/>
                <w:szCs w:val="18"/>
                <w:color w:val="auto"/>
              </w:rPr>
              <w:t>Deferred revenues</w:t>
            </w: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18,806</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223"/>
        </w:trPr>
        <w:tc>
          <w:tcPr>
            <w:tcW w:w="556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139,061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480"/>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744,521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analysis of the S&amp;S fair values is substantially complete but all fair values have not been finalized pending obtaining the information necessary to complete the analysis. As additional information becomes known concerning the assets acquired and liabilities assumed, the Company may make adjustments to the opening balance sheet of S&amp;S up to a one year period following the acquisition date.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acquisition, the Company recorded $317,861,000 of goodwill and $160,822,000 of net intangibles. The net intangibles have a weighted average amortization period of approximately 16.8 years. The Company expects substantially all of the goodwill will be deductible for tax purposes. Acquisition related costs of $1,471,000, consisting primarily of legal, audit and other professional fees plus other expenses, were expensed as incurred to selling general and administrative expense in the first nine months of 2017.</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10, 2017, the Company completed the purchase of certain inland marine assets from an undisclosed competitor for $68,000,000 in cash. The assets purchased consisted of nine specialty pressure tank barges, four 30,000 barrel tank barges and three 1320 horsepower inland towboats. The average age of the 13 inland tank barges was five years. The 13 tank barges transport petrochemicals and refined petroleum products on the Mississippi River System and the Gulf Intracoastal Waterway. As a result of the acquisition, the Company recorded $67,970,000 of property and $30,000 of intangibles with a weighted average amortization period of two years.</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July 2017, the Company purchased four inland tank barges for $1,450,000 as well as a barge fleeting and marine fueling operation business in Freeport, Texas for $3,900,000.</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 forma results of the acquisitions made in the 2017 first nine months have not been presented as the pro forma revenues, earnings before taxes on income, net earnings and net earnings per share would not be materially different from the Company’s actual results.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details of inventories as of September 30, 2017 and December 31, 2016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280,393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178,740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Work in process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43,010</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6,662</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5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323,403</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185,402</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5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estimated fair value of total debt outstanding at September 30, 2017 and December 31, 2016 was $1,025,773,000 and $715,330,000, respectively, which differs from the carrying amounts of $1,033,428,000 and $722,802,000, respectively, included in the consolidated financial statements. The fair value was determined using an income approach that relies on inputs such as yield curves. Cash and cash equivalents, accounts receivable, accounts payable and accrued liabilities have carrying values that approximate fair value due to the short-term maturity of these financial instruments.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assets are measured at fair value on a nonrecurring basis. These assets are adjusted to fair value when there is evidence of impairment. During the nine months ended September 30, 2017, there was no indication that the Company’s long-lived assets were impaired, and accordingly, measurement at fair value was not required.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AWARD PLANS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share-based compensation plans which are described below. The compensation cost that has been charged against earnings for the Company’s stock award plans and the income tax benefit recognized in the statement of earnings for stock awards for the three months and nine months ended September 30, 2017 and 2016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8"/>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8"/>
              </w:rPr>
              <w:t>Nine months ended</w:t>
            </w:r>
          </w:p>
        </w:tc>
      </w:t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Income tax benefit</w:t>
            </w:r>
          </w:p>
        </w:tc>
        <w:tc>
          <w:tcPr>
            <w:tcW w:w="2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1,234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3,386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3,315</w:t>
            </w:r>
          </w:p>
        </w:tc>
      </w:tr>
    </w:tbl>
    <w:p>
      <w:pPr>
        <w:spacing w:after="0" w:line="21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has an employee stock award plan for selected officers and other key employees which provides for the issuance of stock options, restricted stock and performance awards. The exercise price for each option equals the fair market value per share of the Company’s common stock on the date of grant. Substantially all stock options outstanding under the plan have terms of seven years and vest ratably over three years. No performance awards payable in stock have been awarded under the plan. At September 30, 2017, 1,775,522 shares were available for future grants under the employee plan and no outstanding stock options under the employee plan were issued with stock appreciation rights.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ind w:left="340"/>
        <w:spacing w:after="0"/>
        <w:rPr>
          <w:sz w:val="20"/>
          <w:szCs w:val="20"/>
          <w:color w:val="auto"/>
        </w:rPr>
      </w:pPr>
      <w:r>
        <w:rPr>
          <w:rFonts w:ascii="Arial" w:cs="Arial" w:eastAsia="Arial" w:hAnsi="Arial"/>
          <w:sz w:val="17"/>
          <w:szCs w:val="17"/>
          <w:color w:val="auto"/>
        </w:rPr>
        <w:t>The following is a summary of the stock option activity under the employee plan described above for the nine months ended September 30, 2017:</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Qualified 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Nonincentive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Awards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601,121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123,051</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68.46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(17,022)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62.37</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2017</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686,015</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information about the Company’s outstanding and exercisable stock options under the employee plan at September 30, 2017: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rPr>
              <w:t>Options Outstanding</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Options Exercisable</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Aggregate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440" w:type="dxa"/>
            <w:vAlign w:val="bottom"/>
            <w:gridSpan w:val="4"/>
          </w:tcPr>
          <w:p>
            <w:pPr>
              <w:spacing w:after="0"/>
              <w:rPr>
                <w:sz w:val="20"/>
                <w:szCs w:val="20"/>
                <w:color w:val="auto"/>
              </w:rPr>
            </w:pPr>
            <w:r>
              <w:rPr>
                <w:rFonts w:ascii="Arial" w:cs="Arial" w:eastAsia="Arial" w:hAnsi="Arial"/>
                <w:sz w:val="18"/>
                <w:szCs w:val="18"/>
                <w:b w:val="1"/>
                <w:bCs w:val="1"/>
                <w:color w:val="auto"/>
              </w:rPr>
              <w:t>Range of</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Number</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Life in</w:t>
            </w:r>
          </w:p>
        </w:tc>
        <w:tc>
          <w:tcPr>
            <w:tcW w:w="16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Intrinsic</w:t>
            </w:r>
          </w:p>
        </w:tc>
        <w:tc>
          <w:tcPr>
            <w:tcW w:w="1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w:t>
            </w:r>
          </w:p>
        </w:tc>
        <w:tc>
          <w:tcPr>
            <w:tcW w:w="14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440" w:type="dxa"/>
            <w:vAlign w:val="bottom"/>
            <w:gridSpan w:val="4"/>
          </w:tcPr>
          <w:p>
            <w:pPr>
              <w:spacing w:after="0"/>
              <w:rPr>
                <w:sz w:val="20"/>
                <w:szCs w:val="20"/>
                <w:color w:val="auto"/>
              </w:rPr>
            </w:pPr>
            <w:r>
              <w:rPr>
                <w:rFonts w:ascii="Arial" w:cs="Arial" w:eastAsia="Arial" w:hAnsi="Arial"/>
                <w:sz w:val="18"/>
                <w:szCs w:val="18"/>
                <w:b w:val="1"/>
                <w:bCs w:val="1"/>
                <w:color w:val="auto"/>
              </w:rPr>
              <w:t>Exercise Prices</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Outstanding</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Exercisable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c>
          <w:tcPr>
            <w:tcW w:w="14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r>
      <w:tr>
        <w:trPr>
          <w:trHeight w:val="216"/>
        </w:trPr>
        <w:tc>
          <w:tcPr>
            <w:tcW w:w="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$ 46.74</w:t>
            </w:r>
          </w:p>
        </w:tc>
        <w:tc>
          <w:tcPr>
            <w:tcW w:w="1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$51.23</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201,276</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86"/>
              </w:rPr>
              <w:t>$ 64.65</w:t>
            </w:r>
          </w:p>
        </w:tc>
        <w:tc>
          <w:tcPr>
            <w:tcW w:w="1640" w:type="dxa"/>
            <w:vAlign w:val="bottom"/>
          </w:tcPr>
          <w:p>
            <w:pPr>
              <w:ind w:left="20"/>
              <w:spacing w:after="0"/>
              <w:rPr>
                <w:sz w:val="20"/>
                <w:szCs w:val="20"/>
                <w:color w:val="auto"/>
              </w:rPr>
            </w:pPr>
            <w:r>
              <w:rPr>
                <w:rFonts w:ascii="Arial" w:cs="Arial" w:eastAsia="Arial" w:hAnsi="Arial"/>
                <w:sz w:val="18"/>
                <w:szCs w:val="18"/>
                <w:color w:val="auto"/>
              </w:rPr>
              <w:t>- $74.99</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415,598</w:t>
            </w:r>
          </w:p>
        </w:tc>
        <w:tc>
          <w:tcPr>
            <w:tcW w:w="2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69.76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237,022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70.31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86"/>
              </w:rPr>
              <w:t>$ 93.64</w:t>
            </w: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$96.85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33,987</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33,987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$ 101.46 - $104.37</w:t>
            </w:r>
          </w:p>
        </w:tc>
        <w:tc>
          <w:tcPr>
            <w:tcW w:w="2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35,154</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102.60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35,154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102.60</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6"/>
              </w:rPr>
              <w:t>$ 46.74</w:t>
            </w: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$104.37</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686,015</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66.85</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3,284,000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1,822,000</w:t>
            </w:r>
          </w:p>
        </w:tc>
        <w:tc>
          <w:tcPr>
            <w:tcW w:w="20" w:type="dxa"/>
            <w:vAlign w:val="bottom"/>
          </w:tcPr>
          <w:p>
            <w:pPr>
              <w:spacing w:after="0"/>
              <w:rPr>
                <w:sz w:val="22"/>
                <w:szCs w:val="22"/>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summary of the restricted stock award activity under the employee plan described above for the nine months ended September 30, 2017:</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Unvested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Grant Date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Award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31, 2016</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127,130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(105,430)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(21,169)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68.99</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balance at September 30, 2017</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378,186</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a stock award plan for nonemployee directors of the Company which provides for the issuance of stock options and restricted stock. The director plan provides for automatic grants of restricted stock to nonemployee directors after each annual meeting of stockholders. In addition, the director plan allows for the issuance of stock options or restricted stock in lieu of cash for all or part of the annual director fee at the option of the director. The exercise prices for all options granted under the plan are equal to the fair market value per share of the Company’s common stock on the date of grant. The terms of the options are ten years. The restricted stock issued after each annual meeting of stockholders vests six months after the date of grant. Options granted and restricted stock issued in lieu of cash director fees vest in equal quarterly increments during the year to which they relate. At September 30, 2017, 510,071 shares were available for future grants under the director plan. The director stock award plan is intended as an incentive to attract and retain qualified independent directors.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ind w:left="340"/>
        <w:spacing w:after="0"/>
        <w:rPr>
          <w:sz w:val="20"/>
          <w:szCs w:val="20"/>
          <w:color w:val="auto"/>
        </w:rPr>
      </w:pPr>
      <w:r>
        <w:rPr>
          <w:rFonts w:ascii="Arial" w:cs="Arial" w:eastAsia="Arial" w:hAnsi="Arial"/>
          <w:sz w:val="17"/>
          <w:szCs w:val="17"/>
          <w:color w:val="auto"/>
        </w:rPr>
        <w:t>The following is a summary of the stock option activity under the director plan described above for the nine months ended September 30, 2017:</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Qualified 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Nonincentive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3,188</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70.65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46.23</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87.35</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2017</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157,617</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67.54</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information about the Company’s outstanding and exercisable stock options under the director plan at September 30, 2017: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rPr>
              <w:t>Options Outstanding</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Options Exercisable</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Aggregate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2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Range of</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Number</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Life in</w:t>
            </w:r>
          </w:p>
        </w:tc>
        <w:tc>
          <w:tcPr>
            <w:tcW w:w="16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Intrinsic</w:t>
            </w:r>
          </w:p>
        </w:tc>
        <w:tc>
          <w:tcPr>
            <w:tcW w:w="1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w:t>
            </w:r>
          </w:p>
        </w:tc>
        <w:tc>
          <w:tcPr>
            <w:tcW w:w="14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0" w:type="dxa"/>
            <w:vAlign w:val="bottom"/>
          </w:tcPr>
          <w:p>
            <w:pPr>
              <w:spacing w:after="0"/>
              <w:rPr>
                <w:sz w:val="20"/>
                <w:szCs w:val="20"/>
                <w:color w:val="auto"/>
              </w:rPr>
            </w:pPr>
          </w:p>
        </w:tc>
        <w:tc>
          <w:tcPr>
            <w:tcW w:w="2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Exercise Prices</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Outstanding</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Exercisable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c>
          <w:tcPr>
            <w:tcW w:w="14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r>
      <w:tr>
        <w:trPr>
          <w:trHeight w:val="216"/>
        </w:trPr>
        <w:tc>
          <w:tcPr>
            <w:tcW w:w="20" w:type="dxa"/>
            <w:vAlign w:val="bottom"/>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$ 29.60</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$ 41.24 – $56.45</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53,276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53,276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52.77</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$ 61.89 – $62.48</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35,153</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35,153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$ 70.65 – $99.52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63,188</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86.50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61,594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86.91</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$ 29.60 – $99.52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157,617</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67.54</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1,048,000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1,048,000</w:t>
            </w:r>
          </w:p>
        </w:tc>
        <w:tc>
          <w:tcPr>
            <w:tcW w:w="20" w:type="dxa"/>
            <w:vAlign w:val="bottom"/>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restricted stock award activity under the director plan described above for the nine months ended September 30, 2017:</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Unvested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Grant Date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Award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31, 2016</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21,198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70.65</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Nonvested balance at September 30, 2017</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20,560</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70.65</w:t>
            </w:r>
          </w:p>
        </w:tc>
        <w:tc>
          <w:tcPr>
            <w:tcW w:w="12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total intrinsic value of all stock options exercised under all of the Company’s plans was $1,585,000 and $266,000 for the nine months ended September 30, 2017 and 2016, respectively. The actual tax benefit realized for tax deductions from stock option exercises was $597,000 and $100,000 for the nine months ended September 30, 2017 and 2016, respectively.</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total intrinsic value of all the restricted stock vestings under all of the Company’s plans was $7,046,000 and $5,587,000 for the nine months ended September 30, 2017 and 2016, respectively. The actual tax benefit realized for tax deductions from restricted stock vestings was $2,654,000 and $2,095,000 for the nine months ended September 30, 2017 and 2016, respectively.</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2017, there was $3,744,000 of unrecognized compensation cost related to nonvested stock options and $19,777,000 related to restricted stock. The stock options are expected to be recognized over a weighted average period of approximately 1.6 years and restricted stock over approximately 3.2 years. The total fair value of options vested was $2,511,000 and $2,495,000 during the nine months ended September 30, 2017 and 2016, respectively. The fair value of the restricted stock vested was $7,046,000 and $5,587,000 for the nine months ended September 30, 2017 and 2016,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both"/>
        <w:ind w:firstLine="324"/>
        <w:spacing w:after="0" w:line="257" w:lineRule="auto"/>
        <w:rPr>
          <w:sz w:val="20"/>
          <w:szCs w:val="20"/>
          <w:color w:val="auto"/>
        </w:rPr>
      </w:pPr>
      <w:r>
        <w:rPr>
          <w:rFonts w:ascii="Arial" w:cs="Arial" w:eastAsia="Arial" w:hAnsi="Arial"/>
          <w:sz w:val="18"/>
          <w:szCs w:val="18"/>
          <w:color w:val="auto"/>
        </w:rPr>
        <w:t>The weighted average per share fair value of stock options granted during the nine months ended September 30, 2017 and 2016 was $20.72 and $17.30, respectively. The fair value of the stock options granted during the nine months ended September 30, 2017 and 2016 was $2,616,000 and $3,231,000, respectively. The Company currently uses treasury stock shares for restricted stock grants and stock option exercises. The fair value of each stock option was determined using the Black-Scholes option pricing model. The key input variables used in valuing the options during the nine months ended September 30, 2017 and 2016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00" w:type="dxa"/>
            <w:vAlign w:val="bottom"/>
          </w:tcPr>
          <w:p>
            <w:pPr>
              <w:spacing w:after="0"/>
              <w:rPr>
                <w:sz w:val="18"/>
                <w:szCs w:val="18"/>
                <w:color w:val="auto"/>
              </w:rPr>
            </w:pPr>
          </w:p>
        </w:tc>
      </w:tr>
      <w:tr>
        <w:trPr>
          <w:trHeight w:val="241"/>
        </w:trPr>
        <w:tc>
          <w:tcPr>
            <w:tcW w:w="8820" w:type="dxa"/>
            <w:vAlign w:val="bottom"/>
          </w:tcPr>
          <w:p>
            <w:pPr>
              <w:spacing w:after="0"/>
              <w:rPr>
                <w:sz w:val="20"/>
                <w:szCs w:val="20"/>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r>
      <w:tr>
        <w:trPr>
          <w:trHeight w:val="223"/>
        </w:trPr>
        <w:tc>
          <w:tcPr>
            <w:tcW w:w="88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3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Dividend yield</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w:t>
            </w:r>
          </w:p>
        </w:tc>
        <w:tc>
          <w:tcPr>
            <w:tcW w:w="13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Stock price volatility</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27%</w:t>
            </w:r>
          </w:p>
        </w:tc>
        <w:tc>
          <w:tcPr>
            <w:tcW w:w="1360" w:type="dxa"/>
            <w:vAlign w:val="bottom"/>
            <w:gridSpan w:val="2"/>
          </w:tcPr>
          <w:p>
            <w:pPr>
              <w:jc w:val="right"/>
              <w:ind w:right="27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Estimated option term</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Six years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Six years</w:t>
            </w:r>
          </w:p>
        </w:tc>
        <w:tc>
          <w:tcPr>
            <w:tcW w:w="10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COMPREHENSIVE INCOME</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changes in other comprehensive income for the three months and nine months ended September 30, 2017 and 2016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8"/>
                <w:szCs w:val="18"/>
                <w:b w:val="1"/>
                <w:bCs w:val="1"/>
                <w:color w:val="auto"/>
                <w:w w:val="88"/>
              </w:rPr>
              <w:t>Three months ended September 30,</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0"/>
              </w:rPr>
              <w:t>Income Tax</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center"/>
              <w:ind w:right="300"/>
              <w:spacing w:after="0" w:line="198" w:lineRule="exact"/>
              <w:rPr>
                <w:sz w:val="20"/>
                <w:szCs w:val="20"/>
                <w:color w:val="auto"/>
              </w:rPr>
            </w:pPr>
            <w:r>
              <w:rPr>
                <w:rFonts w:ascii="Arial" w:cs="Arial" w:eastAsia="Arial" w:hAnsi="Arial"/>
                <w:sz w:val="18"/>
                <w:szCs w:val="18"/>
                <w:b w:val="1"/>
                <w:bCs w:val="1"/>
                <w:color w:val="auto"/>
                <w:w w:val="90"/>
              </w:rPr>
              <w:t>Income Tax</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(Provision)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(Provision)</w:t>
            </w:r>
          </w:p>
        </w:tc>
        <w:tc>
          <w:tcPr>
            <w:tcW w:w="140" w:type="dxa"/>
            <w:vAlign w:val="bottom"/>
          </w:tcPr>
          <w:p>
            <w:pPr>
              <w:spacing w:after="0"/>
              <w:rPr>
                <w:sz w:val="18"/>
                <w:szCs w:val="18"/>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Benefit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Benefit</w:t>
            </w:r>
          </w:p>
        </w:tc>
        <w:tc>
          <w:tcPr>
            <w:tcW w:w="14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Amount</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Pension and postretirement benefits (a):</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net actuarial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50"/>
              <w:spacing w:after="0"/>
              <w:rPr>
                <w:sz w:val="20"/>
                <w:szCs w:val="20"/>
                <w:color w:val="auto"/>
              </w:rPr>
            </w:pPr>
            <w:r>
              <w:rPr>
                <w:rFonts w:ascii="Arial" w:cs="Arial" w:eastAsia="Arial" w:hAnsi="Arial"/>
                <w:sz w:val="5"/>
                <w:szCs w:val="5"/>
                <w:color w:val="auto"/>
                <w:w w:val="70"/>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w:t>
            </w:r>
          </w:p>
        </w:tc>
        <w:tc>
          <w:tcPr>
            <w:tcW w:w="140" w:type="dxa"/>
            <w:vAlign w:val="bottom"/>
            <w:shd w:val="clear" w:color="auto" w:fill="CCEEFF"/>
          </w:tcPr>
          <w:p>
            <w:pPr>
              <w:jc w:val="right"/>
              <w:ind w:right="50"/>
              <w:spacing w:after="0"/>
              <w:rPr>
                <w:sz w:val="20"/>
                <w:szCs w:val="20"/>
                <w:color w:val="auto"/>
              </w:rPr>
            </w:pPr>
            <w:r>
              <w:rPr>
                <w:rFonts w:ascii="Arial" w:cs="Arial" w:eastAsia="Arial" w:hAnsi="Arial"/>
                <w:sz w:val="5"/>
                <w:szCs w:val="5"/>
                <w:color w:val="auto"/>
                <w:w w:val="70"/>
              </w:rPr>
              <w:t>$</w:t>
            </w:r>
          </w:p>
        </w:tc>
        <w:tc>
          <w:tcPr>
            <w:tcW w:w="10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Actuarial losses</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8"/>
                <w:szCs w:val="18"/>
                <w:color w:val="auto"/>
              </w:rPr>
            </w:pPr>
          </w:p>
        </w:tc>
        <w:tc>
          <w:tcPr>
            <w:tcW w:w="140" w:type="dxa"/>
            <w:vAlign w:val="bottom"/>
          </w:tcPr>
          <w:p>
            <w:pPr>
              <w:jc w:val="right"/>
              <w:ind w:right="50"/>
              <w:spacing w:after="0"/>
              <w:rPr>
                <w:sz w:val="20"/>
                <w:szCs w:val="20"/>
                <w:color w:val="auto"/>
              </w:rPr>
            </w:pPr>
            <w:r>
              <w:rPr>
                <w:rFonts w:ascii="Arial" w:cs="Arial" w:eastAsia="Arial" w:hAnsi="Arial"/>
                <w:sz w:val="5"/>
                <w:szCs w:val="5"/>
                <w:color w:val="auto"/>
                <w:w w:val="70"/>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(456)</w:t>
            </w:r>
          </w:p>
        </w:tc>
        <w:tc>
          <w:tcPr>
            <w:tcW w:w="140" w:type="dxa"/>
            <w:vAlign w:val="bottom"/>
          </w:tcPr>
          <w:p>
            <w:pPr>
              <w:jc w:val="right"/>
              <w:ind w:right="50"/>
              <w:spacing w:after="0"/>
              <w:rPr>
                <w:sz w:val="20"/>
                <w:szCs w:val="20"/>
                <w:color w:val="auto"/>
              </w:rPr>
            </w:pPr>
            <w:r>
              <w:rPr>
                <w:rFonts w:ascii="Arial" w:cs="Arial" w:eastAsia="Arial" w:hAnsi="Arial"/>
                <w:sz w:val="5"/>
                <w:szCs w:val="5"/>
                <w:color w:val="auto"/>
                <w:w w:val="70"/>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8"/>
                <w:szCs w:val="18"/>
                <w:b w:val="1"/>
                <w:bCs w:val="1"/>
                <w:color w:val="auto"/>
                <w:w w:val="90"/>
              </w:rPr>
              <w:t>Nine months ended September 30,</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0"/>
              </w:rPr>
              <w:t>Income Tax</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Income Tax</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(Provision)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(Provision)</w:t>
            </w:r>
          </w:p>
        </w:tc>
        <w:tc>
          <w:tcPr>
            <w:tcW w:w="14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Benefit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Benefit</w:t>
            </w:r>
          </w:p>
        </w:tc>
        <w:tc>
          <w:tcPr>
            <w:tcW w:w="14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Pension and postretirement benefits (a):</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net actuarial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1,814</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(1,367)</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Actuarial gains (losses)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13,579</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(6,437)</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2,464</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24,789</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(9,560)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15,229</w:t>
            </w:r>
          </w:p>
        </w:tc>
        <w:tc>
          <w:tcPr>
            <w:tcW w:w="140" w:type="dxa"/>
            <w:vAlign w:val="bottom"/>
          </w:tcPr>
          <w:p>
            <w:pPr>
              <w:jc w:val="right"/>
              <w:ind w:right="1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1,097</w:t>
            </w:r>
          </w:p>
        </w:tc>
        <w:tc>
          <w:tcPr>
            <w:tcW w:w="140" w:type="dxa"/>
            <w:vAlign w:val="bottom"/>
          </w:tcPr>
          <w:p>
            <w:pPr>
              <w:jc w:val="right"/>
              <w:ind w:right="1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Actuarial gains/(losses) are amortized into costs of sales and operating expenses or selling, general and administrative expenses as appropriate. (See Note 11 – Retirement Plans)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5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operations are aggregated into two reportable business segments as follows:</w:t>
      </w:r>
    </w:p>
    <w:p>
      <w:pPr>
        <w:spacing w:after="0" w:line="25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i w:val="1"/>
          <w:iCs w:val="1"/>
          <w:color w:val="auto"/>
        </w:rPr>
        <w:t xml:space="preserve">Marine Transportation </w:t>
      </w:r>
      <w:r>
        <w:rPr>
          <w:rFonts w:ascii="Arial" w:cs="Arial" w:eastAsia="Arial" w:hAnsi="Arial"/>
          <w:sz w:val="17"/>
          <w:szCs w:val="17"/>
          <w:color w:val="auto"/>
        </w:rPr>
        <w:t>— Provides marine transportation principally by United States flag vessels of liquid cargoes throughout the United States inland</w:t>
      </w:r>
      <w:r>
        <w:rPr>
          <w:rFonts w:ascii="Arial" w:cs="Arial" w:eastAsia="Arial" w:hAnsi="Arial"/>
          <w:sz w:val="17"/>
          <w:szCs w:val="17"/>
          <w:i w:val="1"/>
          <w:iCs w:val="1"/>
          <w:color w:val="auto"/>
        </w:rPr>
        <w:t xml:space="preserve"> </w:t>
      </w:r>
      <w:r>
        <w:rPr>
          <w:rFonts w:ascii="Arial" w:cs="Arial" w:eastAsia="Arial" w:hAnsi="Arial"/>
          <w:sz w:val="17"/>
          <w:szCs w:val="17"/>
          <w:color w:val="auto"/>
        </w:rPr>
        <w:t>waterway system, along all three United States coasts, in Alaska and Hawaii and, to a lesser extent, in United States coastal transportation of dry-bulk cargoes. The principal products transported include petrochemicals, black oil, refined petroleum products and agricultural chemicals.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Distribution and Services </w:t>
      </w:r>
      <w:r>
        <w:rPr>
          <w:rFonts w:ascii="Arial" w:cs="Arial" w:eastAsia="Arial" w:hAnsi="Arial"/>
          <w:sz w:val="18"/>
          <w:szCs w:val="18"/>
          <w:color w:val="auto"/>
        </w:rPr>
        <w:t>— Provides after-market service and parts for engines, transmissions, reduction gears, and related equipment used in oilfield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marine,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land-based oilfield service and oil and gas operator and producer markets.</w:t>
      </w:r>
    </w:p>
    <w:p>
      <w:pPr>
        <w:spacing w:after="0" w:line="2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Company’s two reportable business segments are managed separately based on fundamental differences in their operations. The Company evaluates the performance of its segments based on the contributions to operating income of the respective segments, and before income taxes, interest, gains or losses on disposition of assets, other nonoperating income, noncontrolling interests, accounting changes, and nonrecurring items. Intersegment revenues, based on market-based pricing, of the distribution and services segment from the marine transportation segment of $4,967,000 and $15,342,000 for the three months and nine months ending September 30, 2017, respectively, and $7,171,000 and $17,722,000 for the three months and nine months ending September 30, 2016, respectively, have been eliminated from the tables below. The related intersegment profit of $497,000 and $1,534,000 for the three months and nine months ending September 30, 2017, respectively, and $717,000 and $1,772,000 for the three months and nine months ending September 30, 2016, respectively, have also been eliminated from the tables below.</w:t>
      </w:r>
    </w:p>
    <w:p>
      <w:pPr>
        <w:spacing w:after="0" w:line="2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revenues and profit or loss by reportable segment for the three months and nine months ended September 30, 2017 and 2016 and total assets as of September 30, 2017 and December 31, 2016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318,810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359,031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993,727</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1,115,677</w:t>
            </w: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222,464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75,677</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512,580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219,346</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541,274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434,708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1,506,307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1,335,023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Segment profit (loss):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36,042</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107,062</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197,981</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4,634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52,063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(8,535)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(24,465)</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47,861</w:t>
            </w:r>
          </w:p>
        </w:tc>
        <w:tc>
          <w:tcPr>
            <w:tcW w:w="140" w:type="dxa"/>
            <w:vAlign w:val="bottom"/>
          </w:tcPr>
          <w:p>
            <w:pPr>
              <w:spacing w:after="0"/>
              <w:rPr>
                <w:sz w:val="18"/>
                <w:szCs w:val="18"/>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51,559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131,874</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175,376</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38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Total assets:</w:t>
            </w: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transportation</w:t>
            </w:r>
          </w:p>
        </w:tc>
        <w:tc>
          <w:tcPr>
            <w:tcW w:w="5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3,589,535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3,613,951</w:t>
            </w: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Distribution and services</w:t>
            </w: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1,559,937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623,268</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52,676</w:t>
            </w:r>
          </w:p>
        </w:tc>
        <w:tc>
          <w:tcPr>
            <w:tcW w:w="0" w:type="dxa"/>
            <w:vAlign w:val="bottom"/>
          </w:tcPr>
          <w:p>
            <w:pPr>
              <w:spacing w:after="0"/>
              <w:rPr>
                <w:sz w:val="1"/>
                <w:szCs w:val="1"/>
                <w:color w:val="auto"/>
              </w:rPr>
            </w:pPr>
          </w:p>
        </w:tc>
      </w:tr>
      <w:tr>
        <w:trPr>
          <w:trHeight w:val="27"/>
        </w:trPr>
        <w:tc>
          <w:tcPr>
            <w:tcW w:w="380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Pr>
          <w:p>
            <w:pPr>
              <w:spacing w:after="0"/>
              <w:rPr>
                <w:sz w:val="18"/>
                <w:szCs w:val="18"/>
                <w:color w:val="auto"/>
              </w:rPr>
            </w:pPr>
          </w:p>
        </w:tc>
        <w:tc>
          <w:tcPr>
            <w:tcW w:w="52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5,200,415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4,289,895</w:t>
            </w: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5020" w:type="dxa"/>
            <w:vAlign w:val="bottom"/>
            <w:vMerge w:val="restart"/>
          </w:tcPr>
          <w:p>
            <w:pPr>
              <w:jc w:val="right"/>
              <w:ind w:right="2956"/>
              <w:spacing w:after="0"/>
              <w:rPr>
                <w:sz w:val="20"/>
                <w:szCs w:val="20"/>
                <w:color w:val="auto"/>
              </w:rPr>
            </w:pPr>
            <w:r>
              <w:rPr>
                <w:rFonts w:ascii="Arial" w:cs="Arial" w:eastAsia="Arial" w:hAnsi="Arial"/>
                <w:sz w:val="14"/>
                <w:szCs w:val="14"/>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380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800" w:type="dxa"/>
            <w:vAlign w:val="bottom"/>
            <w:tcBorders>
              <w:bottom w:val="single" w:sz="8" w:color="auto"/>
            </w:tcBorders>
          </w:tcPr>
          <w:p>
            <w:pPr>
              <w:spacing w:after="0"/>
              <w:rPr>
                <w:sz w:val="4"/>
                <w:szCs w:val="4"/>
                <w:color w:val="auto"/>
              </w:rPr>
            </w:pPr>
          </w:p>
        </w:tc>
        <w:tc>
          <w:tcPr>
            <w:tcW w:w="5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details of “Other” segment loss for the three months and nine months ended September 30, 2017 and 2016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Gain (loss) on disposition of assets</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(14,310)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(13,213)</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details of “Other” total assets as of September 30, 2017 and December 31, 2016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2,622</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50,943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TAXES ON INCOME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Earnings before taxes on income and details of the provision for taxes on income for the three months and nine months ended September 30, 2017 and 2016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8"/>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8"/>
              </w:rPr>
              <w:t>Nine months ended</w:t>
            </w:r>
          </w:p>
        </w:tc>
      </w:t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before taxes on income – United States</w:t>
            </w:r>
          </w:p>
        </w:tc>
        <w:tc>
          <w:tcPr>
            <w:tcW w:w="1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47,861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51,559</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175,376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Provision for taxes on income: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Current</w:t>
            </w:r>
          </w:p>
        </w:tc>
        <w:tc>
          <w:tcPr>
            <w:tcW w:w="1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3,617</w:t>
            </w:r>
          </w:p>
        </w:tc>
        <w:tc>
          <w:tcPr>
            <w:tcW w:w="120" w:type="dxa"/>
            <w:vAlign w:val="bottom"/>
          </w:tcPr>
          <w:p>
            <w:pPr>
              <w:spacing w:after="0"/>
              <w:rPr>
                <w:sz w:val="18"/>
                <w:szCs w:val="18"/>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1,190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13,605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14,281</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16,582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46,264</w:t>
            </w:r>
          </w:p>
        </w:tc>
      </w:tr>
      <w:tr>
        <w:trPr>
          <w:trHeight w:val="223"/>
        </w:trPr>
        <w:tc>
          <w:tcPr>
            <w:tcW w:w="20" w:type="dxa"/>
            <w:vAlign w:val="bottom"/>
          </w:tcPr>
          <w:p>
            <w:pPr>
              <w:spacing w:after="0"/>
              <w:rPr>
                <w:sz w:val="19"/>
                <w:szCs w:val="19"/>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State and local</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1,434</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4,885</w:t>
            </w:r>
          </w:p>
        </w:tc>
      </w:tr>
      <w:tr>
        <w:trPr>
          <w:trHeight w:val="257"/>
        </w:trPr>
        <w:tc>
          <w:tcPr>
            <w:tcW w:w="20" w:type="dxa"/>
            <w:vAlign w:val="bottom"/>
          </w:tcPr>
          <w:p>
            <w:pPr>
              <w:spacing w:after="0"/>
              <w:rPr>
                <w:sz w:val="22"/>
                <w:szCs w:val="22"/>
                <w:color w:val="auto"/>
              </w:rPr>
            </w:pPr>
          </w:p>
        </w:tc>
        <w:tc>
          <w:tcPr>
            <w:tcW w:w="47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19,206</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ASU 2016-09 requires that excess tax benefits and tax deficiencies related to share-based compensation be recognized as income tax expense or benefit in the income statement as discrete items in the reporting period in which they occur. This requirement was applied on a prospective basis to the tax effects of exercised or vested stock awards occurring on or after January 1, 2017. This resulted in an increase in the provision for taxes on income of $1,060,000 for the three months ended September 30, 2017 and a decrease of $178,000 for the nine months ended September 30, 2017.</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(10) EARNINGS PER SHARE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components of basic and diluted earnings per share for the three months and nine months ended September 30, 2017 and 2016 (in thousands, except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attributable to Kirby</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available to Kirby common stockholders - basic</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31,771</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Undistributed earnings reallocated to restricted shares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Income available to Kirby common stockholders - diluted</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28,394</w:t>
            </w:r>
          </w:p>
        </w:tc>
        <w:tc>
          <w:tcPr>
            <w:tcW w:w="120" w:type="dxa"/>
            <w:vAlign w:val="bottom"/>
          </w:tcPr>
          <w:p>
            <w:pPr>
              <w:spacing w:after="0"/>
              <w:rPr>
                <w:sz w:val="18"/>
                <w:szCs w:val="18"/>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31,772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81,269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108,286</w:t>
            </w:r>
          </w:p>
        </w:tc>
        <w:tc>
          <w:tcPr>
            <w:tcW w:w="0" w:type="dxa"/>
            <w:vAlign w:val="bottom"/>
          </w:tcPr>
          <w:p>
            <w:pPr>
              <w:spacing w:after="0"/>
              <w:rPr>
                <w:sz w:val="1"/>
                <w:szCs w:val="1"/>
                <w:color w:val="auto"/>
              </w:rPr>
            </w:pPr>
          </w:p>
        </w:tc>
      </w:tr>
      <w:tr>
        <w:trPr>
          <w:trHeight w:val="21"/>
        </w:trPr>
        <w:tc>
          <w:tcPr>
            <w:tcW w:w="610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Shares outstanding:</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issued and outstanding</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53,856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Weighted average unvested restricted stock</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(401)</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outstanding - basic</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53,455</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Dilutive effect of stock options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outstanding - diluted</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54,803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per share attributable to Kirby common stockholders: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8"/>
                <w:szCs w:val="18"/>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0.59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Certain outstanding options to purchase approximately 548,000 and 520,000 shares of common stock were excluded in the computation of diluted earnings per share as of September 30, 2017 and 2016, respectively, as such stock options would have been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RETIREMENT PLANS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sponsors a defined benefit plan for its inland vessel personnel and shore based tankermen. The plan benefits are based on an employee’s years of service and compensation. The plan assets consist primarily of equity and fixed income securities.</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 The Company did not incur any one-time charges related to this amendment but the pension plan’s projected benefit obligation decreased by $33,433,000.</w:t>
      </w:r>
    </w:p>
    <w:p>
      <w:pPr>
        <w:spacing w:after="0" w:line="21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its pension plan during 2017.</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sponsors an unfunded defined benefit health care plan that provides limited postretirement medical benefits to employees who meet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right="20" w:firstLine="324"/>
        <w:spacing w:after="0" w:line="277" w:lineRule="auto"/>
        <w:rPr>
          <w:sz w:val="20"/>
          <w:szCs w:val="20"/>
          <w:color w:val="auto"/>
        </w:rPr>
      </w:pPr>
      <w:r>
        <w:rPr>
          <w:rFonts w:ascii="Arial" w:cs="Arial" w:eastAsia="Arial" w:hAnsi="Arial"/>
          <w:sz w:val="18"/>
          <w:szCs w:val="18"/>
          <w:color w:val="auto"/>
        </w:rPr>
        <w:t>The components of net periodic benefit cost for the Company’s defined benefit plans for the three months and nine months ended September 30, 2017 and 2016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w w:val="98"/>
              </w:rPr>
              <w:t>Pension Benefits</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8"/>
              </w:rPr>
              <w:t>Pension Plan</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93"/>
              </w:rPr>
              <w:t>SERP</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Three months ended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jc w:val="center"/>
              <w:ind w:right="150"/>
              <w:spacing w:after="0" w:line="198" w:lineRule="exact"/>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7"/>
                <w:szCs w:val="17"/>
                <w:color w:val="auto"/>
              </w:rPr>
            </w:pPr>
          </w:p>
        </w:tc>
      </w:tr>
      <w:tr>
        <w:trPr>
          <w:trHeight w:val="241"/>
        </w:trPr>
        <w:tc>
          <w:tcPr>
            <w:tcW w:w="4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18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3,531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Pr>
          <w:p>
            <w:pPr>
              <w:ind w:left="180"/>
              <w:spacing w:after="0"/>
              <w:rPr>
                <w:sz w:val="20"/>
                <w:szCs w:val="20"/>
                <w:color w:val="auto"/>
              </w:rPr>
            </w:pPr>
            <w:r>
              <w:rPr>
                <w:rFonts w:ascii="Arial" w:cs="Arial" w:eastAsia="Arial" w:hAnsi="Arial"/>
                <w:sz w:val="18"/>
                <w:szCs w:val="18"/>
                <w:color w:val="auto"/>
              </w:rPr>
              <w:t>Amortization of actuarial loss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1,372</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57"/>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periodic benefit cost</w:t>
            </w:r>
          </w:p>
        </w:tc>
        <w:tc>
          <w:tcPr>
            <w:tcW w:w="1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76"/>
        </w:trPr>
        <w:tc>
          <w:tcPr>
            <w:tcW w:w="4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w w:val="98"/>
              </w:rPr>
              <w:t>Pension Benefits</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8"/>
              </w:rPr>
              <w:t>Pension Plan</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93"/>
              </w:rPr>
              <w:t>SERP</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Nine months ended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Nine months ended</w:t>
            </w:r>
          </w:p>
        </w:tc>
        <w:tc>
          <w:tcPr>
            <w:tcW w:w="100" w:type="dxa"/>
            <w:vAlign w:val="bottom"/>
          </w:tcPr>
          <w:p>
            <w:pPr>
              <w:spacing w:after="0"/>
              <w:rPr>
                <w:sz w:val="17"/>
                <w:szCs w:val="17"/>
                <w:color w:val="auto"/>
              </w:rPr>
            </w:pPr>
          </w:p>
        </w:tc>
      </w:tr>
      <w:tr>
        <w:trPr>
          <w:trHeight w:val="241"/>
        </w:trPr>
        <w:tc>
          <w:tcPr>
            <w:tcW w:w="4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18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10,409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10,594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Pr>
          <w:p>
            <w:pPr>
              <w:ind w:left="180"/>
              <w:spacing w:after="0"/>
              <w:rPr>
                <w:sz w:val="20"/>
                <w:szCs w:val="20"/>
                <w:color w:val="auto"/>
              </w:rPr>
            </w:pPr>
            <w:r>
              <w:rPr>
                <w:rFonts w:ascii="Arial" w:cs="Arial" w:eastAsia="Arial" w:hAnsi="Arial"/>
                <w:sz w:val="18"/>
                <w:szCs w:val="18"/>
                <w:color w:val="auto"/>
              </w:rPr>
              <w:t>Amortization of actuarial loss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4,115</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57"/>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periodic benefit cost</w:t>
            </w:r>
          </w:p>
        </w:tc>
        <w:tc>
          <w:tcPr>
            <w:tcW w:w="1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components of net periodic benefit cost for the Company’s postretirement benefit plan for the three months and nine months ended September 30, 2017 and 2016 were as follows (in thousands):</w:t>
      </w:r>
    </w:p>
    <w:p>
      <w:pPr>
        <w:sectPr>
          <w:pgSz w:w="11900" w:h="16838" w:orient="portrait"/>
          <w:cols w:equalWidth="0" w:num="1">
            <w:col w:w="11420"/>
          </w:cols>
          <w:pgMar w:left="240" w:top="125" w:right="239" w:bottom="1440" w:gutter="0" w:footer="0" w:header="0"/>
        </w:sectPr>
      </w:pPr>
    </w:p>
    <w:p>
      <w:pPr>
        <w:spacing w:after="0" w:line="193" w:lineRule="exact"/>
        <w:rPr>
          <w:sz w:val="20"/>
          <w:szCs w:val="20"/>
          <w:color w:val="auto"/>
        </w:rPr>
      </w:pPr>
    </w:p>
    <w:p>
      <w:pPr>
        <w:jc w:val="center"/>
        <w:ind w:left="6220"/>
        <w:spacing w:after="0"/>
        <w:rPr>
          <w:sz w:val="20"/>
          <w:szCs w:val="20"/>
          <w:color w:val="auto"/>
        </w:rPr>
      </w:pPr>
      <w:r>
        <w:rPr>
          <w:rFonts w:ascii="Arial" w:cs="Arial" w:eastAsia="Arial" w:hAnsi="Arial"/>
          <w:sz w:val="17"/>
          <w:szCs w:val="17"/>
          <w:b w:val="1"/>
          <w:bCs w:val="1"/>
          <w:color w:val="auto"/>
        </w:rPr>
        <w:t>Other Postretirement</w:t>
      </w:r>
    </w:p>
    <w:p>
      <w:pPr>
        <w:spacing w:after="0" w:line="39"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16122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jc w:val="center"/>
        <w:ind w:left="6220"/>
        <w:spacing w:after="0"/>
        <w:rPr>
          <w:sz w:val="20"/>
          <w:szCs w:val="20"/>
          <w:color w:val="auto"/>
        </w:rPr>
      </w:pPr>
      <w:r>
        <w:rPr>
          <w:rFonts w:ascii="Arial" w:cs="Arial" w:eastAsia="Arial" w:hAnsi="Arial"/>
          <w:sz w:val="16"/>
          <w:szCs w:val="16"/>
          <w:b w:val="1"/>
          <w:bCs w:val="1"/>
          <w:color w:val="auto"/>
        </w:rPr>
        <w:t>Postretirement Welfare</w:t>
      </w:r>
    </w:p>
    <w:p>
      <w:pPr>
        <w:spacing w:after="0" w:line="50"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16122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jc w:val="center"/>
        <w:ind w:left="62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16122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ind w:left="6480"/>
        <w:spacing w:after="0"/>
        <w:tabs>
          <w:tab w:leader="none" w:pos="7840" w:val="left"/>
        </w:tabs>
        <w:rPr>
          <w:sz w:val="20"/>
          <w:szCs w:val="20"/>
          <w:color w:val="auto"/>
        </w:rPr>
      </w:pPr>
      <w:r>
        <w:rPr>
          <w:rFonts w:ascii="Arial" w:cs="Arial" w:eastAsia="Arial" w:hAnsi="Arial"/>
          <w:sz w:val="17"/>
          <w:szCs w:val="17"/>
          <w:b w:val="1"/>
          <w:bCs w:val="1"/>
          <w:color w:val="auto"/>
        </w:rPr>
        <w:t>2017</w:t>
      </w:r>
      <w:r>
        <w:rPr>
          <w:sz w:val="20"/>
          <w:szCs w:val="20"/>
          <w:color w:val="auto"/>
        </w:rPr>
        <w:tab/>
      </w:r>
      <w:r>
        <w:rPr>
          <w:rFonts w:ascii="Arial" w:cs="Arial" w:eastAsia="Arial" w:hAnsi="Arial"/>
          <w:sz w:val="17"/>
          <w:szCs w:val="17"/>
          <w:b w:val="1"/>
          <w:bCs w:val="1"/>
          <w:color w:val="auto"/>
        </w:rPr>
        <w:t>2016</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Other Postretirement</w:t>
      </w:r>
    </w:p>
    <w:p>
      <w:pPr>
        <w:spacing w:after="0" w:line="3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5715</wp:posOffset>
            </wp:positionV>
            <wp:extent cx="15779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jc w:val="center"/>
        <w:ind w:right="460"/>
        <w:spacing w:after="0"/>
        <w:rPr>
          <w:sz w:val="20"/>
          <w:szCs w:val="20"/>
          <w:color w:val="auto"/>
        </w:rPr>
      </w:pPr>
      <w:r>
        <w:rPr>
          <w:rFonts w:ascii="Arial" w:cs="Arial" w:eastAsia="Arial" w:hAnsi="Arial"/>
          <w:sz w:val="16"/>
          <w:szCs w:val="16"/>
          <w:b w:val="1"/>
          <w:bCs w:val="1"/>
          <w:color w:val="auto"/>
        </w:rPr>
        <w:t>Postretirement Welfare</w:t>
      </w:r>
    </w:p>
    <w:p>
      <w:pPr>
        <w:spacing w:after="0" w:line="50"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5715</wp:posOffset>
            </wp:positionV>
            <wp:extent cx="15779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jc w:val="center"/>
        <w:ind w:right="4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September 30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5715</wp:posOffset>
            </wp:positionV>
            <wp:extent cx="15779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ind w:left="40"/>
        <w:spacing w:after="0"/>
        <w:tabs>
          <w:tab w:leader="none" w:pos="1360" w:val="left"/>
        </w:tabs>
        <w:rPr>
          <w:sz w:val="20"/>
          <w:szCs w:val="20"/>
          <w:color w:val="auto"/>
        </w:rPr>
      </w:pPr>
      <w:r>
        <w:rPr>
          <w:rFonts w:ascii="Arial" w:cs="Arial" w:eastAsia="Arial" w:hAnsi="Arial"/>
          <w:sz w:val="17"/>
          <w:szCs w:val="17"/>
          <w:b w:val="1"/>
          <w:bCs w:val="1"/>
          <w:color w:val="auto"/>
        </w:rPr>
        <w:t>2017</w:t>
      </w:r>
      <w:r>
        <w:rPr>
          <w:sz w:val="20"/>
          <w:szCs w:val="20"/>
          <w:color w:val="auto"/>
        </w:rPr>
        <w:tab/>
      </w:r>
      <w:r>
        <w:rPr>
          <w:rFonts w:ascii="Arial" w:cs="Arial" w:eastAsia="Arial" w:hAnsi="Arial"/>
          <w:sz w:val="17"/>
          <w:szCs w:val="17"/>
          <w:b w:val="1"/>
          <w:bCs w:val="1"/>
          <w:color w:val="auto"/>
        </w:rPr>
        <w:t>2016</w:t>
      </w:r>
    </w:p>
    <w:p>
      <w:pPr>
        <w:spacing w:after="0" w:line="39" w:lineRule="exact"/>
        <w:rPr>
          <w:sz w:val="20"/>
          <w:szCs w:val="20"/>
          <w:color w:val="auto"/>
        </w:rPr>
      </w:pPr>
    </w:p>
    <w:p>
      <w:pPr>
        <w:sectPr>
          <w:pgSz w:w="11900" w:h="16838" w:orient="portrait"/>
          <w:cols w:equalWidth="0" w:num="2">
            <w:col w:w="8460" w:space="720"/>
            <w:col w:w="22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4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Interest cost</w:t>
            </w:r>
          </w:p>
        </w:tc>
        <w:tc>
          <w:tcPr>
            <w:tcW w:w="4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gain</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w:t>
            </w:r>
          </w:p>
        </w:tc>
      </w:tr>
      <w:tr>
        <w:trPr>
          <w:trHeight w:val="27"/>
        </w:trPr>
        <w:tc>
          <w:tcPr>
            <w:tcW w:w="60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Net periodic benefit cost</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(481)</w:t>
            </w:r>
          </w:p>
        </w:tc>
        <w:tc>
          <w:tcPr>
            <w:tcW w:w="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(538)</w:t>
            </w:r>
          </w:p>
        </w:tc>
      </w:tr>
      <w:tr>
        <w:trPr>
          <w:trHeight w:val="21"/>
        </w:trPr>
        <w:tc>
          <w:tcPr>
            <w:tcW w:w="6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13, 2016, the tug Nathan E. Stewart and barge DBL 55, an articulated tank barge and tugboat unit (“ATB”), ran aground at the entrance to Seaforth Channel on Atholone Island, British Columbia. The grounding resulted in a breach of a portion of the Nathan E. Stewart’s fuel tanks causing a discharge of diesel fuel into the water. The United States Coast Guard (“USCG”) and the National Transportation Safety Board (“NTSB”) designated the Company as a party of interest in their investigation as to the cause of the incident. The Canadian authorities including Transport Canada and the Canadian Transportation Safety Board are also investigating the cause of the incident. The Company is subject to claims from third parties as well as the provincial and federal government as a result of the incident.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8" w:name="page19"/>
    <w:bookmarkEnd w:id="18"/>
    <w:p>
      <w:pPr>
        <w:jc w:val="both"/>
        <w:ind w:firstLine="324"/>
        <w:spacing w:after="0" w:line="271" w:lineRule="auto"/>
        <w:rPr>
          <w:sz w:val="20"/>
          <w:szCs w:val="20"/>
          <w:color w:val="auto"/>
        </w:rPr>
      </w:pPr>
      <w:r>
        <w:rPr>
          <w:rFonts w:ascii="Arial" w:cs="Arial" w:eastAsia="Arial" w:hAnsi="Arial"/>
          <w:sz w:val="17"/>
          <w:szCs w:val="17"/>
          <w:color w:val="auto"/>
        </w:rPr>
        <w:t>On March 22, 2014, two tank barges and a towboat (the M/V Miss Susan), owned by Kirby Inland Marine, LP, a wholly owned subsidiary of the Company, were involved in a collision with the M/S Summer Wind on the Houston Ship Channel near Texas City, Texas. The lead tank barge was damaged in the collision resulting in a discharge of intermediate fuel oil from one of its cargo tanks. The USCG and the NTSB named the Company and the Captain of the M/V Miss Susan, as well as the owner and the pilot of the M/S Summer Wind, as parties of interest in their investigation as to the cause of the incident. Sea Galaxy Ltd is the owner of the M/S Summer Wind. The Company is participating in the natural resource damage assessment and restoration process with federal and state government natural resource trustees. The Company believes it has adequate insurance coverage for pollution, marine and other potential liabilities arising from the incident. The Company believes it has accrued adequate reserves for the incident and does not expect the incident to have a material adverse effect on its business or financial condition.</w:t>
      </w:r>
    </w:p>
    <w:p>
      <w:pPr>
        <w:spacing w:after="0" w:line="20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is also involved in various legal and other proceedings which are incidental to the conduct of its business, none of which in the opinion of management will have a material effect on the Company’s business or financial condition. Management believes that it has recorded adequate reserves and believes that it has adequate insurance coverage or has meritorious defenses for these other claims and contingencies.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$30,466,000 at September 30, 2017, including $11,829,000 in letters of credit and $18,637,000 in performance bonds. All of these instruments have an expiration date within four years. The Company does not believe demand for payment under these instruments is likely and expects no material cash outlays to occur in connection with these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20, 2017, San Jac Marine, LLC (“San Jac”), a subsidiary of the Company, purchased certain assets of Sneed Shipbuilding, Inc. for $14,905,000 in cash including its Channelview, Texas shipyard. San Jac is a builder of marine vessels for both inland and offshore applications as well providing repair and maintenance services. The Company intends to build towboats at the shipyard and use the facilities for routine maintenance. The Company has not completed the final purchase price allocation at this time.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continues to be subject to the risk factors previously disclosed in its “Risk Factors” in the Company’s Annual Report on Form 10-K for the year ended December 31, 2016, as well as the following additional risk factor:</w:t>
      </w:r>
    </w:p>
    <w:p>
      <w:pPr>
        <w:spacing w:after="0" w:line="19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The Company may be unable to make attractive acquisitions or successfully integrate acquired businesses, and any inability to do so may disrupt the Company’s business and hinder its ability to grow. </w:t>
      </w:r>
      <w:r>
        <w:rPr>
          <w:rFonts w:ascii="Arial" w:cs="Arial" w:eastAsia="Arial" w:hAnsi="Arial"/>
          <w:sz w:val="17"/>
          <w:szCs w:val="17"/>
          <w:color w:val="auto"/>
        </w:rPr>
        <w:t>The Company has made asset and business acquisitions in the past and may continue to make acquisitions</w:t>
      </w:r>
      <w:r>
        <w:rPr>
          <w:rFonts w:ascii="Arial" w:cs="Arial" w:eastAsia="Arial" w:hAnsi="Arial"/>
          <w:sz w:val="17"/>
          <w:szCs w:val="17"/>
          <w:i w:val="1"/>
          <w:iCs w:val="1"/>
          <w:color w:val="auto"/>
        </w:rPr>
        <w:t xml:space="preserve"> </w:t>
      </w:r>
      <w:r>
        <w:rPr>
          <w:rFonts w:ascii="Arial" w:cs="Arial" w:eastAsia="Arial" w:hAnsi="Arial"/>
          <w:sz w:val="17"/>
          <w:szCs w:val="17"/>
          <w:color w:val="auto"/>
        </w:rPr>
        <w:t>of assets or businesses in the future that complement or expand the Company’s current business. The Company may not be able to identify attractive acquisition opportunities. Even if attractive acquisition opportunities are identified, the Company may not be able to complete the acquisition or do so on commercially acceptable terms. The success of any completed acquisition depends on the Company’s ability to integrate the acquired assets or business effectively into the Company’s existing operations. The process of integrating acquired assets or businesses may involve difficulties that require a disproportionate amount of the Company’s managerial and financial resources to resolve. The value of acquired assets or businesses may be negatively impacted by a variety of circumstances unknown to the Company prior to the acquisition. In addition, possible future acquisitions may be larger and for purchase prices significantly higher than those paid for earlier acquisitions. No assurance can be given that the Company will be able to identify additional suitable acquisition opportunities, negotiate acceptable terms, obtain financing for acquisitions on acceptable terms or successfully acquire identified targets. The Company’s failure to achieve consolidation savings, to integrate successfully the acquired businesses and assets into the Company’s existing operations, or to minimize any unforeseen operational difficulties could have a material adverse effect on the Company’s business, financial condition, and results of operations. In addition, agreements governing the Company’s indebtedness from time to time may impose certain limitations on the Company’s ability to undertake acquisitions or make investments or may limit the Company’s ability to incur certain indebtedness and liens, which could limit the Company’s ability to make acquisitions.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Statements contained in this Form 10-Q that are not historical facts, including, but not limited to, any projections contained herein, are forward-looking statements and involve a number of risks and uncertainties. Such statements can be identified by the use of forward-looking terminology such as “may,” “will,” “expect,” “anticipate,” “estimate,” “project”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tornadoes,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10-K for the year ended December 31, 2016 and Item 1A - Risk Factors in this report. Forward-looking statements are based on currently available information and the Company assumes no obligation to update any such statements.</w:t>
      </w:r>
    </w:p>
    <w:p>
      <w:pPr>
        <w:spacing w:after="0" w:line="21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purposes of the Management’s Discussion, all net earnings per share attributable to Kirby common stockholders are “diluted earnings per share.” The weighted average number of common shares applicable to diluted earnings per share for the three months and nine months ended September 30, 2017 and 2016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Three months ended</w:t>
            </w:r>
          </w:p>
        </w:tc>
        <w:tc>
          <w:tcPr>
            <w:tcW w:w="26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stock - diluted</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54,803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53,501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54,021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 in the weighted average number of common shares for the 2017 third quarter and first nine months compared with the 2016 third quarter and first nine months primarily reflected the issuance of 5,696,259 shares of Company common stock associated with the S&amp;S acquisition on September 13, 2017, and the issuance of restricted stock and the exercise of stock options.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is the nation’s largest domestic tank barge operator,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September 30, 2017, the Company operated a fleet of 848 inland tank barges with 17.4 million barrels of capacity, and operated an average of 215 inland towboats during the 2017 third quarter. The Company’s coastal fleet consisted of 67 tank barges with 6.2 million barrels of capacity and 70 coastal tugboats. The Company also owns and operates five offshore dry-bulk cargo barges and five offshore tugboats and one docking tugboat transporting dry-bulk cargoes in United States coastal trade. Through its distribution and services segment, the Company provides after-market service and parts for engines, transmissions, reduction gears, and related equipment used in oilfield services, marine,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land-based oilfield service and oil and gas operator and producer markets.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both"/>
        <w:ind w:firstLine="324"/>
        <w:spacing w:after="0" w:line="259" w:lineRule="auto"/>
        <w:rPr>
          <w:sz w:val="20"/>
          <w:szCs w:val="20"/>
          <w:color w:val="auto"/>
        </w:rPr>
      </w:pPr>
      <w:r>
        <w:rPr>
          <w:rFonts w:ascii="Arial" w:cs="Arial" w:eastAsia="Arial" w:hAnsi="Arial"/>
          <w:sz w:val="18"/>
          <w:szCs w:val="18"/>
          <w:color w:val="auto"/>
        </w:rPr>
        <w:t>For the 2017 third quarter, net earnings attributable to Kirby were $28,607,000, or $0.52 per share, on revenues of $541,274,000, compared with 2016 third quarter net earnings attributable to Kirby of $32,010,000, or $0.59 per share, on revenues of $434,708,000. For the 2017 first nine months, net earnings attributable to Kirby were $81,868,000, or $1.50 per share, on revenues of $1,506,307,000, compared with 2016 first nine months net earnings attributable to Kirby of $109,051,000, or $2.02 per share, on revenues of $1,335,023,000.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2017 third quarter and first nine months, the Company’s marine transportation segment generated 59% and 66%, respectively, of the Company’s revenue.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22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marine transportation segment’s revenues for the 2017 third quarter and first nine months decreased 11% when compared with the 2016 third quarter and first nine months. The decrease in revenues was primarily due to the industry-wide oversupply of tank barges in both the inland and coastal markets, resulting in lower inland marine transportation term and spot contract pricing, lower coastal marine transportation spot contract pricing and lower coastal equipment utilization. In addition, a continued increase in the number of coastal vessels operating in the spot market led to increased idle time and decreased revenues, partially offset by an increase in the average cost of marine diesel fuel which is largely passed through to the customer and the addition of the nine specialty pressure tank barges and four 30,000 barrel tank barges purchased in July 2017.</w:t>
      </w:r>
    </w:p>
    <w:p>
      <w:pPr>
        <w:spacing w:after="0" w:line="20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segment’s operating income for the 2017 third quarter and first nine months decreased 35% and 46%, respectively, compared with the 2016 third quarter and first nine months. The decreases in operating income were primarily due to lower inland term and spot contract pricing, lower coastal spot contract pricing, lower coastal equipment utilization and a continued increase in coastal equipment operating in the spot market which adds increased idle time and voyage costs, partially offset by savings in the coastal market from the release of chartered tugboats, idling owned barges and tugboats and reducing headcount accordingly, and by a reduction in the average number of inland towboats operated.</w:t>
      </w:r>
    </w:p>
    <w:p>
      <w:pPr>
        <w:spacing w:after="0" w:line="20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2017 third quarter and nine months revenue and operating income decreases were also due to the loss of revenue and additional operating expenses in the inland and coastal marine transportation markets associated with Hurricanes Harvey and Irma. Initial net lost revenues and costs associated with the hurricanes were approximately $0.07 per share for the third quarter. However, as the third quarter concluded, recoveries from marine customers for delays, pent-up demand for liquid barge movements as the Gulf Coast petrochemical and refinery complex returned to normal operations and a stronger pricing environment for customers’ products partially mitigated the negative impact of the hurricanes by approximately $0.04 per share. The 2016 first nine months marine transportation operating income included $3,792,000 of severance charges incurred in the 2016 first quarter. For the 2017 and 2016 third quarters, the inland tank barge fleet contributed 72% and 66%, respectively, and the coastal fleet contributed 28% and 34%, respectively, of marine transportation revenues. For the 2017 and 2016 first nine months, the inland tank barge fleet contributed 71% and 67%, respectively, and the coastal fleet contributed 29% and 33%, respectively, of marine transportation revenues.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jc w:val="both"/>
        <w:ind w:firstLine="324"/>
        <w:spacing w:after="0" w:line="293" w:lineRule="auto"/>
        <w:rPr>
          <w:sz w:val="20"/>
          <w:szCs w:val="20"/>
          <w:color w:val="auto"/>
        </w:rPr>
      </w:pPr>
      <w:r>
        <w:rPr>
          <w:rFonts w:ascii="Arial" w:cs="Arial" w:eastAsia="Arial" w:hAnsi="Arial"/>
          <w:sz w:val="16"/>
          <w:szCs w:val="16"/>
          <w:color w:val="auto"/>
        </w:rPr>
        <w:t>Operating conditions for the Company’s inland marine transportation markets during the 2017 third quarter deteriorated significantly after Hurricane Harvey made land-fall on the Gulf Coast at the end of August. Unrelated and coinciding infrastructure repairs on the upper Mississippi River further decreased operating efficiency in September. The effect was an increase in inland tank barge utilization levels after Hurricane Harvey from the mid-80% to the mid-90% range compared to the mid-80% to high 80% range during the 2017 second quarter, the high 80% to low 90% range during the 2017 first quarter and the low-to-mid 80% range for the 2016 third quarter. For the 2017 third quarter and first nine months, demand for barges moving petrochemicals and black oil was stable, while demand for refined petroleum products was lower compared to demand for the comparable 2016 periods.</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Coastal tank barge utilization levels declined to the low 60% to mid-60% range from the high 60% to mid-70% range during the 2017 second quarter, the mid-70% to low 80% range during the 2017 first quarter and the low-to-mid 80% range in the 2016 third quarter. Utilization in the coastal marine fleet continued to be impacted by the industry-wide oversupply of tank barges. Demand for the transportation of petrochemicals was relatively stable during the 2017 third quarter and first nine months compared to demand for the comparable 2016 periods. Demand for black oil products was weaker in the 2017 third quarter compared to the 2017 first and second quarters and the 2016 third quarter. Demand for the transportation of refined petroleum products and crude oil was lower in the 2017 third quarter and first nine months compared to demand in the same 2016 periods, primarily due to the oversupply of barge capacity.</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2017 third quarter and first nine months, approximately 75% of marine transportation inland revenues were under term contracts and 25% were spot contract revenues. For the 2016 third quarter and first nine months, approximately 80% of inland revenues were under term contracts and 20% were spot contract revenues. Inland time charters during the 2017 third quarter and first nine months represented 48% of the revenues under term contracts compared with 52% and 53% in the 2016 third quarter and first nine months, respectively.</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2017 and 2016 third quarters and first nine months, approximately 80% of the coastal revenues were under term contracts and 20% were spot contract revenues. Coastal time charters represented approximately 85% of coastal revenues under term contracts during the 2017 third quarter and first nine months compared with 90% during the 2016 third quarter and first nine months.</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Rates on inland term contracts renewed in the 2017 third quarter and first nine months continued to deteriorate due to excess industry capacity, decreasing in the 4% to 8% average range compared with term contracts renewed in the third quarter and first nine months of 2016. Spot contract rates, which include the cost of fuel, were relatively flat when compared with the 2017 first and second quarters, but below term contract rates. Effective January 1, 2017, annual escalators for labor and the producer price index on a number of inland multi-year contracts resulted in rate increases on those contracts of approximately 0.6%, excluding fuel.</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were no coastal term contracts renewed in the 2017 third quarter as customers elected to source their needs in the spot market. Rates on coastal term contracts renewed in the 2017 first six months were down slightly compared to term contracts renewed in the 2016 comparable periods, although most contracts failed to renew and customers elected to source their needs in the spot market. Spot contract rates, which include the cost of fuel, remained meaningfully below term contract rates during the first nine months of 2017, the degree to which varies based on geography, vessel capacity, vessel type and product service.</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marine transportation operating margin was 11.3% for the 2017 third quarter compared with 15.4% for the 2016 third quarter and 10.8% for the 2017 first nine months compared with 17.7% for the 2016 first nine months.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2017 third quarter and first nine months, the distribution and services segment generated 41% and 34%, respectively, of the Company’s revenue. For the 2017 third quarter and first nine months, 46% and 44% of the distribution and services segment revenue was generated from overhauls and service, 33% and 36% from direct parts sales and 21% and 20% from manufacturing, respectively. The results of the distribution and services segment are largely influenced by the economic cycles of the land-based oilfield service and oil and gas operator and producer markets, marine, power generation, on-highway and other industrial markets.</w:t>
      </w:r>
    </w:p>
    <w:p>
      <w:pPr>
        <w:spacing w:after="0" w:line="2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Distribution and services revenues for the 2017 third quarter and first nine months increased 194% and 134%, respectively, when compared with the third quarter and first nine months of 2016. Operating income for the 2017 third quarter and first nine months was $21,974,000 and $52,063,000, respectively, compared with operating income in the 2016 third quarter and first nine months of $4,634,000 and $1,860,000, respectively. The higher revenues and operating income in the 2017 third quarter and first nine months compared to the 2016 third quarter and first nine months were primarily attributable to the increased demand in the land-based market for the remanufacture of pressure pumping units and transmission overhauls, an improvement in the manufacturing of oilfield service equipment, including pressure pumping units, and an increase in the demand for the sale and distribution of engines, transmissions and related parts. The 2017 third quarter and first nine months higher revenues and operating income also reflected the S&amp;S acquisition on September 13, 2017. S&amp;S benefited from elevated demand for rental equipment and increased service work as a result of pent-up demand following Hurricanes Harvey, Irma and Maria, as well as healthy demand for service work, parts sales and the manufacturing of pressure pumping equipment. In the marine market, customers continued to defer major maintenance projects, particularly in the Midwest and on the East Coast, largely due to the weak inland and coastal tank barge markets and inland dry cargo barge market. In addition, continued weakness in the Gulf of Mexico oilfield services market negatively impacted the marine market. The power generation market was relatively stable with major generator set upgrades and parts sales for both domestic and international power generation customers. The distribution and services results for the 2016 first nine months included $1,436,000 of severance charges incurred in the 2016 first quarter in response to the reduced activity in both the land-based and marine markets.</w:t>
      </w:r>
    </w:p>
    <w:p>
      <w:pPr>
        <w:spacing w:after="0" w:line="19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distribution and services operating margin for the 2017 third quarter was 9.9% compared with 6.1% for the 2016 third quarter. For the 2017 first nine months, the operating margin was 10.2% compared with 0.8% for the first nine months of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Capital Expenditures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continued to generate strong operating cash flow during the 2017 first nine months, with net cash provided by operating activities of $259,455,000 compared with $338,246,000 net cash provided by operating activities for the 2016 first nine months. The 23% decrease was primarily from a $39,640,000 decrease in cash flows from changes in operating assets and liabilities, $27,540,000 of lower net earnings, and a $13,481,000 decrease in the provision for deferred income taxes. During the 2017 first nine months, the Company generated cash of $29,743,000 from proceeds from the disposition of assets compared to $15,136,000 for the first nine months of 2016. In the 2017 second quarter, the Company executed a sale leaseback transaction related to a constructed 4900 horsepower coastal tugboat. The Company received cash proceeds of $18,314,000 for the coastal tugboat and executed a ten year lease with the buyer. The Company also generated cash during the 2017 and 2016 first nine months of $2,076,000 and $321,000, respectively, from proceeds from the exercise of stock options.</w:t>
      </w:r>
    </w:p>
    <w:p>
      <w:pPr>
        <w:spacing w:after="0" w:line="2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2017 first nine months, cash generated and borrowings under the Company’s Revolving Credit Facility were used for capital expenditures of $133,437,000, including $8,449,000 for inland tank barge and towboat construction, $8,786,000 for progress payments on the construction of a 155,000 barrel coastal ATB placed in service in the 2017 third quarter, $15,404,000 for progress payments on the construction of two 4900 horsepower coastal tugboats, one completed in the 2017 second quarter and the second to be completed in the 2017 fourth quarter, $16,357,000 for progress payments on six 5000 horsepower coastal ATB tugboats, $698,000 in final costs for the construction of a 35,000 barrel coastal petrochemical tank barge, and $83,743,000 primarily for upgrading existing marine equipment and marine transportation and distribution and services facilities, and $451,219,000 for acquisitions of businesses and marine equipment.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both"/>
        <w:ind w:firstLine="324"/>
        <w:spacing w:after="0" w:line="271" w:lineRule="auto"/>
        <w:rPr>
          <w:sz w:val="20"/>
          <w:szCs w:val="20"/>
          <w:color w:val="auto"/>
        </w:rPr>
      </w:pPr>
      <w:r>
        <w:rPr>
          <w:rFonts w:ascii="Arial" w:cs="Arial" w:eastAsia="Arial" w:hAnsi="Arial"/>
          <w:sz w:val="17"/>
          <w:szCs w:val="17"/>
          <w:color w:val="auto"/>
        </w:rPr>
        <w:t>The Company’s debt-to-capitalization ratio increased to 26.4% at September 30, 2017 from 23.1% at December 31, 2016, primarily due to borrowings under the Company’s Revolving Credit Facility used to purchase the assets of S&amp;S, less the increase in total equity from net earnings attributable to Kirby for the 2017 first nine months of $81,868,000, stock issued with a fair value of $366,554,000 in connection with the acquisition of the assets of S&amp;S, exercise of stock options and the amortization of unearned equity compensation, partially offset by an $8,486,000 decrease in retained earnings due to the adoption of ASU 2016-09. As of September 30, 2017, the Company had $524,410,000 outstanding under its Revolving Credit Facility and $500,000,000 of senior notes outstanding, offset by $3,641,000 in unamortized debt issuance costs. In addition, as a result of the S&amp;S acquisition, the Company assumed debt of $13,724,000 and, after making principal payments of $1,065,000, the Company had a balance of $12,659,000 outstanding as of September 30, 2017, of which $2,400,000 was classified as current portion of long-term debt.</w:t>
      </w:r>
    </w:p>
    <w:p>
      <w:pPr>
        <w:spacing w:after="0" w:line="2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2017 first nine months, the Company took delivery of four new inland tank barges with a total capacity of approximately 115,000 barrels, acquired nine specialty pressure tank barges and four 30,000 barrel tank barges with a total capacity of 253,000 barrels, retired 47 inland tank barges, reducing its capacity by approximately 913,000 barrels, brought one inland tank barge back into service with a capacity of 20,000 barrels and temporarily chartered one inland tank barge with a total capacity of approximately 11,000 barrels. The net result was a reduction of 28 inland tank barges and approximately 514,000 barrels of capacity during the first nine months of 2017.</w:t>
      </w:r>
    </w:p>
    <w:p>
      <w:pPr>
        <w:spacing w:after="0" w:line="21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projects that capital expenditures for 2017 will be in the $175,000,000 to $185,000,000 range. The 2017 construction program will consist of five inland tank barges with a total capacity of 144,000 barrels and progress payments on 16 inland towboats of which one was delivered in the 2017 third quarter and 15 will be delivered in 2018 and 2019, progress payments on the construction of a 155,000 barrel coastal ATB placed in service in the 2017 third quarter, progress payments on the construction of two 4900 horsepower coastal tugboats and six 5000 horsepower coastal ATB tugboats and final costs on the construction of a 35,000 barrel coastal petrochemical tank barge. Based on current commitments, steel prices and projected delivery schedules, the Company’s 2017 payments on new inland tank barges and the towboats will be approximately $17,000,000, 2017 progress payments on the construction of the 155,000 barrel coastal ATB will be approximately $9,000,000, 2017 progress payments on the construction of the two 4900 horsepower coastal tugboats will be approximately $17,000,000, progress payments on the construction of the six 5000 horsepower coastal ATB tugboats will be approximately $26,000,000, and final costs on the construction of the 35,000 barrel coastal petrochemical tank barge will be approximately $1,000,000. The balance of approximately $105,000,000 to $115,000,000 is primarily capital upgrades and improvements to existing marine equipment and marine transportation and distribution and services facilities.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Reduced crude oil volumes to be moved by tank barge due to additional pipelines, coupled with the large number of tank barges built during the last several years, many of which were for the movement of crude oil and natural gas condensate, have resulted in excess industry-wide tank barge capacity and lower equipment utilization for both the inland and coastal marine transportation markets. This extra capacity placed inland and coastal tank barge rates under pressure. As a result, the inland market for the fourth quarter of 2017 will be impacted by the pricing declines experienced throughout 2016 and the 2017 first nine months. The Company anticipates inland utilization to range from the mid-80% to mid-90% range for the fourth quarter of 2017. While supply and demand in the inland tank barge industry is moving toward balance, the Company does not expect an improvement in pricing this year. However, future inland tank barge demand for petrochemical and refined petroleum products volumes from increased production from current facilities, plant expansions or the opening of new facilities should benefit the inland marine transportation markets.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jc w:val="both"/>
        <w:ind w:firstLine="324"/>
        <w:spacing w:after="0" w:line="290" w:lineRule="auto"/>
        <w:rPr>
          <w:sz w:val="20"/>
          <w:szCs w:val="20"/>
          <w:color w:val="auto"/>
        </w:rPr>
      </w:pPr>
      <w:r>
        <w:rPr>
          <w:rFonts w:ascii="Arial" w:cs="Arial" w:eastAsia="Arial" w:hAnsi="Arial"/>
          <w:sz w:val="16"/>
          <w:szCs w:val="16"/>
          <w:color w:val="auto"/>
        </w:rPr>
        <w:t>In the coastal marine transportation market, a decline in crude oil and natural gas condensate transportation volumes has increased available capacity and has resulted in some reluctance among certain customers to extend term contracts, which has led to an increase in the number of coastal vessels operating in the spot market. In addition, the Company and the industry have added new coastal tank barge capacity during 2015 and 2016, with additional new capacity coming on-line in 2017 through 2019. While much of this new capacity is replacement capacity for older vessels anticipated to be retired, the Company maintains a cautious outlook as the industry absorbs the new capacity. While the Company does expect the supply of tank barges and capacity in the coastal industry fleet to eventually balance with demand, the Company does not anticipate that balance occurring in 2017 without an improvement in demand. As a result, throughout the 2017 first nine months, the Company released chartered tugboats, idled owned barges and tugboats and reduced headcount accordingly. The Company expects tank barge utilization for the coastal markets to be in the low-to-mid 60% range for the fourth quarter of 2017.</w:t>
      </w:r>
    </w:p>
    <w:p>
      <w:pPr>
        <w:spacing w:after="0" w:line="19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of September 30, 2017, the Company estimated there were approximately 3,850 inland tank barges in the industry fleet, of which approximately 500 were over 30 years old and approximately 250 of those over 40 years old. Given the age profile of the industry inland tank barge fleet and current market conditions, the expectation is that many older tank barges will be removed from service during 2017. The Company estimates that approximately 40 tank barges were ordered during 2016 for delivery throughout 2017, five of which are for the Company, and many older tank barges, including an expected 51 by the Company, will be retired, dependent on 2017 market conditions. Historically, 75 to 150 older inland tank barges are retired from service each year industry-wide, with the extent of the retirements dependent on petrochemical and refinery production levels, and crude oil and natural gas condensate movements, both of which can have a direct effect on industry-wide tank barge utilization, as well as term and spot contract rates.</w:t>
      </w:r>
    </w:p>
    <w:p>
      <w:pPr>
        <w:spacing w:after="0" w:line="1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September 30, 2017, the Company estimated there were approximately 295 tank barges operating in the 195,000 barrel or less coastal industry fleet, the sector of the market in which the Company operates, and approximately 35 of those were over 30 years old. The Company took delivery of a new 155,000 barrel coastal ATB in the 2017 third quarter. The Company is aware of nine announced coastal tank barge and tugboat units in the 195,000 barrel or less category under construction by competitors for delivery in the 2017 fourth quarter, 2018 and 2019.</w:t>
      </w:r>
    </w:p>
    <w:p>
      <w:pPr>
        <w:spacing w:after="0" w:line="19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land-based distribution and services market, the Company is experiencing a healthy rebound in service demand, particularly with pressure pumping unit remanufacturing and transmission overhauls. The United States land rig count has improved from the lows of 2016, oil prices have traded in the $40 to $55 per barrel range during 2017, and service intensity in the well completion business has increased. The condition of the industry’s pressure pumping fleet remains poor. Based on these positive conditions, the Company anticipates that for the fourth quarter of 2017 the demand for pressure pumping unit remanufacturing will remain strong and that increased demand is anticipated to generate orders for the manufacture of pressure pumping units and ancillary oilfield service support equipment. The Company also anticipates the demand for rental of standby power generators, elevated as a result of hurricane related demand in Texas and Florida during late August and September, will return to normal levels in the fourth quarter.</w:t>
      </w:r>
    </w:p>
    <w:p>
      <w:pPr>
        <w:spacing w:after="0" w:line="1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marine market, the Company anticipates continued weakness in the Gulf of Mexico oilfield services market, as well as the inland and coastal tank barge markets and inland dry cargo barge market, throughout the fourth quarter of 2017. The power generation market should remain stable, benefiting from engine-generator set upgrades and parts sales for both domestic and international customers.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October 20, 2017, San Jac, a subsidiary of the Company, purchased certain assets of Sneed Shipbuilding, Inc. for $14,905,000 in cash including its Channelview, Texas shipyard. San Jac is a builder of marine vessels for both inland and offshore applications as well providing repair and maintenance services. The Company intends to build towboats at the shipyard and use the facilities for routine maintenance. The Company has not completed the final purchase price allocation at this time. Financing of the asset acquisition was through borrowings under the Company’s revolving credit facility.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both"/>
        <w:ind w:firstLine="324"/>
        <w:spacing w:after="0" w:line="257" w:lineRule="auto"/>
        <w:rPr>
          <w:sz w:val="20"/>
          <w:szCs w:val="20"/>
          <w:color w:val="auto"/>
        </w:rPr>
      </w:pPr>
      <w:r>
        <w:rPr>
          <w:rFonts w:ascii="Arial" w:cs="Arial" w:eastAsia="Arial" w:hAnsi="Arial"/>
          <w:sz w:val="18"/>
          <w:szCs w:val="18"/>
          <w:color w:val="auto"/>
        </w:rPr>
        <w:t>On September 13, 2017, the Company completed the acquisition of substantially all of the assets of S&amp;S, a global manufacturer and distributor of products and services for the oil and gas, marine, construction, power generation, transportation, mining and agricultural industries. The acquired business, which the Company operates through a newly formed subsidiary renamed Stewart &amp; Stevenson LLC after the closing of the acquisition, was founded in 1902 and serves domestic and global markets with equipment, rental solutions, parts and service through a strategic network of sales and service centers in domestic and international locations.</w:t>
      </w:r>
    </w:p>
    <w:p>
      <w:pPr>
        <w:spacing w:after="0" w:line="21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total value of the transaction was $758,245,000, before post-closing adjustments and excluding transaction fees, consisting of cash consideration of $377,967,000, the assumption of $13,724,000 of debt and $366,554,000 through the issuance of 5,696,259 shares of Company common stock valued at $64.35 per share, the Company’s closing share price on September 13, 2017. The debt assumed consists of $12,135,000 of term debt and $1,589,000 of short-term secured loans related to the Company’s South American operations. The term debt has a maturity date of September 15, 2032 and carries an interest rate of 4.0%. The term debt has quarterly interest payments plus quarterly principal payments of $375,000 due through December 2022 and $99,000 due thereafter through the maturity date. The term debt can be paid off prior to maturity without penalty. Financing of the acquisition was through a combination of the Company’s revolving credit facility and the issuance of Company common stock.</w:t>
      </w:r>
    </w:p>
    <w:p>
      <w:pPr>
        <w:spacing w:after="0" w:line="2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S&amp;S, headquartered in Houston, Texas with 42 branches across 12 states, is a distributor in certain geographic areas for Allison Transmission, MTU Detroit Diesel, Electro-Motive Diesel, Deutz and several other manufacturers. S&amp;S’ principal customers are oilfield service companies, oil and gas operators and producers, and companies in the marine, construction, power generation, transportation, mining and agricultural industries.</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July 10, 2017, the Company completed the purchase of certain inland marine assets from an undisclosed competitor for $68,000,000 in cash. The assets purchased consisted of nine specialty pressure tank barges, four 30,000 barrel tank barges and three 1320 horsepower inland towboats. The average age of the 13 inland tank barges was five years. The 13 tank barges transport petrochemicals and refined petroleum products on the Mississippi River System and the Gulf Intracoastal Waterway. Financing of the equipment acquisition was through borrowings under the Company’s revolving credit facility.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July 2017, the Company purchased four inland tank barges for $1,450,000 as well as a barge fleeting and marine fueling operation business in Freeport, Texas for $3,900,000. Financing of the acquisitions was through the Company’s operating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2017 third quarter, net earnings attributable to Kirby were $28,607,000, or $0.52 per share, on revenues of $541,274,000, compared with 2016 third quarter net earnings attributable to Kirby of $32,010,000, or $0.59 per share, on revenues of $434,708,000. For the 2017 first nine months, net earnings attributable to Kirby were $81,868,000, or $1.50 per share, on revenues of $1,506,307,000, compared with 2016 first nine months net earnings attributable to Kirby of $109,051,000, or $2.02 per share, on revenues of $1,335,023,000.</w:t>
      </w:r>
    </w:p>
    <w:p>
      <w:pPr>
        <w:spacing w:after="0" w:line="2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2017 third quarter and first nine months results included a contribution of $0.03 and $0.02, respectively, per share from the S&amp;S business, acquired on September 13, 2017. The S&amp;S contribution was negatively impacted by acquisition related costs of $707,000, or $0.01 per share, in the 2017 second quarter, and $764,000, or $0.01 per share, in the 2017 third quarter. The 2017 third quarter and first nine months also included an estimated net $0.03 per share negative impact of Hurricane Harvey, which made landfall along the Gulf Coast in late August 2017, impacting the marine transportation and distribution and services operations, and Hurricane Irma, which disrupted the coastal marine transportation and distribution and services operations along the East Coast. The 2016 first nine months results included $5,605,000 before taxes, or $0.06 per share, of severance charges incurred in the 2016 first quarter. The severance charges were a reduction in force across the marine transportation and distribution and services businesses and corporate staff in order to reduce costs in light of challenging market conditions.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both"/>
        <w:ind w:firstLine="324"/>
        <w:spacing w:after="0" w:line="264" w:lineRule="auto"/>
        <w:rPr>
          <w:sz w:val="20"/>
          <w:szCs w:val="20"/>
          <w:color w:val="auto"/>
        </w:rPr>
      </w:pPr>
      <w:r>
        <w:rPr>
          <w:rFonts w:ascii="Arial" w:cs="Arial" w:eastAsia="Arial" w:hAnsi="Arial"/>
          <w:sz w:val="18"/>
          <w:szCs w:val="18"/>
          <w:color w:val="auto"/>
        </w:rPr>
        <w:t>The following table sets forth the Company’s marine transportation and distribution and services revenues for the 2017 third quarter compared with the third quarter of 2016, the first nine months of 2017 compared with the first nine months of 2016 and the percentage of each to total revenues for the comparable periods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Nine months ended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Marine transportation</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318,810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359,031</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993,727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1,115,677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Distribution and services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222,464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75,677</w:t>
            </w:r>
          </w:p>
        </w:tc>
        <w:tc>
          <w:tcPr>
            <w:tcW w:w="58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512,580</w:t>
            </w: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219,346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541,274</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434,708</w:t>
            </w: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1,506,307</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1,335,023</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through its marine transportation segment, is a provider of marine transportation services, operating tank barges and towing vessels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September 30, 2017, the Company operated 848 inland tank barges, including 31 leased barges, with a total capacity of 17.4 million barrels. This compares with 881 inland tank barges operated as of September 30, 2016, including 35 leased barges, with a total capacity of 17.9 million barrels. The Company operated an average of 215 inland towboats during the 2017 third quarter, of which an average of 59 were chartered, compared with 227 during the 2016 third quarter, of which an average of 69 were chartered. The Company’s coastal tank barge fleet as of September 30, 2017 consisted of 67 tank barges, seven of which were leased, with 6.2 million barrels of capacity, and 70 tugboats, five of which were chartered. This compares with 68 coastal tank barges operated as of September 30, 2016, seven of which were leased, with 6.0 million barrels of capacity, and 80 tugboats, six of which were chartered. The Company owns and operates five offshore dry-bulk cargo barges and five offshore tugboats engaged in the offshore transportation of dry-bulk cargoes. The Company also owns shifting operations and fleeting facilities for dry cargo barges and tank barges on the Houston Ship Channel and in Freeport, Texas, as well as a two-thirds interest in Osprey Line, L.L.C., which transports project cargoes and cargo containers by barge.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both"/>
        <w:ind w:firstLine="324"/>
        <w:spacing w:after="0" w:line="264" w:lineRule="auto"/>
        <w:rPr>
          <w:sz w:val="20"/>
          <w:szCs w:val="20"/>
          <w:color w:val="auto"/>
        </w:rPr>
      </w:pPr>
      <w:r>
        <w:rPr>
          <w:rFonts w:ascii="Arial" w:cs="Arial" w:eastAsia="Arial" w:hAnsi="Arial"/>
          <w:sz w:val="18"/>
          <w:szCs w:val="18"/>
          <w:color w:val="auto"/>
        </w:rPr>
        <w:t>The following table sets forth the Company’s marine transportation segment’s revenues, costs and expenses, operating income and operating margins for the three months and nine months ended September 30, 2017 compared with the three months and nine months ended September 30, 2016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90"/>
              </w:rPr>
              <w:t>Three months ended</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2"/>
              </w:rPr>
              <w:t>Nine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370"/>
              <w:spacing w:after="0" w:line="198"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860" w:type="dxa"/>
            <w:vAlign w:val="bottom"/>
          </w:tcPr>
          <w:p>
            <w:pPr>
              <w:jc w:val="center"/>
              <w:ind w:left="150"/>
              <w:spacing w:after="0"/>
              <w:rPr>
                <w:sz w:val="20"/>
                <w:szCs w:val="20"/>
                <w:color w:val="auto"/>
              </w:rPr>
            </w:pPr>
            <w:r>
              <w:rPr>
                <w:rFonts w:ascii="Arial" w:cs="Arial" w:eastAsia="Arial" w:hAnsi="Arial"/>
                <w:sz w:val="18"/>
                <w:szCs w:val="18"/>
                <w:b w:val="1"/>
                <w:bCs w:val="1"/>
                <w:color w:val="auto"/>
                <w:w w:val="87"/>
              </w:rPr>
              <w:t>Change</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3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Marine transportation revenues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318,810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359,031</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2"/>
              </w:rPr>
              <w:t>(11)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993,727</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1,115,677</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w w:val="94"/>
              </w:rPr>
              <w:t>Costs of sales and operating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204,711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226,543</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w w:val="87"/>
              </w:rPr>
              <w:t>(10)</w:t>
            </w:r>
          </w:p>
        </w:tc>
        <w:tc>
          <w:tcPr>
            <w:tcW w:w="24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652,402</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681,887</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26,089</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82,289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85,386</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5,651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4,880</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17,598</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14,671</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46,059</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134,376</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135,752</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282,768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303,571</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886,665</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917,696</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36,042</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55,460</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1"/>
              </w:rPr>
              <w:t>(35)%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107,062</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197,981</w:t>
            </w: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Operating margins</w:t>
            </w: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Transportation Revenues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marine transportation markets serviced by the Company, the marine transportation revenue distribution for the 2017 third quarter and first nine months, products moved and the drivers of the demand for the products the Company transports: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2017 Third</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2017 Nine</w:t>
            </w: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Markets Serviced</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100" w:type="dxa"/>
            <w:vAlign w:val="bottom"/>
          </w:tcPr>
          <w:p>
            <w:pPr>
              <w:spacing w:after="0"/>
              <w:rPr>
                <w:sz w:val="20"/>
                <w:szCs w:val="20"/>
                <w:color w:val="auto"/>
              </w:rPr>
            </w:pPr>
          </w:p>
        </w:tc>
        <w:tc>
          <w:tcPr>
            <w:tcW w:w="288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Products Moved</w:t>
            </w:r>
          </w:p>
        </w:tc>
        <w:tc>
          <w:tcPr>
            <w:tcW w:w="120" w:type="dxa"/>
            <w:vAlign w:val="bottom"/>
          </w:tcPr>
          <w:p>
            <w:pPr>
              <w:spacing w:after="0"/>
              <w:rPr>
                <w:sz w:val="20"/>
                <w:szCs w:val="20"/>
                <w:color w:val="auto"/>
              </w:rPr>
            </w:pPr>
          </w:p>
        </w:tc>
        <w:tc>
          <w:tcPr>
            <w:tcW w:w="278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Drivers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Petrochemicals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4"/>
              </w:rPr>
              <w:t>56%</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88"/>
              </w:rPr>
              <w:t>55%</w:t>
            </w: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Benzene, Styrene, Methanol,</w:t>
            </w:r>
          </w:p>
        </w:tc>
        <w:tc>
          <w:tcPr>
            <w:tcW w:w="1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Consumer non-durables – 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3"/>
              </w:rPr>
              <w:t>Acrylonitrile, Xylene, Naphtha, Caustic</w:t>
            </w:r>
          </w:p>
        </w:tc>
        <w:tc>
          <w:tcPr>
            <w:tcW w:w="2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Consumer durables –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Soda, Butadiene, Propylene</w:t>
            </w:r>
          </w:p>
        </w:tc>
        <w:tc>
          <w:tcPr>
            <w:tcW w:w="12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Black Oil</w:t>
            </w:r>
          </w:p>
        </w:tc>
        <w:tc>
          <w:tcPr>
            <w:tcW w:w="126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94"/>
              </w:rPr>
              <w:t>22%</w:t>
            </w:r>
          </w:p>
        </w:tc>
        <w:tc>
          <w:tcPr>
            <w:tcW w:w="1360" w:type="dxa"/>
            <w:vAlign w:val="bottom"/>
            <w:gridSpan w:val="2"/>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88"/>
              </w:rPr>
              <w:t>24%</w:t>
            </w: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Residual Fuel Oil, Coker Feedstock,</w:t>
            </w:r>
          </w:p>
        </w:tc>
        <w:tc>
          <w:tcPr>
            <w:tcW w:w="29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Fuel for Power Plants and 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Vacuum Gas Oil, Asphalt, Carbon</w:t>
            </w:r>
          </w:p>
        </w:tc>
        <w:tc>
          <w:tcPr>
            <w:tcW w:w="2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Feedstock for Refineries, Road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9"/>
              </w:rPr>
              <w:t>Black Feedstock, Crude Oil, Natural</w:t>
            </w:r>
          </w:p>
        </w:tc>
        <w:tc>
          <w:tcPr>
            <w:tcW w:w="2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Construction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Gas Condensate, Ship Bunkers</w:t>
            </w:r>
          </w:p>
        </w:tc>
        <w:tc>
          <w:tcPr>
            <w:tcW w:w="12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Refined Petroleum Products</w:t>
            </w:r>
          </w:p>
        </w:tc>
        <w:tc>
          <w:tcPr>
            <w:tcW w:w="126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94"/>
              </w:rPr>
              <w:t>18%</w:t>
            </w:r>
          </w:p>
        </w:tc>
        <w:tc>
          <w:tcPr>
            <w:tcW w:w="1360" w:type="dxa"/>
            <w:vAlign w:val="bottom"/>
            <w:gridSpan w:val="2"/>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88"/>
              </w:rPr>
              <w:t>18%</w:t>
            </w: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Gasoline, No. 2 Oil, Jet Fuel, Heating</w:t>
            </w:r>
          </w:p>
        </w:tc>
        <w:tc>
          <w:tcPr>
            <w:tcW w:w="29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Vehicle Usage, Air Travel, Weather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Oil, Diesel Fuel, Ethanol</w:t>
            </w:r>
          </w:p>
        </w:tc>
        <w:tc>
          <w:tcPr>
            <w:tcW w:w="2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Conditions, Refinery Utilization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Agricultural Chemicals</w:t>
            </w:r>
          </w:p>
        </w:tc>
        <w:tc>
          <w:tcPr>
            <w:tcW w:w="1260" w:type="dxa"/>
            <w:vAlign w:val="bottom"/>
            <w:gridSpan w:val="2"/>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92"/>
              </w:rPr>
              <w:t>4%</w:t>
            </w:r>
          </w:p>
        </w:tc>
        <w:tc>
          <w:tcPr>
            <w:tcW w:w="1360" w:type="dxa"/>
            <w:vAlign w:val="bottom"/>
            <w:gridSpan w:val="2"/>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2"/>
              </w:rPr>
              <w:t>3%</w:t>
            </w: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Anhydrous Ammonia, Nitrogen –</w:t>
            </w:r>
          </w:p>
        </w:tc>
        <w:tc>
          <w:tcPr>
            <w:tcW w:w="29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Corn, Cotton and Wheat Production,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Based Liquid Fertilizer, Industrial</w:t>
            </w:r>
          </w:p>
        </w:tc>
        <w:tc>
          <w:tcPr>
            <w:tcW w:w="2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Chemical Feedstock Usage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Ammonia</w:t>
            </w:r>
          </w:p>
        </w:tc>
        <w:tc>
          <w:tcPr>
            <w:tcW w:w="12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80" w:type="dxa"/>
            <w:vAlign w:val="bottom"/>
            <w:gridSpan w:val="2"/>
          </w:tcPr>
          <w:p>
            <w:pPr>
              <w:ind w:left="100"/>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jc w:val="both"/>
        <w:ind w:firstLine="324"/>
        <w:spacing w:after="0" w:line="272" w:lineRule="auto"/>
        <w:rPr>
          <w:sz w:val="20"/>
          <w:szCs w:val="20"/>
          <w:color w:val="auto"/>
        </w:rPr>
      </w:pPr>
      <w:r>
        <w:rPr>
          <w:rFonts w:ascii="Arial" w:cs="Arial" w:eastAsia="Arial" w:hAnsi="Arial"/>
          <w:sz w:val="17"/>
          <w:szCs w:val="17"/>
          <w:color w:val="auto"/>
        </w:rPr>
        <w:t>For the 2017 and 2016 third quarters and first nine months, the inland tank barge fleet contributed 72% and 66%, respectively, and the coastal fleet 28% and 34%, respectively, of marine transportation revenues. Marine transportation revenues for the 2017 third quarter and first nine months decreased 11% when compared with the 2016 third quarter and first nine months, primarily due to the industry-wide oversupply of tank barges in both the inland and coastal markets, resulting in lower inland marine transportation term and spot contract pricing, lower coastal marine transportation spot contract pricing and lower coastal equipment utilization. In addition, a continued increase in the number of coastal vessels operating in the spot market led to increased idle time and decreased revenues, partially offset by an increase in the average cost of marine diesel fuel which is largely passed through to the customer and the addition of the nine specialty pressure tank barges and four 30,000 barrel tank barges purchased in July 2017.</w:t>
      </w:r>
    </w:p>
    <w:p>
      <w:pPr>
        <w:spacing w:after="0" w:line="20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2017 third quarter and nine months revenue decrease was also due to the loss of revenue in the inland and coastal marine transportation markets associated with Hurricanes Harvey and Irma. Operating conditions for the Company’s inland marine transportation markets deteriorated significantly after Hurricane Harvey made land-fall on the Gulf Coast at the end of August. Unrelated and coinciding infrastructure repairs on the upper Mississippi River further decreased operating efficiency in September. The effect was an increase in inland tank barge utilization levels after Hurricane Harvey from the mid-80% to the mid-90% range during the balance of third quarter compared to the mid-80% to high 80% range during the 2017 second quarter, the high 80% to low 90% range during the 2017 first quarter and the low-to-mid 80% range for the 2016 third quarter. As the third quarter concluded, recoveries from marine customers for delays, pent-up demand for liquid barge movements as the Gulf Coast petrochemical and refinery complex returned to normal operations and a stronger pricing environment for customers’ products partially mitigated the negative impact of the hurricanes. The decline in utilization from the 2017 first quarter to the 2017 second quarter was mainly due to better weather conditions along the Gulf Coast, which enhanced operating efficiency and thereby lowered tank barge utilization, and also due to seasonally weak demand for the transportation of agricultural chemicals.</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Coastal tank barge utilization levels declined to the low 60% to mid-60% range from the high 60% to mid-70% range during the 2017 second quarter, the mid-70% to low 80% range during the 2017 first quarter and the low-to-mid 80% range in the 2016 third quarter. Utilization in the coastal marine fleet continued to be impacted by the industry-wide oversupply of tank barges in the coastal industry and weak demand for the transportation of refined petroleum products and crude oil.</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petrochemical market, the Company’s largest market, contributed 56% of marine transportation revenues for the 2017 third quarter and 55% for the first nine months, reflecting continued stable volumes from Gulf Coast petrochemical plants for both domestic consumption and to terminals for export destinations and the addition of the nine specialty pressure tank barges and four 30,000 barrel tank barges purchased in July 2017. Low priced domestic natural gas, a basic feedstock for the United States petrochemical industry, provides the industry with a competitive advantage relative to naphtha-based foreign petrochemical producers.</w:t>
      </w:r>
    </w:p>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black oil market, which contributed 22% of marine transportation revenues for the 2017 third quarter and 24% for the first nine months, reflected higher fleet utilization in the inland market compared to demand in the 2016 third quarter. The Company continued to transport crude oil and natural gas condensate produced from the Eagle Ford and Permian Basin shale formations in Texas both along the Gulf Intracoastal Waterway with inland vessels and in the Gulf of Mexico with coastal equipment, and continued to transport Utica natural gas condensate downriver from the Mid-Atlantic to the Gulf Coast, however at much reduced levels compared with the 2016 third quarter and first nine months. Demand for the transportation of black oil products in the coastal market in the 2017 third quarter was lower when compared to the 2016 third quarter due to the continued industry-wide oversupply of tank barges in the coastal industry.</w:t>
      </w:r>
    </w:p>
    <w:p>
      <w:pPr>
        <w:spacing w:after="0" w:line="2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refined petroleum products market, which contributed 18% of marine transportation revenues for the 2017 third quarter and first nine months, reflected weaker demand in both the inland and coastal markets, primarily a result of the oversupply of tank barge capacity, as well as weak heating oil demand in the 2017 first quarter due to the unseasonably warm weather in the Northeast.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both"/>
        <w:ind w:firstLine="324"/>
        <w:spacing w:after="0" w:line="264" w:lineRule="auto"/>
        <w:rPr>
          <w:sz w:val="20"/>
          <w:szCs w:val="20"/>
          <w:color w:val="auto"/>
        </w:rPr>
      </w:pPr>
      <w:r>
        <w:rPr>
          <w:rFonts w:ascii="Arial" w:cs="Arial" w:eastAsia="Arial" w:hAnsi="Arial"/>
          <w:sz w:val="18"/>
          <w:szCs w:val="18"/>
          <w:color w:val="auto"/>
        </w:rPr>
        <w:t>The agricultural chemical market, which contributed 4% of marine transportation revenues for the 2017 third quarter and 3% for the first nine months, saw typical seasonal demand for transportation of both domestically produced and imported products during the first and third quarters and a typical seasonal decline in demand in the second quarter.</w:t>
      </w:r>
    </w:p>
    <w:p>
      <w:pPr>
        <w:spacing w:after="0" w:line="20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For the third quarter of 2017, the inland operations incurred 1,965 delay days, 112% more than the 929 delay days that occurred during the 2016 third quarter and 44% more than the 1,367 delay days that occurred during the 2017 second quarter. For the first nine months of 2017, 5,599 delay days occurred, 8% more than the 5,200 delay days that occurred during the 2016 first nine months. Delay days measure the lost time incurred by a tow (towboat and one or more tank barges) during transit when the tow is stopped due to weather, lock conditions or other navigational factors. The increase in delay days for the 2017 third quarter compared to the 2016 third quarter and the 2017 second quarter reflected lost time incurred during and after Hurricane Harvey in late August and September and during the unrelated and coinciding upper Mississippi River infrastructure repairs in September.</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2017 third quarter and first nine months, approximately 75% of marine transportation inland revenues were under term contracts and 25% were spot contract revenues. For the 2016 third quarter and first nine months, approximately 80% of inland revenues were under term contracts and 20% were spot contract revenues. Inland time charters during the 2017 third quarter and first nine months represented 48% of the revenues under term contracts compared with 52% and 53% in the 2016 third quarter and first nine months, respectively.</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2017 and 2016 third quarters and first nine months, approximately 80% of the coastal revenues were under term contracts and 20% were spot contract revenues. Coastal time charters represented approximately 85% of coastal revenues under term contracts during the 2017 third quarter and first nine months compared with 90% during the 2016 third quarter and first nine months.</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Rates on inland term contracts renewed in the 2017 third quarter and first nine months continued to deteriorate due to excess industry capacity, decreasing in the 4% to 8% average range compared with term contracts renewed in the third quarter and first nine months of 2016. Spot contract rates, which include the cost of fuel, were relatively flat when compared with the 2017 first and second quarters, but below term contract rates. Effective January 1, 2017, annual escalators for labor and the producer price index on a number of inland multi-year contracts resulted in rate increases on those contracts of approximately 0.6%, excluding fuel.</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were no coastal term contracts renewed in the 2017 third quarter as customers elected to source their needs in the spot market. Rates on coastal term contracts renewed in the 2017 first six months were down slightly compared to term contracts renewed in the 2016 comparable periods, although most contracts failed to renew and customers elected to source their needs in the spot market. Spot contract rates, which include the cost of fuel, remained meaningfully below term contract rates during the first nine months of 2017, the degree to which varies based on geography, vessel capacity, vessel type and product service.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Costs and expenses for the 2017 third quarter and first nine months decreased 7% and 3%, respectively, when compared with the 2016 third quarter and first nine months. Costs of sales and operating expenses for the 2017 third quarter and first nine months decreased 10% and 4%, respectively, compared with the third quarter and first nine months of 2016, primarily due to fewer inland towboats operated and lower business activity levels, partially offset by higher fuel costs and costs and expenses associated with Hurricanes Harvey and Irma.</w:t>
      </w: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inland marine transportation fleet operated an average of 215 towboats during the 2017 third quarter, of which an average of 59 were chartered, compared with 227 during the 2016 third quarter, of which an average of 69 were chartered. During the 2017 first nine months, the inland operations operated an average of 224 towboats, of which an average of 68 towboats were chartered, compared with 236 towboats operated during the 2016 first nine months, of which an average of 78 were chartered. As demand, or anticipated demand, increases or decreases, as new tank barges are added to the fleet, as chartered towboat availability changes, or as weather or water conditions dictate, such as the high wind and heavy fog conditions that occurred in the 2017 first quarter, the Company charters in or releases chartered towboats in an effort to balance horsepower needs with current requirements. The Company has historically used chartered towboats for approximately one-third of its horsepower requirements.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jc w:val="both"/>
        <w:ind w:firstLine="324"/>
        <w:spacing w:after="0" w:line="255" w:lineRule="auto"/>
        <w:rPr>
          <w:sz w:val="20"/>
          <w:szCs w:val="20"/>
          <w:color w:val="auto"/>
        </w:rPr>
      </w:pPr>
      <w:r>
        <w:rPr>
          <w:rFonts w:ascii="Arial" w:cs="Arial" w:eastAsia="Arial" w:hAnsi="Arial"/>
          <w:sz w:val="18"/>
          <w:szCs w:val="18"/>
          <w:color w:val="auto"/>
        </w:rPr>
        <w:t>During the 2017 third quarter, the inland operations consumed 9.5 million gallons of diesel fuel compared to 9.8 million gallons consumed during the 2016 third quarter. The average price per gallon of diesel fuel consumed during the 2017 third quarter was $1.61 per gallon compared with $1.59 per gallon for the 2016 third quarter. For the 2017 first nine months, the inland operations consumed 30.0 million gallons of diesel fuel compared to 29.8 million gallons consumed during the 2016 first nine months. The average price per gallon of diesel fuel consumed during the 2017 first nine months was $1.71 compared with $1.40 for the 2016 first nine months. Fuel escalation and de-escalation clauses on term contracts are designed to rebate fuel costs when prices decline and recover additional fuel costs when fuel prices rise; however, there is generally a 30 to 90 day delay before the contracts are adjusted. Spot contracts do not have escalators for fuel.</w:t>
      </w:r>
    </w:p>
    <w:p>
      <w:pPr>
        <w:spacing w:after="0" w:line="2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Selling, general and administrative expenses for the 2017 third quarter increased 3% compared with the 2016 third quarter, primarily due to salary increases effective August 1, 2016 and April 1, 2017, higher incentive compensation accruals and higher professional fees. For the 2017 first nine months, selling, general and administrative expenses decreased 4% compared with the 2016 first nine months, primarily a reflection of $3,792,000 of severance charges incurred in the 2016 first quarter and the resulting cost savings in the 2017 first nine months from the reduction in force in early 2016, partially offset by salary increases effective August 1, 2016 and April 1, 2017.</w:t>
      </w:r>
    </w:p>
    <w:p>
      <w:pPr>
        <w:spacing w:after="0" w:line="21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Taxes, other than on income for the 2017 third quarter and first nine months increased 16% and 20%, respectively, compared with the 2016 third quarter and first nine months, mainly due to higher property taxes on marine transportation equipment and new state franchise taxes effective January 1, 2017.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Margins</w:t>
      </w:r>
    </w:p>
    <w:p>
      <w:pPr>
        <w:spacing w:after="0" w:line="25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Marine transportation operating income for the 2017 third quarter and first nine months decreased 35% and 46%, respectively, compared with the 2016 third quarter and first nine months. The operating margin was 11.3% for the 2017 third quarter compared with 15.4% for the 2016 third quarter. The operating margin for the 2017 first nine months was 10.8% compared with 17.7% for the 2016 first nine months. The results primarily reflected lower inland term and spot contract pricing, lower coastal spot contract pricing, lower coastal equipment utilization and a continued increase in coastal equipment vessels operating in the spot market which adds increased idle time and voyage costs, partially offset by savings in the coastal market from the release of chartered tugboats, idling owned barges and tugboats and reducing headcount accordingly, and by a reduction in the average number of inland towboats operated. The 2017 third quarter and nine months operating income decreases were also due to the loss of revenue and additional operating expenses in the inland and coastal marine transportation markets associated with Hurricanes Harvey and Irma. As the third quarter concluded, recoveries from marine customers for delays, pent-up demand for liquid barge movements as the Gulf Coast petrochemical and refinery complex returned to normal operations and a stronger pricing environment for customers’ products partially mitigated the negative impact of the hurricanes.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through its distribution and services segment,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land-based oilfield service and oil and gas operator and producer markets.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jc w:val="both"/>
        <w:ind w:firstLine="324"/>
        <w:spacing w:after="0" w:line="264" w:lineRule="auto"/>
        <w:rPr>
          <w:sz w:val="20"/>
          <w:szCs w:val="20"/>
          <w:color w:val="auto"/>
        </w:rPr>
      </w:pPr>
      <w:r>
        <w:rPr>
          <w:rFonts w:ascii="Arial" w:cs="Arial" w:eastAsia="Arial" w:hAnsi="Arial"/>
          <w:sz w:val="18"/>
          <w:szCs w:val="18"/>
          <w:color w:val="auto"/>
        </w:rPr>
        <w:t>The following table sets forth the Company’s distribution and services segment’s revenues, costs and expenses, operating income and operating margins for the three months and nine months ended September 30, 2017 compared with the three months and nine months ended September 30, 2016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90"/>
              </w:rPr>
              <w:t>Three months ended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2"/>
              </w:rPr>
              <w:t>Nine months ended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70"/>
              <w:spacing w:after="0" w:line="198"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90"/>
              <w:spacing w:after="0" w:line="198"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Distribution and services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222,464</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75,677</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512,580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219,346</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w w:val="96"/>
              </w:rPr>
              <w:t>Costs of sales and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173,629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55,625</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395,774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166,088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11,709</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52,307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40,018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554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1,607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10,557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9,773</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200,490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71,043</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460,517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217,486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21,974</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52,063</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Operating margins</w:t>
            </w:r>
          </w:p>
        </w:tc>
        <w:tc>
          <w:tcPr>
            <w:tcW w:w="24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Services Revenues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markets serviced by the Company’s distribution and services segment, the revenue distribution for the 2017 third quarter and first nine months, and the customers for each market: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2017 Third</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2017 Nine</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Months</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Markets Serviced</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100" w:type="dxa"/>
            <w:vAlign w:val="bottom"/>
          </w:tcPr>
          <w:p>
            <w:pPr>
              <w:spacing w:after="0"/>
              <w:rPr>
                <w:sz w:val="20"/>
                <w:szCs w:val="20"/>
                <w:color w:val="auto"/>
              </w:rPr>
            </w:pPr>
          </w:p>
        </w:tc>
        <w:tc>
          <w:tcPr>
            <w:tcW w:w="434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Customers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Land-Based</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4"/>
              </w:rPr>
              <w:t>80%</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88"/>
              </w:rPr>
              <w:t>76%</w:t>
            </w:r>
          </w:p>
        </w:tc>
        <w:tc>
          <w:tcPr>
            <w:tcW w:w="10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Land-Based Oilfield Services, Oil and Gas Operators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Producers, On-Highway Transportation, Construction,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Mining, Agriculture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Marine</w:t>
            </w:r>
          </w:p>
        </w:tc>
        <w:tc>
          <w:tcPr>
            <w:tcW w:w="126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94"/>
              </w:rPr>
              <w:t>13%</w:t>
            </w:r>
          </w:p>
        </w:tc>
        <w:tc>
          <w:tcPr>
            <w:tcW w:w="1360" w:type="dxa"/>
            <w:vAlign w:val="bottom"/>
            <w:gridSpan w:val="2"/>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88"/>
              </w:rPr>
              <w:t>17%</w:t>
            </w:r>
          </w:p>
        </w:tc>
        <w:tc>
          <w:tcPr>
            <w:tcW w:w="10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Inland River Carriers – Dry and Liquid, Offshore Towing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7"/>
              </w:rPr>
              <w:t>Dry and Liquid, Offshore Oilfield Services – Drilling Rigs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7"/>
              </w:rPr>
              <w:t>&amp; Supply Boats, Harbor Towing, Dredging, Great Lakes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Ore Carriers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Power Generation</w:t>
            </w:r>
          </w:p>
        </w:tc>
        <w:tc>
          <w:tcPr>
            <w:tcW w:w="12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2"/>
              </w:rPr>
              <w:t>7%</w:t>
            </w:r>
          </w:p>
        </w:tc>
        <w:tc>
          <w:tcPr>
            <w:tcW w:w="13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7%</w:t>
            </w: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Standby Power Generation, Pumping Stations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Distribution and services revenues for the 2017 third quarter and first nine months increased 194% and 134%, respectively, compared with the 2016 third quarter and first nine months, primarily attributable to the increased demand in the land-based market for the remanufacture of pressure pumping units and transmission overhauls, an improvement in the manufacturing of oilfield service equipment, including pressure pumping units, and an increase in the demand for the sale and distribution of engines, transmissions and related parts. The 2017 third quarter and first nine months higher revenues also reflected the S&amp;S acquisition on September 13, 2017. S&amp;S benefited from elevated demand for rental equipment and increased service work as a result of pent-up demand following Hurricanes Harvey, Irma and Maria, as well as healthy demand for service work, parts sales and the manufacturing of pressure pumping equipment. In the marine market, customers continued to defer major maintenance projects, particularly in the Midwest and on the East Coast, largely due to the weak inland and coastal tank barge markets and inland dry cargo barge market. In addition, continued weakness in the Gulf of Mexico oilfield services market negatively impacted the marine market. The power generation market was relatively stable with major generator set upgrades and parts sales for both domestic and international power generation customers.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Distribution and Services Costs and Expenses</w:t>
      </w:r>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Costs and expenses for the 2017 third quarter and first nine months increased 182% and 112%, respectively, compared with the 2016 third quarter and first nine months. Costs of sales and operating expenses for the 2017 third quarter and first nine months increased 212% and 138%, respectively, compared with the 2016 third quarter and first nine months, reflecting the increased demand for the remanufacture of pressure pumping units and transmission overhauls, improvement in the manufacturing of oilfield service equipment, including pressure pumping units, an increase in the demand for the sale and distribution of engines, transmissions and related parts in the land-based market, and the S&amp;S acquisition on September 13, 2017.</w:t>
      </w:r>
    </w:p>
    <w:p>
      <w:pPr>
        <w:spacing w:after="0" w:line="2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Selling, general and administrative expenses for the 2017 third quarter and first nine months increased 81% and 31%, respectively, compared with the 2016 third quarter and first nine months, primarily due to increased activity in the land-based market in the 2017 first nine months, as well as the S&amp;S acquisition on September 13, 2017. The 2016 first nine months selling, general and administrative expenses included $1,436,000 of severance charges incurred in the 2016 first quarter, in response to the reduced activity in both the marine and land-based markets, which benefited both the land-based and marine markets during the 2017 third quarter and first nine months.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Services Operating Income and Operating Margins</w:t>
      </w:r>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Operating income for the distribution and services segment for the 2017 third quarter and first nine months was $21,974,000 and $52,063,000, respectively, compared to operating income of $4,634,000 and $1,860,000 for the 2016 third quarter and first nine months, respectively. The operating margin for the 2017 third quarter was 9.9% compared with 6.1% for the 2016 third quarter and 10.2% for the 2017 first nine months compared with 0.8% for the 2016 first nine months. The results primarily reflected continued strong demand for the remanufacture of pressure pumping units and transmission overhauls, the manufacturing of oilfield service equipment, the sale of new transmissions and related parts and the earnings contribution of S&amp;S.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Expenses</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General corporate expenses for the 2017 third quarter and first nine months increased 19% and 9%, respectively, compared with the corresponding 2016 periods, primarily due to acquisition costs of $764,000 in the 2017 third quarter and $1,471,000 in the 2017 first nine months, both related to the S&amp;S acquisition. The 2016 first nine months included a severance charge of $377,000 incurred in the 2016 first quarter.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(Loss) on Disposition of Assets</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reported a net loss on disposition of assets of $159,000 for the 2017 third quarter compared with a net gain of $122,000 for the 2016 third quarter. For the 2017 first nine months, the Company reported a net loss on disposition of assets of $199,000 compared with a net gain of $39,000 for the first nine months of 2016. The net gains and losses were predominantly from the sale or retirement of marine equipment.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Other Income (Expense)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other income (expense), noncontrolling interests and interest expense for the three months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compared with the three months and nine months ended September 30, 2016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7"/>
          </w:tcPr>
          <w:p>
            <w:pPr>
              <w:jc w:val="center"/>
              <w:ind w:left="650"/>
              <w:spacing w:after="0"/>
              <w:rPr>
                <w:sz w:val="20"/>
                <w:szCs w:val="20"/>
                <w:color w:val="auto"/>
              </w:rPr>
            </w:pPr>
            <w:r>
              <w:rPr>
                <w:rFonts w:ascii="Arial" w:cs="Arial" w:eastAsia="Arial" w:hAnsi="Arial"/>
                <w:sz w:val="18"/>
                <w:szCs w:val="18"/>
                <w:b w:val="1"/>
                <w:bCs w:val="1"/>
                <w:color w:val="auto"/>
                <w:w w:val="88"/>
              </w:rPr>
              <w:t>Three months ended</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89"/>
              </w:rPr>
              <w:t>Nine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8"/>
                <w:szCs w:val="18"/>
                <w:b w:val="1"/>
                <w:bCs w:val="1"/>
                <w:color w:val="auto"/>
                <w:w w:val="87"/>
              </w:rPr>
              <w:t>September 30,</w:t>
            </w: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390"/>
              <w:spacing w:after="0" w:line="198"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0"/>
              </w:rPr>
              <w:t>Change</w:t>
            </w:r>
          </w:p>
        </w:tc>
        <w:tc>
          <w:tcPr>
            <w:tcW w:w="2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30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(538)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(5,388)</w:t>
            </w:r>
          </w:p>
        </w:tc>
        <w:tc>
          <w:tcPr>
            <w:tcW w:w="3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(14,310)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(13,213)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Interest expense for the 2017 third quarter and first nine months increased 20% and 8%, respectively, compared with the 2016 third quarter and first nine months, primarily the result of lower capitalized interest in the 2017 third quarter and first nine months, and increased interest expense due to additional borrowing under the revolving credit facility to finance the S&amp;S acquisition. During the 2017 and 2016 third quarters, the average debt and average interest rate (excluding capitalized interest) were $724,389,000 and 3.0%, and $772,964,000 and 2.7%, respectively. For the first nine months of 2017 and 2016, the average debt and average interest rate (excluding capitalized interest) were $691,374,000 and 3.0%, and $756,425,000 and 2.7%, respectively. The Company recognized additional interest expense of $187,000 in the 2017 second quarter due to the write-off of certain deferred issue costs in connection with an amendment of the Revolving Credit Facility. Interest expense excludes capitalized interest for the 2017 and 2016 third quarters of $208,000 and $786,000, respectively, and for the 2017 and 2016 first nine months of $1,522,000 and $2,287,000, respectively.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assets as of September 30, 2017 were $5,200,415,000 compared with $4,289,895,000 as of December 31, 2016. The September 30, 2017 total assets reflected the S&amp;S acquisition in September 2017 for $758,245,000 and the purchase in July 2017 of tank barges and towboats from an undisclosed competitor for $68,000,000, both more fully described under Acquisitions above. The following table sets forth the significant components of the balance sheet as of September 30, 2017 compared with December 31, 2016 (dollars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890,764</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632,951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3,096,110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2,921,374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919,276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598,131</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294,265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137,439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5,200,415</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4,289,895</w:t>
            </w: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462,190</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358,338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Long-term debt – less current portion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1,031,028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722,802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756,268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705,453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74,801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90,435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2,876,128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2,412,867</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r>
      <w:tr>
        <w:trPr>
          <w:trHeight w:val="27"/>
        </w:trPr>
        <w:tc>
          <w:tcPr>
            <w:tcW w:w="20" w:type="dxa"/>
            <w:vAlign w:val="bottom"/>
          </w:tcPr>
          <w:p>
            <w:pPr>
              <w:spacing w:after="0"/>
              <w:rPr>
                <w:sz w:val="2"/>
                <w:szCs w:val="2"/>
                <w:color w:val="auto"/>
              </w:rPr>
            </w:pPr>
          </w:p>
        </w:tc>
        <w:tc>
          <w:tcPr>
            <w:tcW w:w="74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5,200,415</w:t>
            </w:r>
          </w:p>
        </w:tc>
        <w:tc>
          <w:tcPr>
            <w:tcW w:w="22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4,289,895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1"/>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Current assets as of September 30, 2017 increased 41% compared with December 31, 2016. Trade accounts receivable increased 46%, primarily reflecting the S&amp;S acquisition, as well as an increase in business activity levels in the land-based market, partially offset by decreased business activity levels in the marine transportation segment. Other accounts receivable decreased 18%, primarily due to a decrease in insurance claim receivables. Inventory in the distribution and services segment increased 74% reflecting the inventory acquired with the S&amp;S acquisition and the building of inventories in the land-based market to meet current business activity levels, partially offset by lower inventory levels associated with the continued weak marine market. Prepaid expenses and other current assets increased 4% primarily due to an increase in prepaid insurance and the S&amp;S acquisition.</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Property and equipment, net of accumulated depreciation, at September 30, 2017, increased 6% compared with December 31, 2016. The increase reflected $124,520,000 of capital expenditures for the 2017 first nine months, more fully described under Capital Expenditures Reflected on the Balance Sheet below, and the fair value of the property and equipment acquired in acquisitions of $220,485,000, less $141,116,000 of depreciation expense for the 2017 first nine months and $29,152,000 of property disposals during the 2017 first nine months.</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Goodwill as of September 30, 2017 increased 54% compared with December 31, 2016, predominantly reflecting the goodwill recorded in the S&amp;S acquisition and in the barge fleeting and marine fueling operation business acquisition.</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assets at September 30, 2017 increased 114% compared with December 31, 2016, primarily reflecting other assets acquired in the S&amp;S acquisition, including intangible assets other than goodwill. The increase also reflected deferred major maintenance dry-dock expenditures on ocean-going vessels during the 2017 first nine months, net of amortization.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both"/>
        <w:ind w:firstLine="324"/>
        <w:spacing w:after="0" w:line="257" w:lineRule="auto"/>
        <w:rPr>
          <w:sz w:val="20"/>
          <w:szCs w:val="20"/>
          <w:color w:val="auto"/>
        </w:rPr>
      </w:pPr>
      <w:r>
        <w:rPr>
          <w:rFonts w:ascii="Arial" w:cs="Arial" w:eastAsia="Arial" w:hAnsi="Arial"/>
          <w:sz w:val="18"/>
          <w:szCs w:val="18"/>
          <w:color w:val="auto"/>
        </w:rPr>
        <w:t>Current liabilities as of September 30, 2017 increased 29% compared with December 31, 2016, primarily reflecting the current liabilities of S&amp;S. Accounts payable increased 59%, a reflection of the S&amp;S acquisition, as well as increased business activity levels in the land-based market. Accrued liabilities increased 10%, the majority of which was attributable to the S&amp;S acquisition, partially offset by a reduction in insurance claims payable. Deferred revenues increased 12%, primarily reflecting the S&amp;S acquisition, offset by decreased advanced billings in the land-based market and the coastal marine transportation market.</w:t>
      </w:r>
    </w:p>
    <w:p>
      <w:pPr>
        <w:spacing w:after="0" w:line="21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Long-term debt, less current portion, as of September 30, 2017 increased 43% compared with December 31, 2016, primarily reflecting the borrowings under the Company’s Revolving Credit Facility in September 2017 to finance the S&amp;S acquisition and the purchase in July 2017 of tank barges and towboats from an undisclosed competitor for $68,000,000. Net deferred debt issue costs were $3,641,000 and $3,184,000 at September 30, 2017 and December 31, 2016, respectively. In addition, as a result of the S&amp;S acquisition, the Company assumed $10,258,000 in long-term debt held by the seller.</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Deferred income taxes as of September 30, 2017 increased 7% compared with December 31, 2016. The increase primarily reflects the 2017 first nine months deferred tax provision of $32,783,000 and an increase in deferred tax liabilities of $8,486,000 due to the adoption of ASU 2016-09 on January 1, 2017. The adoption reduced deferred tax assets by $8,486,000, which reflected the cumulative difference between the tax effect of stock-based compensation recognized for tax purposes and amounts recognized for financial reporting purposes, resulting in the recognition of a cumulative-effect adjustment to retained earnings of $8,486,000.</w:t>
      </w:r>
    </w:p>
    <w:p>
      <w:pPr>
        <w:spacing w:after="0" w:line="2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long-term liabilities as of September 30, 2017 decreased 17% compared with December 31, 2016. The decrease was primarily due to a reduction in the pension liability related to a pension plan amendment on April 12, 2017 that lowered the projected benefit obligation of the pension plan by $33,433,000, partially offset by the accrual of pension expense during the 2017 first nine months.</w:t>
      </w:r>
    </w:p>
    <w:p>
      <w:pPr>
        <w:spacing w:after="0" w:line="20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Total equity as of September 30, 2017 increased 19% compared with December 31, 2016. The increase was the result of $81,868,000 of net earnings attributable to Kirby for the first nine months of 2017, an increase in accumulated other comprehensive income (“OCI”) of $15,229,000, stock issued with a fair value of $366,554,000 in connection with the S&amp;S acquisition and a $6,925,000 decrease in treasury stock, partially offset by an $8,486,000 decrease in retained earnings due to the adoption of ASU 2016-09. The increase in accumulated OCI primarily resulted from the decrease in unrecognized losses related to the Company’s defined benefit plans driven by the pension plan amendment on April 12, 2017. The decrease in treasury stock was due to the issuance of restricted stock and the exercise of stock options in connection with stock award plans.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Financing</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June 26, 2017, the Company entered into an amendment of its Revolving Credit Facility with a syndicate of banks, with JPMorgan Chase Bank, N.A. as the administrative agent bank, that increases the borrowing limit from $550,000,000 to $850,000,000 and extends the maturity date to June 26, 2022. In addition, the credit agreement allows for a $300,000,000 increase in the aggregate commitments of the banks in the form of revolving credit loans or term loans, subject to the consent of each bank that elects to participate in the increased commitment. The variable interest rate spread varies with the Company’s senior debt rating and is currently 1.00% over LIBOR or equal to an Alternate Base Rate calculated with reference to the agent bank’s prime rate, among other factors. The commitment fee is currently 0.10%. The Revolving Credit Facility contains certain restrictive financial covenants including an interest coverage ratio and a debt-to-capitalization ratio. In addition to financial covenants, the Revolving Credit Facility contains covenants that, subject to exceptions, restrict debt incurrence, mergers and acquisitions, sales of assets, dividends and investments, liquidations and dissolutions, capital leases, transactions with affiliates and changes in lines of business. Borrowings under the Revolving Credit Facility may be used for general corporate purposes, the purchase of existing or new equipment, the purchase of the Company’s common stock, or for business acquisitions. The Company recognized additional interest expense of $187,000 in the 2017 second quarter due to the write-off of certain deferred issue costs in connection with the amendment of the Revolving Credit Facility. As of September 30, 2017, the Company was in compliance with all Revolving Credit Facility covenants and had $524,410,000 of debt outstanding under the Revolving Credit Facility. The Revolving Credit Facility includes a $25,000,000 commitment which may be used for standby letters of credit. Outstanding letters of credit under the Revolving Credit Facility were $10,312,000 as of September 30, 2017.</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both"/>
        <w:ind w:firstLine="324"/>
        <w:spacing w:after="0" w:line="254" w:lineRule="auto"/>
        <w:rPr>
          <w:sz w:val="20"/>
          <w:szCs w:val="20"/>
          <w:color w:val="auto"/>
        </w:rPr>
      </w:pPr>
      <w:r>
        <w:rPr>
          <w:rFonts w:ascii="Arial" w:cs="Arial" w:eastAsia="Arial" w:hAnsi="Arial"/>
          <w:sz w:val="18"/>
          <w:szCs w:val="18"/>
          <w:color w:val="auto"/>
        </w:rPr>
        <w:t>The Company has $500,000,000 of unsecured senior notes (“Senior Notes Series A” and “Senior Notes Series B”) with a group of institutional investors, consisting of $150,000,000 of 2.72% Senior Notes Series A due February 27, 2020 and $350,000,000 of 3.29% Senior Notes Series B due February 27, 2023. No principal payments are required until maturity. The Senior Notes Series A and Series B contain certain covenants on the part of the Company, including an interest coverage covenant, a debt-to-capitalization covenant and covenants relating to liens, asset sales and mergers, among others. The Senior Notes Series A and Series B also specify certain events of default, upon the occurrence of which the maturity of the notes may be accelerated, including failure to pay principal and interest, violation of covenants or default on other indebtedness, among others. As of September 30, 2017, the Company was in compliance with all Senior Notes Series A and Series B covenants and had $150,000,000 of Senior Notes Series A outstanding and $350,000,000 of Senior Notes Series B outstanding.</w:t>
      </w:r>
    </w:p>
    <w:p>
      <w:pPr>
        <w:spacing w:after="0" w:line="2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a $10,000,000 line of credit (“Credit Line”) with Bank of America, N.A. (“Bank of America”) for short-term liquidity needs and letters of credit, with a maturity date of June 30, 2019. The Credit Line allows the Company to borrow at an interest rate agreed to by Bank of America and the Company at the time each borrowing is made or continued. The Company had no borrowings outstanding under the Credit Line as of September 30, 2017. Outstanding letters of credit under the Credit Line were $1,247,000 as of September 30, 2017.</w:t>
      </w:r>
    </w:p>
    <w:p>
      <w:pPr>
        <w:spacing w:after="0" w:line="2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September 13, 2017, as a result of the S&amp;S acquisition, the Company assumed $12,135,000 of term debt. The term debt has a maturity date of September 15, 2032 and carries an interest rate of 4%. The term debt has quarterly interest payments plus quarterly principal payments of $375,000 due through December 2022 and $99,000 due thereafter through the maturity date. The term debt can be paid off prior to maturity without penalty. As of September 30, 2017, the term debt had $11,759,000 outstanding, of which $1,501,000 was classified as current portion of long-term debt.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also had $899,000 of short-term secured loans outstanding, as of September 30, 2017, related to its South American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Reflected on the Balance Sheet</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Capital expenditures for the 2017 first nine months were $124,520,000, including $8,449,000 for inland tank barge and towboat construction, $8,786,000 for progress payments on the construction of a 155,000 barrel coastal ATB placed in service in the 2017 third quarter, $15,404,000 for progress payments on the construction of two 4900 horsepower coastal tugboats, one completed in the 2017 second quarter and the second to be completed in the 2017 fourth quarter, $16,357,000 for progress payments on six 5000 horsepower coastal ATB tugboats, $698,000 in final costs for the construction of a 35,000 barrel coastal petrochemical tank barge, and $74,826,000 primarily for upgrading existing marine equipment and marine transportation and distribution and services facilities. Financing of the construction of the inland tank barges and the towboat, the coastal ATB, the coastal tugboats and the coastal petrochemical tank barge was through operating cash flows and available credit under the Company’s Revolving Credit Facility.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jc w:val="both"/>
        <w:ind w:firstLine="324"/>
        <w:spacing w:after="0" w:line="257" w:lineRule="auto"/>
        <w:rPr>
          <w:sz w:val="20"/>
          <w:szCs w:val="20"/>
          <w:color w:val="auto"/>
        </w:rPr>
      </w:pPr>
      <w:r>
        <w:rPr>
          <w:rFonts w:ascii="Arial" w:cs="Arial" w:eastAsia="Arial" w:hAnsi="Arial"/>
          <w:sz w:val="18"/>
          <w:szCs w:val="18"/>
          <w:color w:val="auto"/>
        </w:rPr>
        <w:t>During the 2017 first nine months, the Company took delivery of four new inland tank barges with a total capacity of approximately 115,000 barrels, acquired nine specialty pressure tank barges and four 30,000 barrel tank barges with a total capacity of 253,000 barrels, retired 47 inland tank barges, reducing its capacity by approximately 913,000 barrels, brought one inland tank barge back into service with a capacity of 20,000 barrels and temporarily chartered one inland tank barge with a total capacity of approximately 11,000 barrels. The net result was a reduction of 28 inland tank barges and approximately 514,000 barrels of capacity during the first nine months of 2017.</w:t>
      </w:r>
    </w:p>
    <w:p>
      <w:pPr>
        <w:spacing w:after="0" w:line="21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projects that capital expenditures for 2017 will be in the $175,000,000 to $185,000,000 range. The 2017 construction program will consist of five inland tank barges with a total capacity of 144,000 barrels and progress payments on 16 inland towboats of which one was delivered in the 2017 third quarter and 15 will be delivered in 2018 and 2019, progress payments on the construction of a 155,000 barrel coastal ATB placed in service in the 2017 third quarter, progress payments on the construction of two 4900 horsepower coastal tugboats and six 5000 horsepower coastal ATB tugboats and final costs on the construction of a 35,000 barrel coastal petrochemical tank barge. Based on current commitments, steel prices and projected delivery schedules, the Company’s 2017 payments on new inland tank barges and the towboats will be approximately $17,000,000, 2017 progress payments on the construction of the 155,000 barrel coastal ATB will be approximately $9,000,000, 2017 progress payments on the construction of the two 4900 horsepower coastal tugboats will be approximately $17,000,000, progress payments on the construction of the six 5000 horsepower coastal ATB tugboats will be approximately $26,000,000, and final costs on the construction of the 35,000 barrel coastal petrochemical tank barge will be approximately $1,000,000. The balance of approximately $105,000,000 to $115,000,000 is primarily capital upgrades and improvements to existing marine equipment and marine transportation and distribution and services facilities.</w:t>
      </w:r>
    </w:p>
    <w:p>
      <w:pPr>
        <w:spacing w:after="0" w:line="2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Funding for future capital expenditures is expected to be provided through operating cash flows and available credit under the Company’s Revolving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 Purchases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did not purchase any treasury stock during the first nine months of 2017. As of November 7, 2017, the Company had approximately 1,411,000 shares available under its existing repurchase authorization. Historically, treasury stock purchases have been financed through operating cash flows and borrowing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generated net cash provided by operating activities of $259,455,000 for the 2017 first nine months compared with $338,246,000 for the 2016 first nine months. The 2017 first nine months experienced a net decrease in cash flows from changes in operating assets and liabilities of $28,592,000 compared with a net increase in the 2016 first nine months of $11,048,000.</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Funds generated from operations are available for acquisitions, capital expenditure projects, common stock repurchases, repayments of borrowings, and for other corporate and operating requirements. In addition to net cash flow provided by operating activities, the Company also had available as of November 7, 2017, $321,207,000 under its Revolving Credit Facility and $8,753,000 available under its Credit Line.</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Neither the Company, nor any of its subsidiaries, is obligated on any debt instrument, swap agreement, or any other financial instrument or commercial contract which has a rating trigger, except for the pricing grid on its Revolving Credit Facility.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jc w:val="both"/>
        <w:ind w:right="20" w:firstLine="324"/>
        <w:spacing w:after="0" w:line="264" w:lineRule="auto"/>
        <w:rPr>
          <w:sz w:val="20"/>
          <w:szCs w:val="20"/>
          <w:color w:val="auto"/>
        </w:rPr>
      </w:pPr>
      <w:r>
        <w:rPr>
          <w:rFonts w:ascii="Arial" w:cs="Arial" w:eastAsia="Arial" w:hAnsi="Arial"/>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Revolving Credit Facility’s commitment is in the amount of $850,000,000 and expires June 26, 2022. The Senior Notes Series A and Senior Notes Series B do not mature until February 27, 2020 and February 27, 2023, respectively, and require no prepayments.</w:t>
      </w:r>
    </w:p>
    <w:p>
      <w:pPr>
        <w:spacing w:after="0" w:line="19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There are numerous factors that may negatively impact the Company’s cash flow in 2017. For a list of significant risks and uncertainties that could impact cash flows, see Note 12, Contingencies in the financial statements and Item 1A — Risk Factors in this report, and Item 1A — Risk Factors and Note 13, Contingencies and Commitments, in the Company’s Annual Report on Form 10-K for the year ended December 31, 2016. Amounts available under the Company’s existing financial arrangements are subject to the Company continuing to meet the covenants of the credit facilities as described in Item 2, Management’s Discussion and Analysis of Financial Condition and Results of Operations under Long-Term Financing.</w:t>
      </w:r>
    </w:p>
    <w:p>
      <w:pPr>
        <w:spacing w:after="0" w:line="2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$30,466,000 at September 30, 2017, including $11,829,000 in letters of credit and $18,637,000 in performance bonds. All of these instruments have an expiration date within three years. The Company does not believe demand for payment under these instruments is likely and expects no material cash outlays to occur in connection with these instruments.</w:t>
      </w:r>
    </w:p>
    <w:p>
      <w:pPr>
        <w:spacing w:after="0" w:line="21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All marine transportation term contracts contain fuel escalation clauses, or the customer pays for the fuel. However, there is generally a 30 to 90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last three years, inflation has had a relatively minor effect on the financial results of the Company. The marine transportation segment has long-term contracts which generally contain cost escalation clauses whereby certain costs, including fuel as noted above, can be passed through to its customers. Spot contract rates include the cost of fuel and are subject to market volatility. The repair portion of the distribution and services segment is based on prevailing current market rates.</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10% change in variable interest rates would impact the 2017 interest expense by $172,000 based on balances outstanding at December 31, 2016, and would change the fair value of the Company’s debt by less than 1%.</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Company’s management, with the participation of the Chief Executive Officer and the Chief Financial Officer, has evaluated the Company’s disclosure controls and procedures (as defined in Rule 13a-15(e) under the Securities Exchange Act of 1934 (“Exchange Act”)) as of September 30, 2017. Based on that evaluation, the Chief Executive Officer and the Chief Financial Officer concluded that, as of September 30, 2017, the disclosure controls and procedures were effective to ensure that information required to be disclosed by the Company in the reports that it files or submits under the Exchange Act is recorded, processed, summarized and reported within the time periods specified in the Securities and Exchange Commission’s rules and forms. There were no changes in the Company’s internal control over financial reporting during the quarter ended September 30, 2017 that have materially affected, or are reasonably likely to materially affect, the Company’s internal control over financial reporting. The Company is in the process of integrating S&amp;S and the Company's internal controls over financial reporting. As a result of these integration activities, certain controls will be evaluated and may be changed.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00" w:type="dxa"/>
            <w:vAlign w:val="bottom"/>
          </w:tcPr>
          <w:p>
            <w:pPr>
              <w:ind w:left="2960"/>
              <w:spacing w:after="0"/>
              <w:rPr>
                <w:sz w:val="20"/>
                <w:szCs w:val="20"/>
                <w:color w:val="auto"/>
              </w:rPr>
            </w:pPr>
            <w:r>
              <w:rPr>
                <w:rFonts w:ascii="Arial" w:cs="Arial" w:eastAsia="Arial" w:hAnsi="Arial"/>
                <w:sz w:val="18"/>
                <w:szCs w:val="18"/>
                <w:b w:val="1"/>
                <w:bCs w:val="1"/>
                <w:color w:val="auto"/>
              </w:rPr>
              <w:t>PART II – OTHER INFORMATION</w:t>
            </w:r>
          </w:p>
        </w:tc>
        <w:tc>
          <w:tcPr>
            <w:tcW w:w="0" w:type="dxa"/>
            <w:vAlign w:val="bottom"/>
          </w:tcPr>
          <w:p>
            <w:pPr>
              <w:spacing w:after="0"/>
              <w:rPr>
                <w:sz w:val="1"/>
                <w:szCs w:val="1"/>
                <w:color w:val="auto"/>
              </w:rPr>
            </w:pPr>
          </w:p>
        </w:tc>
      </w:tr>
      <w:tr>
        <w:trPr>
          <w:trHeight w:val="459"/>
        </w:trPr>
        <w:tc>
          <w:tcPr>
            <w:tcW w:w="68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74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7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0" w:type="dxa"/>
            <w:vAlign w:val="bottom"/>
            <w:gridSpan w:val="3"/>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740" w:type="dxa"/>
            <w:vAlign w:val="bottom"/>
            <w:gridSpan w:val="2"/>
            <w:shd w:val="clear" w:color="auto" w:fill="CCEEFF"/>
          </w:tcPr>
          <w:p>
            <w:pPr>
              <w:ind w:left="480"/>
              <w:spacing w:after="0" w:line="176" w:lineRule="exact"/>
              <w:rPr>
                <w:sz w:val="20"/>
                <w:szCs w:val="20"/>
                <w:color w:val="auto"/>
              </w:rPr>
            </w:pPr>
            <w:r>
              <w:rPr>
                <w:rFonts w:ascii="Arial" w:cs="Arial" w:eastAsia="Arial" w:hAnsi="Arial"/>
                <w:sz w:val="18"/>
                <w:szCs w:val="18"/>
                <w:color w:val="auto"/>
              </w:rPr>
              <w:t>–  2005 Stock and Incentive Plan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ind w:left="480"/>
              <w:spacing w:after="0" w:line="176" w:lineRule="exact"/>
              <w:rPr>
                <w:sz w:val="20"/>
                <w:szCs w:val="20"/>
                <w:color w:val="auto"/>
              </w:rPr>
            </w:pPr>
            <w:r>
              <w:rPr>
                <w:rFonts w:ascii="Arial" w:cs="Arial" w:eastAsia="Arial" w:hAnsi="Arial"/>
                <w:sz w:val="18"/>
                <w:szCs w:val="18"/>
                <w:color w:val="auto"/>
              </w:rPr>
              <w:t>–</w:t>
            </w:r>
          </w:p>
        </w:tc>
        <w:tc>
          <w:tcPr>
            <w:tcW w:w="10100" w:type="dxa"/>
            <w:vAlign w:val="bottom"/>
            <w:tcBorders>
              <w:top w:val="single" w:sz="8" w:color="CCEEFF"/>
            </w:tcBorders>
          </w:tcPr>
          <w:p>
            <w:pPr>
              <w:ind w:left="60"/>
              <w:spacing w:after="0" w:line="176" w:lineRule="exact"/>
              <w:rPr>
                <w:sz w:val="20"/>
                <w:szCs w:val="20"/>
                <w:color w:val="auto"/>
              </w:rPr>
            </w:pPr>
            <w:r>
              <w:rPr>
                <w:rFonts w:ascii="Arial" w:cs="Arial" w:eastAsia="Arial" w:hAnsi="Arial"/>
                <w:sz w:val="18"/>
                <w:szCs w:val="18"/>
                <w:color w:val="auto"/>
              </w:rPr>
              <w:t>Certification of Chief Executive Officer Pursuant to Rule 13a-14(a)</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2"/>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w:t>
            </w:r>
          </w:p>
        </w:tc>
        <w:tc>
          <w:tcPr>
            <w:tcW w:w="101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Certification of Chief Financial Officer Pursuant to Rule 13a-14(a)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160" w:hanging="1152"/>
        <w:spacing w:after="0"/>
        <w:tabs>
          <w:tab w:leader="none" w:pos="1160" w:val="left"/>
        </w:tabs>
        <w:numPr>
          <w:ilvl w:val="0"/>
          <w:numId w:val="6"/>
        </w:numPr>
        <w:rPr>
          <w:rFonts w:ascii="Arial" w:cs="Arial" w:eastAsia="Arial" w:hAnsi="Arial"/>
          <w:sz w:val="18"/>
          <w:szCs w:val="18"/>
          <w:u w:val="single" w:color="auto"/>
          <w:color w:val="0000EE"/>
        </w:rPr>
      </w:pPr>
      <w:r>
        <w:rPr>
          <w:rFonts w:ascii="Arial" w:cs="Arial" w:eastAsia="Arial" w:hAnsi="Arial"/>
          <w:sz w:val="18"/>
          <w:szCs w:val="18"/>
          <w:color w:val="auto"/>
        </w:rPr>
        <w:t>–  Certification Pursuant to 18 U.S.C. Section 1350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XBRL Instance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200"/>
              <w:spacing w:after="0"/>
              <w:rPr>
                <w:sz w:val="20"/>
                <w:szCs w:val="20"/>
                <w:color w:val="auto"/>
              </w:rPr>
            </w:pPr>
            <w:r>
              <w:rPr>
                <w:rFonts w:ascii="Arial" w:cs="Arial" w:eastAsia="Arial" w:hAnsi="Arial"/>
                <w:sz w:val="18"/>
                <w:szCs w:val="18"/>
                <w:color w:val="auto"/>
              </w:rPr>
              <w:t>–  XBRL Taxonomy Extension Schema Document</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200"/>
              <w:spacing w:after="0"/>
              <w:rPr>
                <w:sz w:val="20"/>
                <w:szCs w:val="20"/>
                <w:color w:val="auto"/>
              </w:rPr>
            </w:pPr>
            <w:r>
              <w:rPr>
                <w:rFonts w:ascii="Arial" w:cs="Arial" w:eastAsia="Arial" w:hAnsi="Arial"/>
                <w:sz w:val="18"/>
                <w:szCs w:val="18"/>
                <w:color w:val="auto"/>
              </w:rPr>
              <w:t>–  XBRL Taxonomy Extension Definition Linkbase Document</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XBRL Taxonomy Extension Label Linkbase Document</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200"/>
              <w:spacing w:after="0"/>
              <w:rPr>
                <w:sz w:val="20"/>
                <w:szCs w:val="20"/>
                <w:color w:val="auto"/>
              </w:rPr>
            </w:pPr>
            <w:r>
              <w:rPr>
                <w:rFonts w:ascii="Arial" w:cs="Arial" w:eastAsia="Arial" w:hAnsi="Arial"/>
                <w:sz w:val="18"/>
                <w:szCs w:val="18"/>
                <w:color w:val="auto"/>
              </w:rPr>
              <w:t>–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340" w:hanging="332"/>
        <w:spacing w:after="0" w:line="271"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These exhibits are furnished herewith. In accordance with Rule 406T of Regulation S-T, these exhibits are not deemed to be filed or part of a registration statement or prospectus for purposes of Sections 11 or 12 of the Securities Act of 1933, as amended, are not deemed to be filed for purposes of Section 18 of the Securities Exchange Act of 1934, as amended, and otherwise are not subject to liability under those sections.</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KIRBY CORPORATION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i w:val="1"/>
          <w:iCs w:val="1"/>
          <w:color w:val="auto"/>
        </w:rPr>
        <w:t>President, Chief Executive Officer and</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2017</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S</w:t>
      </w:r>
      <w:r>
        <w:rPr>
          <w:rFonts w:ascii="Arial" w:cs="Arial" w:eastAsia="Arial" w:hAnsi="Arial"/>
          <w:sz w:val="12"/>
          <w:szCs w:val="12"/>
          <w:b w:val="1"/>
          <w:bCs w:val="1"/>
          <w:color w:val="auto"/>
        </w:rPr>
        <w:t>TOCK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0" w:lineRule="exact"/>
        <w:rPr>
          <w:sz w:val="20"/>
          <w:szCs w:val="20"/>
          <w:color w:val="auto"/>
        </w:rPr>
      </w:pPr>
    </w:p>
    <w:p>
      <w:pPr>
        <w:spacing w:after="0" w:line="29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GENERAL</w:t>
      </w:r>
    </w:p>
    <w:p>
      <w:pPr>
        <w:spacing w:after="0" w:line="2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Purpose</w:t>
      </w:r>
      <w:r>
        <w:rPr>
          <w:rFonts w:ascii="Arial" w:cs="Arial" w:eastAsia="Arial" w:hAnsi="Arial"/>
          <w:sz w:val="18"/>
          <w:szCs w:val="18"/>
          <w:color w:val="auto"/>
        </w:rPr>
        <w:t>. The purpose of this Plan is to advance the interests of Kirby Corporation, a Nevada corporation (the “Company”), by providing an additional incentive to attract and retain qualified and competent employees for the Company and its Subsidiaries, upon whose efforts and judgment the success of the Company is largely dependent, through the award of (i) Options to purchase shares of Common Stock (which Options may be Incentive Stock Options or Nonincentive Stock Options); (ii) shares of Restricted Stock; and (iii) Performance Awards.</w:t>
      </w:r>
    </w:p>
    <w:p>
      <w:pPr>
        <w:spacing w:after="0" w:line="24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As used herein, the following terms shall have the meaning indicated:</w:t>
      </w:r>
    </w:p>
    <w:p>
      <w:pPr>
        <w:spacing w:after="0" w:line="279" w:lineRule="exact"/>
        <w:rPr>
          <w:sz w:val="20"/>
          <w:szCs w:val="20"/>
          <w:color w:val="auto"/>
        </w:rPr>
      </w:pPr>
    </w:p>
    <w:p>
      <w:pPr>
        <w:ind w:left="1660" w:hanging="1004"/>
        <w:spacing w:after="0"/>
        <w:tabs>
          <w:tab w:leader="none" w:pos="1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“Award” means a grant under this Plan in the form of Options, Restricted Stock, Performance Awards or any combination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foregoing.</w:t>
      </w:r>
    </w:p>
    <w:p>
      <w:pPr>
        <w:spacing w:after="0" w:line="264" w:lineRule="exact"/>
        <w:rPr>
          <w:rFonts w:ascii="Arial" w:cs="Arial" w:eastAsia="Arial" w:hAnsi="Arial"/>
          <w:sz w:val="17"/>
          <w:szCs w:val="17"/>
          <w:color w:val="auto"/>
        </w:rPr>
      </w:pPr>
    </w:p>
    <w:p>
      <w:pPr>
        <w:ind w:left="1400" w:hanging="74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79" w:lineRule="exact"/>
        <w:rPr>
          <w:rFonts w:ascii="Arial" w:cs="Arial" w:eastAsia="Arial" w:hAnsi="Arial"/>
          <w:sz w:val="18"/>
          <w:szCs w:val="18"/>
          <w:color w:val="auto"/>
        </w:rPr>
      </w:pPr>
    </w:p>
    <w:p>
      <w:pPr>
        <w:ind w:left="1400" w:hanging="74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Cause” means, with respect to any Participant:</w:t>
      </w:r>
    </w:p>
    <w:p>
      <w:pPr>
        <w:spacing w:after="0" w:line="279" w:lineRule="exact"/>
        <w:rPr>
          <w:rFonts w:ascii="Arial" w:cs="Arial" w:eastAsia="Arial" w:hAnsi="Arial"/>
          <w:sz w:val="18"/>
          <w:szCs w:val="18"/>
          <w:color w:val="auto"/>
        </w:rPr>
      </w:pPr>
    </w:p>
    <w:p>
      <w:pPr>
        <w:ind w:left="660" w:firstLine="645"/>
        <w:spacing w:after="0" w:line="277" w:lineRule="auto"/>
        <w:tabs>
          <w:tab w:leader="none" w:pos="2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conviction of, or plea of nolo contendere to, any felony or any crime or offense involving theft, fraud, embezzlement, moral turpitude or similar conduct;</w:t>
      </w:r>
    </w:p>
    <w:p>
      <w:pPr>
        <w:spacing w:after="0" w:line="224" w:lineRule="exact"/>
        <w:rPr>
          <w:rFonts w:ascii="Arial" w:cs="Arial" w:eastAsia="Arial" w:hAnsi="Arial"/>
          <w:sz w:val="18"/>
          <w:szCs w:val="18"/>
          <w:color w:val="auto"/>
        </w:rPr>
      </w:pPr>
    </w:p>
    <w:p>
      <w:pPr>
        <w:jc w:val="both"/>
        <w:ind w:left="660" w:firstLine="645"/>
        <w:spacing w:after="0" w:line="264" w:lineRule="auto"/>
        <w:tabs>
          <w:tab w:leader="none" w:pos="2136" w:val="left"/>
        </w:tabs>
        <w:numPr>
          <w:ilvl w:val="1"/>
          <w:numId w:val="9"/>
        </w:numPr>
        <w:rPr>
          <w:rFonts w:ascii="Arial" w:cs="Arial" w:eastAsia="Arial" w:hAnsi="Arial"/>
          <w:sz w:val="18"/>
          <w:szCs w:val="18"/>
          <w:color w:val="auto"/>
        </w:rPr>
      </w:pPr>
      <w:r>
        <w:rPr>
          <w:rFonts w:ascii="Arial" w:cs="Arial" w:eastAsia="Arial" w:hAnsi="Arial"/>
          <w:sz w:val="18"/>
          <w:szCs w:val="18"/>
          <w:color w:val="auto"/>
        </w:rPr>
        <w:t>malfeasance in the performance of the Participant’s duties, which shall mean (A) intentional misuse or diversion of Company assets, (B) theft or embezzlement or (C) fraudulent or willful and material misrepresentations or omissions in any reports or information submitted to the Company or a Subsidiary or any government agency or regulatory authority;</w:t>
      </w:r>
    </w:p>
    <w:p>
      <w:pPr>
        <w:spacing w:after="0" w:line="235" w:lineRule="exact"/>
        <w:rPr>
          <w:rFonts w:ascii="Arial" w:cs="Arial" w:eastAsia="Arial" w:hAnsi="Arial"/>
          <w:sz w:val="18"/>
          <w:szCs w:val="18"/>
          <w:color w:val="auto"/>
        </w:rPr>
      </w:pPr>
    </w:p>
    <w:p>
      <w:pPr>
        <w:jc w:val="both"/>
        <w:ind w:left="660" w:firstLine="645"/>
        <w:spacing w:after="0" w:line="264" w:lineRule="auto"/>
        <w:tabs>
          <w:tab w:leader="none" w:pos="2118" w:val="left"/>
        </w:tabs>
        <w:numPr>
          <w:ilvl w:val="1"/>
          <w:numId w:val="9"/>
        </w:numPr>
        <w:rPr>
          <w:rFonts w:ascii="Arial" w:cs="Arial" w:eastAsia="Arial" w:hAnsi="Arial"/>
          <w:sz w:val="18"/>
          <w:szCs w:val="18"/>
          <w:color w:val="auto"/>
        </w:rPr>
      </w:pPr>
      <w:r>
        <w:rPr>
          <w:rFonts w:ascii="Arial" w:cs="Arial" w:eastAsia="Arial" w:hAnsi="Arial"/>
          <w:sz w:val="18"/>
          <w:szCs w:val="18"/>
          <w:color w:val="auto"/>
        </w:rPr>
        <w:t>material failure to perform the duties of the Participant’s employment (other than as a result of the Participant’s Disability) or material failure to follow or comply with reasonable directives from any other employee of the Company who has direct or indirect supervisory authority over the Participant;</w:t>
      </w:r>
    </w:p>
    <w:p>
      <w:pPr>
        <w:spacing w:after="0" w:line="235" w:lineRule="exact"/>
        <w:rPr>
          <w:rFonts w:ascii="Arial" w:cs="Arial" w:eastAsia="Arial" w:hAnsi="Arial"/>
          <w:sz w:val="18"/>
          <w:szCs w:val="18"/>
          <w:color w:val="auto"/>
        </w:rPr>
      </w:pPr>
    </w:p>
    <w:p>
      <w:pPr>
        <w:ind w:left="2040" w:hanging="735"/>
        <w:spacing w:after="0"/>
        <w:tabs>
          <w:tab w:leader="none" w:pos="2040" w:val="left"/>
        </w:tabs>
        <w:numPr>
          <w:ilvl w:val="1"/>
          <w:numId w:val="9"/>
        </w:numPr>
        <w:rPr>
          <w:rFonts w:ascii="Arial" w:cs="Arial" w:eastAsia="Arial" w:hAnsi="Arial"/>
          <w:sz w:val="16"/>
          <w:szCs w:val="16"/>
          <w:color w:val="auto"/>
        </w:rPr>
      </w:pPr>
      <w:r>
        <w:rPr>
          <w:rFonts w:ascii="Arial" w:cs="Arial" w:eastAsia="Arial" w:hAnsi="Arial"/>
          <w:sz w:val="16"/>
          <w:szCs w:val="16"/>
          <w:color w:val="auto"/>
        </w:rPr>
        <w:t>a material violation of the Company’s Business Ethics Guidelines or any other written policies of the Company applicable to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Participant; or</w:t>
      </w:r>
    </w:p>
    <w:p>
      <w:pPr>
        <w:spacing w:after="0" w:line="264" w:lineRule="exact"/>
        <w:rPr>
          <w:rFonts w:ascii="Arial" w:cs="Arial" w:eastAsia="Arial" w:hAnsi="Arial"/>
          <w:sz w:val="16"/>
          <w:szCs w:val="16"/>
          <w:color w:val="auto"/>
        </w:rPr>
      </w:pPr>
    </w:p>
    <w:p>
      <w:pPr>
        <w:ind w:left="2000" w:hanging="695"/>
        <w:spacing w:after="0"/>
        <w:tabs>
          <w:tab w:leader="none" w:pos="2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material violation of any federal, state or local laws or regulations.</w:t>
      </w:r>
    </w:p>
    <w:p>
      <w:pPr>
        <w:spacing w:after="0" w:line="279" w:lineRule="exact"/>
        <w:rPr>
          <w:rFonts w:ascii="Arial" w:cs="Arial" w:eastAsia="Arial" w:hAnsi="Arial"/>
          <w:sz w:val="18"/>
          <w:szCs w:val="18"/>
          <w:color w:val="auto"/>
        </w:rPr>
      </w:pPr>
    </w:p>
    <w:p>
      <w:pPr>
        <w:ind w:left="1400" w:hanging="74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in Control” means the occurrence of any of the following events: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2" w:name="page43"/>
    <w:bookmarkEnd w:id="42"/>
    <w:p>
      <w:pPr>
        <w:jc w:val="both"/>
        <w:ind w:left="660" w:firstLine="645"/>
        <w:spacing w:after="0" w:line="264" w:lineRule="auto"/>
        <w:tabs>
          <w:tab w:leader="none" w:pos="204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14(d)(2) of the Securities Exchange Act of 1934, as amended) becomes the beneficial owner, directly or indirectly, of voting securities representing thirty percent (30%) or more of the combined voting power of the Company's then outstanding voting securities;</w:t>
      </w:r>
    </w:p>
    <w:p>
      <w:pPr>
        <w:spacing w:after="0" w:line="235" w:lineRule="exact"/>
        <w:rPr>
          <w:rFonts w:ascii="Arial" w:cs="Arial" w:eastAsia="Arial" w:hAnsi="Arial"/>
          <w:sz w:val="18"/>
          <w:szCs w:val="18"/>
          <w:color w:val="auto"/>
        </w:rPr>
      </w:pPr>
    </w:p>
    <w:p>
      <w:pPr>
        <w:ind w:left="2060" w:hanging="755"/>
        <w:spacing w:after="0"/>
        <w:tabs>
          <w:tab w:leader="none" w:pos="20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Board ceases to consist of a majority of Continuing Directors, with the term "Continuing Director” meaning a Director who</w:t>
      </w:r>
    </w:p>
    <w:p>
      <w:pPr>
        <w:spacing w:after="0" w:line="46" w:lineRule="exact"/>
        <w:rPr>
          <w:rFonts w:ascii="Arial" w:cs="Arial" w:eastAsia="Arial" w:hAnsi="Arial"/>
          <w:sz w:val="16"/>
          <w:szCs w:val="16"/>
          <w:color w:val="auto"/>
        </w:rPr>
      </w:pPr>
    </w:p>
    <w:p>
      <w:pPr>
        <w:ind w:left="660" w:hanging="4"/>
        <w:spacing w:after="0" w:line="261" w:lineRule="auto"/>
        <w:tabs>
          <w:tab w:leader="none" w:pos="9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a Director on the effective date of the Plan or (B) is nominated or appointed to serve as a Director by a majority of the then Continuing Directors;</w:t>
      </w:r>
    </w:p>
    <w:p>
      <w:pPr>
        <w:spacing w:after="0" w:line="237" w:lineRule="exact"/>
        <w:rPr>
          <w:rFonts w:ascii="Arial" w:cs="Arial" w:eastAsia="Arial" w:hAnsi="Arial"/>
          <w:sz w:val="18"/>
          <w:szCs w:val="18"/>
          <w:color w:val="auto"/>
        </w:rPr>
      </w:pPr>
    </w:p>
    <w:p>
      <w:pPr>
        <w:jc w:val="both"/>
        <w:ind w:left="660" w:firstLine="645"/>
        <w:spacing w:after="0" w:line="302" w:lineRule="auto"/>
        <w:tabs>
          <w:tab w:leader="none" w:pos="2037" w:val="left"/>
        </w:tabs>
        <w:numPr>
          <w:ilvl w:val="1"/>
          <w:numId w:val="11"/>
        </w:numPr>
        <w:rPr>
          <w:rFonts w:ascii="Arial" w:cs="Arial" w:eastAsia="Arial" w:hAnsi="Arial"/>
          <w:sz w:val="16"/>
          <w:szCs w:val="16"/>
          <w:color w:val="auto"/>
        </w:rPr>
      </w:pPr>
      <w:r>
        <w:rPr>
          <w:rFonts w:ascii="Arial" w:cs="Arial" w:eastAsia="Arial" w:hAnsi="Arial"/>
          <w:sz w:val="16"/>
          <w:szCs w:val="16"/>
          <w:color w:val="auto"/>
        </w:rPr>
        <w:t>(A) Any consolidation or merger of the Company or any Subsidiary that results in the holders of the Company's voting securities immediately prior to the consolidation or merger having (directly or indirectly) less than a majority ownership interest in the outstanding voting securities of the surviving entity immediately after the consolidation or merger, (B) any sale, lease, exchange or other transfer (in one transaction or a series of related transactions) of all or substantially all of the assets of the Company or (C) the liquidation or dissolution of the Company;</w:t>
      </w:r>
    </w:p>
    <w:p>
      <w:pPr>
        <w:spacing w:after="0" w:line="208" w:lineRule="exact"/>
        <w:rPr>
          <w:rFonts w:ascii="Arial" w:cs="Arial" w:eastAsia="Arial" w:hAnsi="Arial"/>
          <w:sz w:val="16"/>
          <w:szCs w:val="16"/>
          <w:color w:val="auto"/>
        </w:rPr>
      </w:pPr>
    </w:p>
    <w:p>
      <w:pPr>
        <w:jc w:val="both"/>
        <w:ind w:left="660" w:firstLine="645"/>
        <w:spacing w:after="0" w:line="259" w:lineRule="auto"/>
        <w:tabs>
          <w:tab w:leader="none" w:pos="2041"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stockholders of the Company accept a share exchange, with the result that stockholders of the Company immediately before such share exchange do not own, immediately following such share exchange, at least a majority of the voting securities of the entity resulting from such share exchange in substantially the same proportion as their ownership of the voting securities outstanding immediately before such share exchange; or</w:t>
      </w:r>
    </w:p>
    <w:p>
      <w:pPr>
        <w:spacing w:after="0" w:line="240" w:lineRule="exact"/>
        <w:rPr>
          <w:rFonts w:ascii="Arial" w:cs="Arial" w:eastAsia="Arial" w:hAnsi="Arial"/>
          <w:sz w:val="18"/>
          <w:szCs w:val="18"/>
          <w:color w:val="auto"/>
        </w:rPr>
      </w:pPr>
    </w:p>
    <w:p>
      <w:pPr>
        <w:ind w:left="660" w:right="20" w:firstLine="645"/>
        <w:spacing w:after="0" w:line="277" w:lineRule="auto"/>
        <w:tabs>
          <w:tab w:leader="none" w:pos="203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tender or exchange offer is made to acquire thirty percent (30%) or more of the voting securities of the Company, other than an offer made by the Company, and shares are acquired pursuant to that offer.</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this definition, the term “voting securities” means equity securities, or securities that are convertible or exchangeable into equity securities, that have the right to vote generally in the election of Directors.</w:t>
      </w:r>
    </w:p>
    <w:p>
      <w:pPr>
        <w:spacing w:after="0" w:line="224" w:lineRule="exact"/>
        <w:rPr>
          <w:sz w:val="20"/>
          <w:szCs w:val="20"/>
          <w:color w:val="auto"/>
        </w:rPr>
      </w:pPr>
    </w:p>
    <w:p>
      <w:pPr>
        <w:ind w:left="1400" w:hanging="74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279" w:lineRule="exact"/>
        <w:rPr>
          <w:rFonts w:ascii="Arial" w:cs="Arial" w:eastAsia="Arial" w:hAnsi="Arial"/>
          <w:sz w:val="18"/>
          <w:szCs w:val="18"/>
          <w:color w:val="auto"/>
        </w:rPr>
      </w:pPr>
    </w:p>
    <w:p>
      <w:pPr>
        <w:ind w:left="1440" w:hanging="784"/>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“Committee” means the Compensation Committee, if any, appointed by the Board.</w:t>
      </w:r>
    </w:p>
    <w:p>
      <w:pPr>
        <w:spacing w:after="0" w:line="279" w:lineRule="exact"/>
        <w:rPr>
          <w:rFonts w:ascii="Arial" w:cs="Arial" w:eastAsia="Arial" w:hAnsi="Arial"/>
          <w:sz w:val="18"/>
          <w:szCs w:val="18"/>
          <w:color w:val="auto"/>
        </w:rPr>
      </w:pPr>
    </w:p>
    <w:p>
      <w:pPr>
        <w:ind w:firstLine="656"/>
        <w:spacing w:after="0" w:line="277" w:lineRule="auto"/>
        <w:tabs>
          <w:tab w:leader="none" w:pos="14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“Date of Grant” means the date on which the Committee takes formal action to grant an Award to an Eligible Person or such later date as may be specified by the Committee when approving the Award.</w:t>
      </w:r>
    </w:p>
    <w:p>
      <w:pPr>
        <w:spacing w:after="0" w:line="224" w:lineRule="exact"/>
        <w:rPr>
          <w:rFonts w:ascii="Arial" w:cs="Arial" w:eastAsia="Arial" w:hAnsi="Arial"/>
          <w:sz w:val="18"/>
          <w:szCs w:val="18"/>
          <w:color w:val="auto"/>
        </w:rPr>
      </w:pPr>
    </w:p>
    <w:p>
      <w:pPr>
        <w:ind w:left="1400" w:hanging="74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“Director” means a member of the Board.</w:t>
      </w:r>
    </w:p>
    <w:p>
      <w:pPr>
        <w:spacing w:after="0" w:line="279" w:lineRule="exact"/>
        <w:rPr>
          <w:rFonts w:ascii="Arial" w:cs="Arial" w:eastAsia="Arial" w:hAnsi="Arial"/>
          <w:sz w:val="18"/>
          <w:szCs w:val="18"/>
          <w:color w:val="auto"/>
        </w:rPr>
      </w:pPr>
    </w:p>
    <w:p>
      <w:pPr>
        <w:ind w:left="1420" w:hanging="76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“Disability” means mental or physical disability as determined by a medical doctor satisfactory to the Committee.</w:t>
      </w:r>
    </w:p>
    <w:p>
      <w:pPr>
        <w:spacing w:after="0" w:line="279" w:lineRule="exact"/>
        <w:rPr>
          <w:rFonts w:ascii="Arial" w:cs="Arial" w:eastAsia="Arial" w:hAnsi="Arial"/>
          <w:sz w:val="18"/>
          <w:szCs w:val="18"/>
          <w:color w:val="auto"/>
        </w:rPr>
      </w:pPr>
    </w:p>
    <w:p>
      <w:pPr>
        <w:ind w:left="1420" w:hanging="76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“Eligible Person” means an employee of the Company or a Subsidiary.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3" w:name="page44"/>
    <w:bookmarkEnd w:id="43"/>
    <w:p>
      <w:pPr>
        <w:ind w:firstLine="656"/>
        <w:spacing w:after="0" w:line="277" w:lineRule="auto"/>
        <w:tabs>
          <w:tab w:leader="none" w:pos="15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“Existing Plan” means the 2005 Stock and Incentive Plan as approved by the stockholders of the Company on April 26, 2005 and as amended through October 28, 2016.</w:t>
      </w:r>
    </w:p>
    <w:p>
      <w:pPr>
        <w:spacing w:after="0" w:line="224" w:lineRule="exact"/>
        <w:rPr>
          <w:rFonts w:ascii="Arial" w:cs="Arial" w:eastAsia="Arial" w:hAnsi="Arial"/>
          <w:sz w:val="18"/>
          <w:szCs w:val="18"/>
          <w:color w:val="auto"/>
        </w:rPr>
      </w:pPr>
    </w:p>
    <w:p>
      <w:pPr>
        <w:jc w:val="both"/>
        <w:ind w:firstLine="656"/>
        <w:spacing w:after="0" w:line="264"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“Fair Market Value” of a Share means the closing price on the New York Stock Exchange on the day of reference. If the Shares are not listed for trading on the New York Stock Exchange, the Fair Market Value on the date of reference shall be determined by any fair and reasonable means prescribed by the Committee.</w:t>
      </w:r>
    </w:p>
    <w:p>
      <w:pPr>
        <w:spacing w:after="0" w:line="235" w:lineRule="exact"/>
        <w:rPr>
          <w:rFonts w:ascii="Arial" w:cs="Arial" w:eastAsia="Arial" w:hAnsi="Arial"/>
          <w:sz w:val="18"/>
          <w:szCs w:val="18"/>
          <w:color w:val="auto"/>
        </w:rPr>
      </w:pPr>
    </w:p>
    <w:p>
      <w:pPr>
        <w:ind w:left="1400" w:hanging="744"/>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 Reason” means, with respect to any Participant:</w:t>
      </w:r>
    </w:p>
    <w:p>
      <w:pPr>
        <w:spacing w:after="0" w:line="279" w:lineRule="exact"/>
        <w:rPr>
          <w:rFonts w:ascii="Arial" w:cs="Arial" w:eastAsia="Arial" w:hAnsi="Arial"/>
          <w:sz w:val="18"/>
          <w:szCs w:val="18"/>
          <w:color w:val="auto"/>
        </w:rPr>
      </w:pPr>
    </w:p>
    <w:p>
      <w:pPr>
        <w:ind w:left="660" w:firstLine="645"/>
        <w:spacing w:after="0" w:line="277" w:lineRule="auto"/>
        <w:tabs>
          <w:tab w:leader="none" w:pos="205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material adverse change in the Participant’s duties and responsibilities at the Company or a Subsidiary or successor as in effect immediately prior to the Change in Control;</w:t>
      </w:r>
    </w:p>
    <w:p>
      <w:pPr>
        <w:spacing w:after="0" w:line="224" w:lineRule="exact"/>
        <w:rPr>
          <w:rFonts w:ascii="Arial" w:cs="Arial" w:eastAsia="Arial" w:hAnsi="Arial"/>
          <w:sz w:val="18"/>
          <w:szCs w:val="18"/>
          <w:color w:val="auto"/>
        </w:rPr>
      </w:pPr>
    </w:p>
    <w:p>
      <w:pPr>
        <w:ind w:left="660" w:firstLine="645"/>
        <w:spacing w:after="0" w:line="277" w:lineRule="auto"/>
        <w:tabs>
          <w:tab w:leader="none" w:pos="20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material reduction in the Participant’s base salary or bonus opportunity compared to the base salary and bonus opportunity in effect immediately prior to the Change in Control; or</w:t>
      </w:r>
    </w:p>
    <w:p>
      <w:pPr>
        <w:spacing w:after="0" w:line="224" w:lineRule="exact"/>
        <w:rPr>
          <w:rFonts w:ascii="Arial" w:cs="Arial" w:eastAsia="Arial" w:hAnsi="Arial"/>
          <w:sz w:val="18"/>
          <w:szCs w:val="18"/>
          <w:color w:val="auto"/>
        </w:rPr>
      </w:pPr>
    </w:p>
    <w:p>
      <w:pPr>
        <w:ind w:left="660" w:firstLine="645"/>
        <w:spacing w:after="0" w:line="277" w:lineRule="auto"/>
        <w:tabs>
          <w:tab w:leader="none" w:pos="2078"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relocation of the Participant’s primary place of work by more than 35 miles from his or her primary place of work immediately prior to the Change in Control.</w:t>
      </w:r>
    </w:p>
    <w:p>
      <w:pPr>
        <w:spacing w:after="0" w:line="224" w:lineRule="exact"/>
        <w:rPr>
          <w:rFonts w:ascii="Arial" w:cs="Arial" w:eastAsia="Arial" w:hAnsi="Arial"/>
          <w:sz w:val="18"/>
          <w:szCs w:val="18"/>
          <w:color w:val="auto"/>
        </w:rPr>
      </w:pPr>
    </w:p>
    <w:p>
      <w:pPr>
        <w:ind w:left="1400" w:hanging="744"/>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“Incentive Stock Option” means an option that is an incentive stock option as defined in Section 422 of the Code.</w:t>
      </w:r>
    </w:p>
    <w:p>
      <w:pPr>
        <w:spacing w:after="0" w:line="279" w:lineRule="exact"/>
        <w:rPr>
          <w:rFonts w:ascii="Arial" w:cs="Arial" w:eastAsia="Arial" w:hAnsi="Arial"/>
          <w:sz w:val="18"/>
          <w:szCs w:val="18"/>
          <w:color w:val="auto"/>
        </w:rPr>
      </w:pPr>
    </w:p>
    <w:p>
      <w:pPr>
        <w:ind w:left="1400" w:hanging="744"/>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“Nonincentive Stock Option” means an option that is not an Incentive Stock Option.</w:t>
      </w:r>
    </w:p>
    <w:p>
      <w:pPr>
        <w:spacing w:after="0" w:line="279" w:lineRule="exact"/>
        <w:rPr>
          <w:rFonts w:ascii="Arial" w:cs="Arial" w:eastAsia="Arial" w:hAnsi="Arial"/>
          <w:sz w:val="18"/>
          <w:szCs w:val="18"/>
          <w:color w:val="auto"/>
        </w:rPr>
      </w:pPr>
    </w:p>
    <w:p>
      <w:pPr>
        <w:ind w:left="1400" w:hanging="744"/>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“Option” means any option granted under this Plan.</w:t>
      </w:r>
    </w:p>
    <w:p>
      <w:pPr>
        <w:spacing w:after="0" w:line="279" w:lineRule="exact"/>
        <w:rPr>
          <w:rFonts w:ascii="Arial" w:cs="Arial" w:eastAsia="Arial" w:hAnsi="Arial"/>
          <w:sz w:val="18"/>
          <w:szCs w:val="18"/>
          <w:color w:val="auto"/>
        </w:rPr>
      </w:pPr>
    </w:p>
    <w:p>
      <w:pPr>
        <w:ind w:firstLine="656"/>
        <w:spacing w:after="0" w:line="277" w:lineRule="auto"/>
        <w:tabs>
          <w:tab w:leader="none" w:pos="14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“Optionee” means a person to whom a stock option is granted under this Plan or any successor to the rights of such person under this Plan by reason of the death of such person.</w:t>
      </w:r>
    </w:p>
    <w:p>
      <w:pPr>
        <w:spacing w:after="0" w:line="224" w:lineRule="exact"/>
        <w:rPr>
          <w:rFonts w:ascii="Arial" w:cs="Arial" w:eastAsia="Arial" w:hAnsi="Arial"/>
          <w:sz w:val="18"/>
          <w:szCs w:val="18"/>
          <w:color w:val="auto"/>
        </w:rPr>
      </w:pPr>
    </w:p>
    <w:p>
      <w:pPr>
        <w:ind w:left="1440" w:hanging="784"/>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“Participant” means a person to whom an Award is granted under the Plan.</w:t>
      </w:r>
    </w:p>
    <w:p>
      <w:pPr>
        <w:spacing w:after="0" w:line="279" w:lineRule="exact"/>
        <w:rPr>
          <w:rFonts w:ascii="Arial" w:cs="Arial" w:eastAsia="Arial" w:hAnsi="Arial"/>
          <w:sz w:val="18"/>
          <w:szCs w:val="18"/>
          <w:color w:val="auto"/>
        </w:rPr>
      </w:pPr>
    </w:p>
    <w:p>
      <w:pPr>
        <w:ind w:left="1380" w:hanging="724"/>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Award” means an Award granted pursuant to Article IV.</w:t>
      </w:r>
    </w:p>
    <w:p>
      <w:pPr>
        <w:spacing w:after="0" w:line="279" w:lineRule="exact"/>
        <w:rPr>
          <w:rFonts w:ascii="Arial" w:cs="Arial" w:eastAsia="Arial" w:hAnsi="Arial"/>
          <w:sz w:val="18"/>
          <w:szCs w:val="18"/>
          <w:color w:val="auto"/>
        </w:rPr>
      </w:pPr>
    </w:p>
    <w:p>
      <w:pPr>
        <w:ind w:left="1420" w:hanging="764"/>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Objectives” means the objectives established by the Committee pursuant to Section 4.1(b).</w:t>
      </w:r>
    </w:p>
    <w:p>
      <w:pPr>
        <w:spacing w:after="0" w:line="279" w:lineRule="exact"/>
        <w:rPr>
          <w:rFonts w:ascii="Arial" w:cs="Arial" w:eastAsia="Arial" w:hAnsi="Arial"/>
          <w:sz w:val="18"/>
          <w:szCs w:val="18"/>
          <w:color w:val="auto"/>
        </w:rPr>
      </w:pPr>
    </w:p>
    <w:p>
      <w:pPr>
        <w:ind w:left="1400" w:hanging="744"/>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Period” means the period over which the performance of a holder of a Performance Award is measured.</w:t>
      </w:r>
    </w:p>
    <w:p>
      <w:pPr>
        <w:spacing w:after="0" w:line="279" w:lineRule="exact"/>
        <w:rPr>
          <w:rFonts w:ascii="Arial" w:cs="Arial" w:eastAsia="Arial" w:hAnsi="Arial"/>
          <w:sz w:val="18"/>
          <w:szCs w:val="18"/>
          <w:color w:val="auto"/>
        </w:rPr>
      </w:pPr>
    </w:p>
    <w:p>
      <w:pPr>
        <w:ind w:left="1400" w:hanging="744"/>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 means this Kirby Corporation 2005 Stock and Incentive Plan.</w:t>
      </w:r>
    </w:p>
    <w:p>
      <w:pPr>
        <w:spacing w:after="0" w:line="279" w:lineRule="exact"/>
        <w:rPr>
          <w:rFonts w:ascii="Arial" w:cs="Arial" w:eastAsia="Arial" w:hAnsi="Arial"/>
          <w:sz w:val="18"/>
          <w:szCs w:val="18"/>
          <w:color w:val="auto"/>
        </w:rPr>
      </w:pPr>
    </w:p>
    <w:p>
      <w:pPr>
        <w:ind w:left="1400" w:hanging="744"/>
        <w:spacing w:after="0"/>
        <w:tabs>
          <w:tab w:leader="none" w:pos="14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“Restricted Stock” means Shares granted under this Plan that are subject to restrictions imposed by the Committee pursuant to Article III.</w:t>
      </w:r>
    </w:p>
    <w:p>
      <w:pPr>
        <w:spacing w:after="0" w:line="302" w:lineRule="exact"/>
        <w:rPr>
          <w:rFonts w:ascii="Arial" w:cs="Arial" w:eastAsia="Arial" w:hAnsi="Arial"/>
          <w:sz w:val="16"/>
          <w:szCs w:val="16"/>
          <w:color w:val="auto"/>
        </w:rPr>
      </w:pPr>
    </w:p>
    <w:p>
      <w:pPr>
        <w:ind w:left="1400" w:hanging="744"/>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“Restricted Stock Award” means an award of Restricted Stock under this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4" w:name="page45"/>
    <w:bookmarkEnd w:id="44"/>
    <w:p>
      <w:pPr>
        <w:ind w:left="1400" w:hanging="744"/>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162(m) Participant” means each Participant who would be a “covered employee” under Section 162(m) of the Code.</w:t>
      </w:r>
    </w:p>
    <w:p>
      <w:pPr>
        <w:spacing w:after="0" w:line="279" w:lineRule="exact"/>
        <w:rPr>
          <w:rFonts w:ascii="Arial" w:cs="Arial" w:eastAsia="Arial" w:hAnsi="Arial"/>
          <w:sz w:val="18"/>
          <w:szCs w:val="18"/>
          <w:color w:val="auto"/>
        </w:rPr>
      </w:pPr>
    </w:p>
    <w:p>
      <w:pPr>
        <w:ind w:left="1460" w:hanging="804"/>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 means a share of the common stock, par value ten cents ($0.10) per share, of the Company.</w:t>
      </w:r>
    </w:p>
    <w:p>
      <w:pPr>
        <w:spacing w:after="0" w:line="279" w:lineRule="exact"/>
        <w:rPr>
          <w:sz w:val="20"/>
          <w:szCs w:val="20"/>
          <w:color w:val="auto"/>
        </w:rPr>
      </w:pPr>
    </w:p>
    <w:p>
      <w:pPr>
        <w:jc w:val="both"/>
        <w:ind w:firstLine="656"/>
        <w:spacing w:after="0" w:line="264" w:lineRule="auto"/>
        <w:tabs>
          <w:tab w:leader="none" w:pos="14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“Subsidiary” means any corporation (other than the Company) in any unbroken chain of corporations beginning with the Company if each of the corporations other than the last corporation in the unbroken chain owns stock possessing 50% or more of the total combined voting power of all classes of stock in one of the other corporations in the chain.</w:t>
      </w:r>
    </w:p>
    <w:p>
      <w:pPr>
        <w:spacing w:after="0" w:line="23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i w:val="1"/>
          <w:iCs w:val="1"/>
          <w:color w:val="auto"/>
        </w:rPr>
        <w:t>Total Shares and Limitations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93" w:lineRule="auto"/>
        <w:tabs>
          <w:tab w:leader="none" w:pos="14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maximum number of Shares that may be issued under the Plan shall be Five Million (5,000,000) Shares, which may be from Shares held in the Company's treasury or from authorized and unissued Shares. If any Award granted under the Plan shall terminate, expire or be cancelled or surrendered as to any Shares, or the Award is paid in cash in lieu of Shares, the Shares that were subject to such Award shall not count against the above limit and shall again be available for grants under the Plan. Shares equal in number to the Shares withheld in payment of the option price of an Option and Shares that are withheld in order to satisfy federal, state or local tax liability, shall not count against the above limit and shall be available for grants under the Plan. All Share numbers in the Plan reflect the 2-for-1 split of the common stock of the Company effected on May 31, 2006.</w:t>
      </w:r>
    </w:p>
    <w:p>
      <w:pPr>
        <w:spacing w:after="0" w:line="218" w:lineRule="exact"/>
        <w:rPr>
          <w:rFonts w:ascii="Arial" w:cs="Arial" w:eastAsia="Arial" w:hAnsi="Arial"/>
          <w:sz w:val="16"/>
          <w:szCs w:val="16"/>
          <w:color w:val="auto"/>
        </w:rPr>
      </w:pPr>
    </w:p>
    <w:p>
      <w:pPr>
        <w:ind w:left="1480" w:hanging="824"/>
        <w:spacing w:after="0"/>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maximum number of Shares with respect to which Incentive Stock Options may be granted to a Participant during a calendar year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500,000.</w:t>
      </w:r>
    </w:p>
    <w:p>
      <w:pPr>
        <w:spacing w:after="0" w:line="264" w:lineRule="exact"/>
        <w:rPr>
          <w:rFonts w:ascii="Arial" w:cs="Arial" w:eastAsia="Arial" w:hAnsi="Arial"/>
          <w:sz w:val="16"/>
          <w:szCs w:val="16"/>
          <w:color w:val="auto"/>
        </w:rPr>
      </w:pPr>
    </w:p>
    <w:p>
      <w:pPr>
        <w:ind w:left="1460" w:hanging="804"/>
        <w:spacing w:after="0"/>
        <w:tabs>
          <w:tab w:leader="none" w:pos="1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maximum number of Shares with respect to which Options may be granted to a Participant during a calendar year is 500,000.</w:t>
      </w:r>
    </w:p>
    <w:p>
      <w:pPr>
        <w:spacing w:after="0" w:line="290" w:lineRule="exact"/>
        <w:rPr>
          <w:rFonts w:ascii="Arial" w:cs="Arial" w:eastAsia="Arial" w:hAnsi="Arial"/>
          <w:sz w:val="17"/>
          <w:szCs w:val="17"/>
          <w:color w:val="auto"/>
        </w:rPr>
      </w:pPr>
    </w:p>
    <w:p>
      <w:pPr>
        <w:ind w:left="1540" w:hanging="884"/>
        <w:spacing w:after="0"/>
        <w:tabs>
          <w:tab w:leader="none" w:pos="1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maximum number of Shares that may be issued to any Participant pursuant to any Performance Award during the term of the Plan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be 400,000.</w:t>
      </w:r>
    </w:p>
    <w:p>
      <w:pPr>
        <w:spacing w:after="0" w:line="264" w:lineRule="exact"/>
        <w:rPr>
          <w:rFonts w:ascii="Arial" w:cs="Arial" w:eastAsia="Arial" w:hAnsi="Arial"/>
          <w:sz w:val="16"/>
          <w:szCs w:val="16"/>
          <w:color w:val="auto"/>
        </w:rPr>
      </w:pPr>
    </w:p>
    <w:p>
      <w:pPr>
        <w:ind w:left="1500" w:hanging="844"/>
        <w:spacing w:after="0"/>
        <w:tabs>
          <w:tab w:leader="none" w:pos="1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maximum amount of cash that may be paid to any Participant pursuant to any Performance Award during any calendar year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$5,000,000.</w:t>
      </w:r>
    </w:p>
    <w:p>
      <w:pPr>
        <w:spacing w:after="0" w:line="26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i w:val="1"/>
          <w:iCs w:val="1"/>
          <w:color w:val="auto"/>
        </w:rPr>
        <w:t>Awards Under the Plan</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64" w:lineRule="auto"/>
        <w:tabs>
          <w:tab w:leader="none" w:pos="15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Only Eligible Persons may receive awards under the Plan. Awards to Eligible Persons may be in the form of (i) Options; (ii) shares of Restricted Stock; (iii) Performance Awards; or (iv) any combination of the foregoing. No Award shall confer on any person any right to continue as an employee of the Company or any Subsidiary.</w:t>
      </w:r>
    </w:p>
    <w:p>
      <w:pPr>
        <w:spacing w:after="0" w:line="235" w:lineRule="exact"/>
        <w:rPr>
          <w:rFonts w:ascii="Arial" w:cs="Arial" w:eastAsia="Arial" w:hAnsi="Arial"/>
          <w:sz w:val="18"/>
          <w:szCs w:val="18"/>
          <w:color w:val="auto"/>
        </w:rPr>
      </w:pPr>
    </w:p>
    <w:p>
      <w:pPr>
        <w:ind w:firstLine="656"/>
        <w:spacing w:after="0" w:line="277" w:lineRule="auto"/>
        <w:tabs>
          <w:tab w:leader="none" w:pos="16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Award shall be evidenced by an agreement containing any terms deemed necessary or desirable by the Committee that are not inconsistent with the Plan or applicable law.</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OPTIONS</w:t>
      </w:r>
    </w:p>
    <w:p>
      <w:pPr>
        <w:spacing w:after="0" w:line="2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i w:val="1"/>
          <w:iCs w:val="1"/>
          <w:color w:val="auto"/>
        </w:rPr>
        <w:t>Grant of Options</w:t>
      </w:r>
      <w:r>
        <w:rPr>
          <w:rFonts w:ascii="Arial" w:cs="Arial" w:eastAsia="Arial" w:hAnsi="Arial"/>
          <w:sz w:val="17"/>
          <w:szCs w:val="17"/>
          <w:color w:val="auto"/>
        </w:rPr>
        <w:t>. The Committee may from time to time grant Options to Eligible Persons. Options may be Incentive Stock Options or Nonincentive Stock Options as designated by the Committee on or before the Date of Grant. If no such designation is made by the Committee for an Option, the Option shall be a Nonincentive Stock Option. The aggregate Fair Market Value (determined as of the Date of Grant) of the Shares with respect to which Incentive Stock Options are exercisable for the first time by an Optionee during any calendar year under the Plan and all such plans of the Company and any parent or Subsidiary of the Company (as defined in Section 424 of the Code) shall not exceed $100,000.</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for any Option shall be determined by the Committee, but shall not be less than the Fair Market Value on the Date of Grant and shall not be less than 110% of the Fair Market Value on the Date of Grant for any Incentive Stock Option if the Optionee is a person who owns directly or indirectly (within the meaning of Section 422(b)(6) of the Code) stock possessing more than 10% of the total combined voting power of all classes of stock of the Company.</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Term of Option</w:t>
      </w:r>
      <w:r>
        <w:rPr>
          <w:rFonts w:ascii="Arial" w:cs="Arial" w:eastAsia="Arial" w:hAnsi="Arial"/>
          <w:sz w:val="18"/>
          <w:szCs w:val="18"/>
          <w:color w:val="auto"/>
        </w:rPr>
        <w:t>. The term of an Option shall be determined by the Committee, provided that, in the case of an Incentive Stock Option, if the grant is to a person who owns directly or indirectly (within the meaning of Section 422(b)(6) of the Code) stock possessing more than 10% of the total combined voting power of all classes of stock of the Company, the term of the Option shall not exceed five years from the Date of Grant. Notwithstanding any other provision of this Plan, no Option shall be exercised after the expiration of its term.</w:t>
      </w:r>
    </w:p>
    <w:p>
      <w:pPr>
        <w:spacing w:after="0" w:line="2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i w:val="1"/>
          <w:iCs w:val="1"/>
          <w:color w:val="auto"/>
        </w:rPr>
        <w:t>Vesting</w:t>
      </w:r>
      <w:r>
        <w:rPr>
          <w:rFonts w:ascii="Arial" w:cs="Arial" w:eastAsia="Arial" w:hAnsi="Arial"/>
          <w:sz w:val="17"/>
          <w:szCs w:val="17"/>
          <w:color w:val="auto"/>
        </w:rPr>
        <w:t>. Options shall be exercisable at such times and subject to such terms and conditions as the Committee shall specify in the option agreement. Unless the option agreement specifies otherwise, the Committee shall have discretion at any time to accelerate such times and otherwise waive or amend any conditions in respect of all or any portion of any Options. Notwithstanding the other provisions of this Section 2.4 and unless otherwise provided in the option agreement, in the event that an Optionee’s employment is terminated without Cause by the Company, a Subsidiary or successor entity, or is terminated by the Optionee for Good Reason, in either case in connection with or within 18 months after a Change in Control, all Options held by the Optionee immediately prior to such termination shall become immediately exercisable.</w:t>
      </w:r>
    </w:p>
    <w:p>
      <w:pPr>
        <w:spacing w:after="0" w:line="23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i w:val="1"/>
          <w:iCs w:val="1"/>
          <w:color w:val="auto"/>
        </w:rPr>
        <w:t>Termination of Options</w:t>
      </w:r>
      <w:r>
        <w:rPr>
          <w:rFonts w:ascii="Arial" w:cs="Arial" w:eastAsia="Arial" w:hAnsi="Arial"/>
          <w:sz w:val="16"/>
          <w:szCs w:val="16"/>
          <w:color w:val="auto"/>
        </w:rPr>
        <w:t>.</w:t>
      </w:r>
    </w:p>
    <w:p>
      <w:pPr>
        <w:spacing w:after="0" w:line="279" w:lineRule="exact"/>
        <w:rPr>
          <w:sz w:val="20"/>
          <w:szCs w:val="20"/>
          <w:color w:val="auto"/>
        </w:rPr>
      </w:pPr>
    </w:p>
    <w:p>
      <w:pPr>
        <w:ind w:firstLine="656"/>
        <w:spacing w:after="0" w:line="277" w:lineRule="auto"/>
        <w:tabs>
          <w:tab w:leader="none" w:pos="15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otherwise provided in the Plan or the option agreement, the portion of an Option that is exercisable shall automatically and without notice terminate upon the earliest to occur of the following:</w:t>
      </w:r>
    </w:p>
    <w:p>
      <w:pPr>
        <w:spacing w:after="0" w:line="224" w:lineRule="exact"/>
        <w:rPr>
          <w:rFonts w:ascii="Arial" w:cs="Arial" w:eastAsia="Arial" w:hAnsi="Arial"/>
          <w:sz w:val="18"/>
          <w:szCs w:val="18"/>
          <w:color w:val="auto"/>
        </w:rPr>
      </w:pPr>
    </w:p>
    <w:p>
      <w:pPr>
        <w:ind w:left="660" w:firstLine="645"/>
        <w:spacing w:after="0" w:line="277" w:lineRule="auto"/>
        <w:tabs>
          <w:tab w:leader="none" w:pos="2099"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thirty (30) days after the date on which the Optionee ceases to be an Employee for any reason other than (x) death, (y) Disability or (z) termination for cause;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ind w:left="2020" w:hanging="715"/>
        <w:spacing w:after="0"/>
        <w:tabs>
          <w:tab w:leader="none" w:pos="2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one (1) year after the date on which the Optionee ceases to be an Employee as a result of a Disability;</w:t>
      </w:r>
    </w:p>
    <w:p>
      <w:pPr>
        <w:spacing w:after="0" w:line="279" w:lineRule="exact"/>
        <w:rPr>
          <w:rFonts w:ascii="Arial" w:cs="Arial" w:eastAsia="Arial" w:hAnsi="Arial"/>
          <w:sz w:val="18"/>
          <w:szCs w:val="18"/>
          <w:color w:val="auto"/>
        </w:rPr>
      </w:pPr>
    </w:p>
    <w:p>
      <w:pPr>
        <w:ind w:left="660" w:firstLine="645"/>
        <w:spacing w:after="0" w:line="277" w:lineRule="auto"/>
        <w:tabs>
          <w:tab w:leader="none" w:pos="2091" w:val="left"/>
        </w:tabs>
        <w:numPr>
          <w:ilvl w:val="1"/>
          <w:numId w:val="19"/>
        </w:numPr>
        <w:rPr>
          <w:rFonts w:ascii="Arial" w:cs="Arial" w:eastAsia="Arial" w:hAnsi="Arial"/>
          <w:sz w:val="18"/>
          <w:szCs w:val="18"/>
          <w:color w:val="auto"/>
        </w:rPr>
      </w:pPr>
      <w:r>
        <w:rPr>
          <w:rFonts w:ascii="Arial" w:cs="Arial" w:eastAsia="Arial" w:hAnsi="Arial"/>
          <w:sz w:val="18"/>
          <w:szCs w:val="18"/>
          <w:color w:val="auto"/>
        </w:rPr>
        <w:t>either (y) one (1) year after the death of the Optionee or (z) six (6) months after the death of the Optionee if the Optionee dies during the 30-day period described in Section 2.5(a)(i) or the one-year period described in Section 2.5(a)(ii);</w:t>
      </w:r>
    </w:p>
    <w:p>
      <w:pPr>
        <w:spacing w:after="0" w:line="224" w:lineRule="exact"/>
        <w:rPr>
          <w:rFonts w:ascii="Arial" w:cs="Arial" w:eastAsia="Arial" w:hAnsi="Arial"/>
          <w:sz w:val="18"/>
          <w:szCs w:val="18"/>
          <w:color w:val="auto"/>
        </w:rPr>
      </w:pPr>
    </w:p>
    <w:p>
      <w:pPr>
        <w:ind w:left="2000" w:hanging="695"/>
        <w:spacing w:after="0"/>
        <w:tabs>
          <w:tab w:leader="none" w:pos="2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date on which the Optionee ceases to be an Employee as a result of a termination for cause; and</w:t>
      </w:r>
    </w:p>
    <w:p>
      <w:pPr>
        <w:spacing w:after="0" w:line="279" w:lineRule="exact"/>
        <w:rPr>
          <w:rFonts w:ascii="Arial" w:cs="Arial" w:eastAsia="Arial" w:hAnsi="Arial"/>
          <w:sz w:val="18"/>
          <w:szCs w:val="18"/>
          <w:color w:val="auto"/>
        </w:rPr>
      </w:pPr>
    </w:p>
    <w:p>
      <w:pPr>
        <w:ind w:left="2000" w:hanging="695"/>
        <w:spacing w:after="0"/>
        <w:tabs>
          <w:tab w:leader="none" w:pos="2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tenth anniversary of the Date of Grant of the Option.</w:t>
      </w:r>
    </w:p>
    <w:p>
      <w:pPr>
        <w:spacing w:after="0" w:line="279" w:lineRule="exact"/>
        <w:rPr>
          <w:rFonts w:ascii="Arial" w:cs="Arial" w:eastAsia="Arial" w:hAnsi="Arial"/>
          <w:sz w:val="18"/>
          <w:szCs w:val="18"/>
          <w:color w:val="auto"/>
        </w:rPr>
      </w:pPr>
    </w:p>
    <w:p>
      <w:pPr>
        <w:ind w:right="20" w:firstLine="656"/>
        <w:spacing w:after="0" w:line="277" w:lineRule="auto"/>
        <w:tabs>
          <w:tab w:leader="none" w:pos="14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provided in Section 2.4, the portion of an Option that is not exercisable shall automatically and without notice terminate on the date on which the Optionee ceases to be an Employee for any reason.</w:t>
      </w:r>
    </w:p>
    <w:p>
      <w:pPr>
        <w:spacing w:after="0" w:line="224" w:lineRule="exact"/>
        <w:rPr>
          <w:rFonts w:ascii="Arial" w:cs="Arial" w:eastAsia="Arial" w:hAnsi="Arial"/>
          <w:sz w:val="18"/>
          <w:szCs w:val="18"/>
          <w:color w:val="auto"/>
        </w:rPr>
      </w:pPr>
    </w:p>
    <w:p>
      <w:pPr>
        <w:ind w:right="20" w:firstLine="656"/>
        <w:spacing w:after="0" w:line="277" w:lineRule="auto"/>
        <w:tabs>
          <w:tab w:leader="none" w:pos="14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Committee shall have discretion at any time to extend the term of any Nonincentive Stock Option to any date that is not later than the date described in Section 2.5(a)(v).</w:t>
      </w:r>
    </w:p>
    <w:p>
      <w:pPr>
        <w:spacing w:after="0" w:line="2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Exercise of Options</w:t>
      </w:r>
      <w:r>
        <w:rPr>
          <w:rFonts w:ascii="Arial" w:cs="Arial" w:eastAsia="Arial" w:hAnsi="Arial"/>
          <w:sz w:val="18"/>
          <w:szCs w:val="18"/>
          <w:color w:val="auto"/>
        </w:rPr>
        <w:t>. An Option may be exercised in whole or in part to the extent exercisable in accordance with Section 2.4 and the option agreement. An Option shall be deemed exercised when (i) the Company has received written notice of such exercise in accordance with the terms of the Option and (ii) full payment of the aggregate exercise price of the Shares as to which the Option is exercised has been made. Unless further limited by the Committee for any Option, the exercise price of any Shares purchased shall be paid solely in cash, by certified or cashier's check, by money order, by personal check, by withholding Shares from an Award or with Shares owned by the Optionee for at least six months, or by a combination of the foregoing. If the exercise price is paid in whole or in part with Shares, the value of the Shares withheld shall be their Fair Market Value on the date received by the Company. An Optionee may elect to have Shares withheld to satisfy federal or state income tax withholding requirements applicable upon the exercise of an Option.</w:t>
      </w:r>
    </w:p>
    <w:p>
      <w:pPr>
        <w:spacing w:after="0" w:line="24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i w:val="1"/>
          <w:iCs w:val="1"/>
          <w:color w:val="auto"/>
        </w:rPr>
        <w:t>Corporate Transactions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64" w:lineRule="auto"/>
        <w:tabs>
          <w:tab w:leader="none" w:pos="15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event of a merger, consolidation or other reorganization of the Company in which the Company is not the surviving entity, the Board or the Committee may provide for payment in cash or in securities of the Company or the surviving entity in lieu of and in complete satisfaction of Options.</w:t>
      </w:r>
    </w:p>
    <w:p>
      <w:pPr>
        <w:spacing w:after="0" w:line="235" w:lineRule="exact"/>
        <w:rPr>
          <w:rFonts w:ascii="Arial" w:cs="Arial" w:eastAsia="Arial" w:hAnsi="Arial"/>
          <w:sz w:val="18"/>
          <w:szCs w:val="18"/>
          <w:color w:val="auto"/>
        </w:rPr>
      </w:pPr>
    </w:p>
    <w:p>
      <w:pPr>
        <w:jc w:val="both"/>
        <w:ind w:firstLine="656"/>
        <w:spacing w:after="0" w:line="302" w:lineRule="auto"/>
        <w:tabs>
          <w:tab w:leader="none" w:pos="1614"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Except as otherwise expressly provided herein, the issuance by the Company of shares of its capital stock of any class, or securities convertible into shares of capital stock of any class, either in connection with direct sale or upon the exercise of rights or warrants to subscribe therefor, or upon conversion of shares or obligations of the Company convertible into such shares or other securities, shall not affect, and no adjustment by reason thereof shall be made with respect to, the number of or exercise price of Shares then subject to outstanding Options granted under the Plan.</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7" w:name="page48"/>
    <w:bookmarkEnd w:id="47"/>
    <w:p>
      <w:pPr>
        <w:jc w:val="both"/>
        <w:ind w:firstLine="656"/>
        <w:spacing w:after="0" w:line="255" w:lineRule="auto"/>
        <w:tabs>
          <w:tab w:leader="none" w:pos="16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Without limiting the generality of the foregoing, the existence of outstanding Options granted under the Plan shall not affect in any manner the right or power of the Company to make, authorize or consummate (i) any or all adjustments, recapitalizations, reorganizations or other changes in the Company's capital structure or its business; (ii) any merger or consolidation of the Company; (iii) any issue by the Company of debt securities, or preferred or preference stock that would rank above the Shares subject to outstanding Options; (iv) the dissolution or liquidation of the Company; (v) any sale, transfer or assignment of all or any part of the assets or business of the Company; or (vi) any other corporate act or proceeding, whether of a similar character or otherwise.</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i w:val="1"/>
          <w:iCs w:val="1"/>
          <w:color w:val="auto"/>
        </w:rPr>
        <w:t>Issuance of Shares</w:t>
      </w:r>
      <w:r>
        <w:rPr>
          <w:rFonts w:ascii="Arial" w:cs="Arial" w:eastAsia="Arial" w:hAnsi="Arial"/>
          <w:sz w:val="18"/>
          <w:szCs w:val="18"/>
          <w:color w:val="auto"/>
        </w:rPr>
        <w:t>. No person shall be, or have any of the rights or privileges of, a stockholder of the Company with respect to any of the Shares subject to any Option unless and until such Shares (whether represented by certificates or in book-entry or other electronic form) shall have been issued and delivered to such person.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w:t>
      </w:r>
    </w:p>
    <w:p>
      <w:pPr>
        <w:spacing w:after="0" w:line="26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i w:val="1"/>
          <w:iCs w:val="1"/>
          <w:color w:val="auto"/>
        </w:rPr>
        <w:t>Grant of Restricted Stock Awards</w:t>
      </w:r>
      <w:r>
        <w:rPr>
          <w:rFonts w:ascii="Arial" w:cs="Arial" w:eastAsia="Arial" w:hAnsi="Arial"/>
          <w:sz w:val="16"/>
          <w:szCs w:val="16"/>
          <w:color w:val="auto"/>
        </w:rPr>
        <w:t>. The Committee may from time to time grant Restricted Stock Awards to Eligible Persons.</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i w:val="1"/>
          <w:iCs w:val="1"/>
          <w:color w:val="auto"/>
        </w:rPr>
        <w:t>Terms and Conditions of Restricted Stock Awards</w:t>
      </w:r>
      <w:r>
        <w:rPr>
          <w:rFonts w:ascii="Arial" w:cs="Arial" w:eastAsia="Arial" w:hAnsi="Arial"/>
          <w:sz w:val="17"/>
          <w:szCs w:val="17"/>
          <w:color w:val="auto"/>
        </w:rPr>
        <w:t>. Each Restricted Stock Award shall specify the number of shares of Restricted Stock awarded, the price, if any, to be paid by the Participant receiving the Restricted Stock Award, the date or dates on which the Restricted Stock will vest and any other terms and conditions that the Committee may determine. The vesting and number of shares of Restricted Stock may be conditioned upon the completion of a specified period of service with the Company or its Subsidiaries or upon the attainment of any performance goals established by the Committee, including without limitation goals related to the performance of the Company or any Subsidiary, division, department or other unit of the Company, the performance of the Company’s common stock or other securities, the performance of the recipient of the Restricted Stock Award or any combination of the foregoing. A Participant may elect to have Shares withheld from a Restricted Stock Award to satisfy federal or state income tax withholding requirements applicable upon the vesting of Restricted Stock.</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i w:val="1"/>
          <w:iCs w:val="1"/>
          <w:color w:val="auto"/>
        </w:rPr>
        <w:t>Restrictions on Transfer.</w:t>
      </w:r>
      <w:r>
        <w:rPr>
          <w:rFonts w:ascii="Arial" w:cs="Arial" w:eastAsia="Arial" w:hAnsi="Arial"/>
          <w:sz w:val="16"/>
          <w:szCs w:val="16"/>
          <w:color w:val="auto"/>
        </w:rPr>
        <w:t xml:space="preserve"> Unless otherwise provided in the grant relating to a Restricted Stock Award, the Restricted Stock granted to a Participant (whether represented by certificates or in book-entry or other electronic form) shall be registered in the Participant's name or, at the option of the Committee, not issued until such time as the Restricted Stock shall become vested or as otherwise determined by the Committee. If certificates are issued prior to the shares of Restricted Stock becoming vested, such certificates shall either be held by the Company on behalf of the Participant, or delivered to the Participant bearing a legend to restrict transfer of the certificate until the Restricted Stock has vested, as determined by the Committee. The Committee shall determine whether the Participant shall have the right to vote and/or receive dividends on the Restricted Stock before it has vested. Except as may otherwise be expressly permitted by the Committee, no share of Restricted Stock may be sold, transferred, assigned or pledged by the Participant until such share has vested in accordance with the terms of the Restricted Stock Award. Except as provided in Section 3.4 or unless the grant of a Restricted Stock Award specifies otherwise, in the event that a Participant ceases to be an Employee before all the Participant's Restricted Stock has vested, or in the event other conditions to the vesting of Restricted Stock have not been satisfied prior to any deadline for the satisfaction of such conditions set forth in the award agreement, the shares of Restricted Stock that have not vested shall be forfeited and any purchase price paid by the Participant for the forfeited Shares shall be returned to the Participant. At the time Restricted Stock vests (and, if the Participant has been issued legended certificates for Restricted Stock, upon the return of such certificates to the Company), such vested shares shall be issued to the Participant (or the beneficiary designated by the Participant in the event of death), in certificated or book entry or other electronic form, free of all restrictions.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8" w:name="page49"/>
    <w:bookmarkEnd w:id="48"/>
    <w:p>
      <w:pPr>
        <w:ind w:firstLine="648"/>
        <w:spacing w:after="0" w:line="277" w:lineRule="auto"/>
        <w:rPr>
          <w:sz w:val="20"/>
          <w:szCs w:val="20"/>
          <w:color w:val="auto"/>
        </w:rPr>
      </w:pPr>
      <w:r>
        <w:rPr>
          <w:rFonts w:ascii="Arial" w:cs="Arial" w:eastAsia="Arial" w:hAnsi="Arial"/>
          <w:sz w:val="18"/>
          <w:szCs w:val="18"/>
          <w:color w:val="auto"/>
        </w:rPr>
        <w:t>Section 3.4. A</w:t>
      </w:r>
      <w:r>
        <w:rPr>
          <w:rFonts w:ascii="Arial" w:cs="Arial" w:eastAsia="Arial" w:hAnsi="Arial"/>
          <w:sz w:val="18"/>
          <w:szCs w:val="18"/>
          <w:i w:val="1"/>
          <w:iCs w:val="1"/>
          <w:color w:val="auto"/>
        </w:rPr>
        <w:t>ccelerated Vesting.</w:t>
      </w:r>
      <w:r>
        <w:rPr>
          <w:rFonts w:ascii="Arial" w:cs="Arial" w:eastAsia="Arial" w:hAnsi="Arial"/>
          <w:sz w:val="18"/>
          <w:szCs w:val="18"/>
          <w:color w:val="auto"/>
        </w:rPr>
        <w:t xml:space="preserve"> Notwithstanding the vesting conditions set forth in a Restricted Stock Award, unless the Restricted Stock Award grant or other agreement with the Participant specifies otherwise:</w:t>
      </w:r>
    </w:p>
    <w:p>
      <w:pPr>
        <w:spacing w:after="0" w:line="224" w:lineRule="exact"/>
        <w:rPr>
          <w:sz w:val="20"/>
          <w:szCs w:val="20"/>
          <w:color w:val="auto"/>
        </w:rPr>
      </w:pPr>
    </w:p>
    <w:p>
      <w:pPr>
        <w:ind w:firstLine="656"/>
        <w:spacing w:after="0" w:line="277" w:lineRule="auto"/>
        <w:tabs>
          <w:tab w:leader="none" w:pos="14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may in its discretion at any time accelerate the vesting of Restricted Stock or otherwise waive or amend any conditions of a grant of a Restricted Stock Award, and</w:t>
      </w:r>
    </w:p>
    <w:p>
      <w:pPr>
        <w:spacing w:after="0" w:line="224" w:lineRule="exact"/>
        <w:rPr>
          <w:rFonts w:ascii="Arial" w:cs="Arial" w:eastAsia="Arial" w:hAnsi="Arial"/>
          <w:sz w:val="18"/>
          <w:szCs w:val="18"/>
          <w:color w:val="auto"/>
        </w:rPr>
      </w:pPr>
    </w:p>
    <w:p>
      <w:pPr>
        <w:jc w:val="both"/>
        <w:ind w:firstLine="656"/>
        <w:spacing w:after="0" w:line="264" w:lineRule="auto"/>
        <w:tabs>
          <w:tab w:leader="none" w:pos="14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event that a Participant’s employment is terminated without Cause by the Company, a Subsidiary or successor, or is terminated by the Participant for Good Reason, in either case in connection with or within 18 months after a Change in Control, all shares of Restricted Stock held by the Participant immediately prior to such termination shall immediately become vested.</w:t>
      </w:r>
    </w:p>
    <w:p>
      <w:pPr>
        <w:spacing w:after="0" w:line="2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i w:val="1"/>
          <w:iCs w:val="1"/>
          <w:color w:val="auto"/>
        </w:rPr>
        <w:t>Section 83(b) Election</w:t>
      </w:r>
      <w:r>
        <w:rPr>
          <w:rFonts w:ascii="Arial" w:cs="Arial" w:eastAsia="Arial" w:hAnsi="Arial"/>
          <w:sz w:val="18"/>
          <w:szCs w:val="18"/>
          <w:color w:val="auto"/>
        </w:rPr>
        <w:t>. If a Participant receives Restricted Stock that is subject to a “substantial risk of forfeiture,” such Participant may elect under Section 83(b) of the Code to include in his or her gross income, for the taxable year in which the Restricted Stock is received, the excess of the Fair Market Value of such Restricted Stock on the Date of Grant (determined without regard to any restriction other than one which by its terms will never lapse), over the amount paid for the Restricted Stock. If the Participant makes the Section 83(b) election, the Participant shall (a) make such election in a manner that is satisfactory to the Committee, (b) provide the Company with a copy of such election, (c) agree to notify the Company promptly if any Internal Revenue Service or state tax agent, on audit or otherwise, questions the validity or correctness of such election or of the amount of income reportable on account of such election and (d) agree to such federal and state income tax withholding as the Committee may reasonably require in its sole discretion.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AWARDS</w:t>
      </w:r>
    </w:p>
    <w:p>
      <w:pPr>
        <w:spacing w:after="0" w:line="2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Terms and Conditions of Performance Awards</w:t>
      </w:r>
      <w:r>
        <w:rPr>
          <w:rFonts w:ascii="Arial" w:cs="Arial" w:eastAsia="Arial" w:hAnsi="Arial"/>
          <w:sz w:val="18"/>
          <w:szCs w:val="18"/>
          <w:color w:val="auto"/>
        </w:rPr>
        <w:t>. The Committee may from time to time grant Awards that are intended to be “performance-based compensation,” which are payable in stock, cash or a combination thereof, at the discretion of the Committee.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9" w:name="page50"/>
    <w:bookmarkEnd w:id="49"/>
    <w:p>
      <w:pPr>
        <w:jc w:val="both"/>
        <w:ind w:firstLine="656"/>
        <w:spacing w:after="0" w:line="224" w:lineRule="auto"/>
        <w:tabs>
          <w:tab w:leader="none" w:pos="15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 Period. The Committee shall establish a Performance Period for each Performance Award at the time such Performance Award is granted. A Performance Period may overlap with Performance Periods relating to other Performance Awards granted hereunder to the same Participant. The Committee shall not grant Performance Awards to Section 162(m) Participants after the earliest to occur of (i) the 90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start of the Performance Period, (ii) the date on which 25% of the Performance Period has elapsed or (iii) the date on which the satisfaction of the Performance Objectives becomes substantially certain.</w:t>
      </w:r>
    </w:p>
    <w:p>
      <w:pPr>
        <w:spacing w:after="0" w:line="255" w:lineRule="exact"/>
        <w:rPr>
          <w:rFonts w:ascii="Arial" w:cs="Arial" w:eastAsia="Arial" w:hAnsi="Arial"/>
          <w:sz w:val="18"/>
          <w:szCs w:val="18"/>
          <w:color w:val="auto"/>
        </w:rPr>
      </w:pPr>
    </w:p>
    <w:p>
      <w:pPr>
        <w:jc w:val="both"/>
        <w:ind w:firstLine="656"/>
        <w:spacing w:after="0" w:line="273" w:lineRule="auto"/>
        <w:tabs>
          <w:tab w:leader="none" w:pos="14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Performance Objectives. The Committee shall establish written performance objectives for the Participant at the time of the grant of each Performance Award. Each Performance Award shall be contingent upon the achievement of the Performance Objectives established by the Committee. Performance Objectives shall be based on earnings, cash flow, economic value added, total stockholder return, return on equity, return on capital, return on assets, revenues, operating profit, EBITDA, net profit, earnings per share, stock price, cost reduction goals, debt to capital ratio, financial return ratios, profit or operating margins, working capital or any combination of the foregoing, for the Company on a consolidated basis or, if applicable, for one or more Subsidiaries, divisions, departments or other units of the Company or one or more of its Subsidiaries.</w:t>
      </w:r>
    </w:p>
    <w:p>
      <w:pPr>
        <w:spacing w:after="0" w:line="232" w:lineRule="exact"/>
        <w:rPr>
          <w:rFonts w:ascii="Arial" w:cs="Arial" w:eastAsia="Arial" w:hAnsi="Arial"/>
          <w:sz w:val="17"/>
          <w:szCs w:val="17"/>
          <w:color w:val="auto"/>
        </w:rPr>
      </w:pPr>
    </w:p>
    <w:p>
      <w:pPr>
        <w:ind w:firstLine="656"/>
        <w:spacing w:after="0" w:line="277" w:lineRule="auto"/>
        <w:tabs>
          <w:tab w:leader="none" w:pos="16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Frequency. The Committee shall determine at the time of grant of Performance Awards the target and maximum values of Performance Awards and the date or dates when Performance Awards are earned.</w:t>
      </w:r>
    </w:p>
    <w:p>
      <w:pPr>
        <w:spacing w:after="0" w:line="224" w:lineRule="exact"/>
        <w:rPr>
          <w:rFonts w:ascii="Arial" w:cs="Arial" w:eastAsia="Arial" w:hAnsi="Arial"/>
          <w:sz w:val="18"/>
          <w:szCs w:val="18"/>
          <w:color w:val="auto"/>
        </w:rPr>
      </w:pPr>
    </w:p>
    <w:p>
      <w:pPr>
        <w:jc w:val="both"/>
        <w:ind w:firstLine="656"/>
        <w:spacing w:after="0" w:line="272" w:lineRule="auto"/>
        <w:tabs>
          <w:tab w:leader="none" w:pos="14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Payment. Following the end of each Performance Period, the holder of each Performance Award will be entitled to receive payment of an amount, not exceeding the maximum value of the Performance Award, based on the achievement of the Performance Objectives for such Performance Period, as determined in writing by the Committee. Unless otherwise provided in the Performance Award, if the Participant exceeds the specified minimum level of acceptable achievement but does not attain the Performance Objectives, the Participant shall be deemed to have partly earned the Performance Award, and shall become entitled to receive a portion of the total award, as determined by the Committee. Unless otherwise provided in the Performance Award, if a Performance Award is granted after the start of a Performance Period, the Performance Award shall be reduced to reflect the portion of the Performance Period during which the Performance Award was in effect.</w:t>
      </w:r>
    </w:p>
    <w:p>
      <w:pPr>
        <w:spacing w:after="0" w:line="231" w:lineRule="exact"/>
        <w:rPr>
          <w:rFonts w:ascii="Arial" w:cs="Arial" w:eastAsia="Arial" w:hAnsi="Arial"/>
          <w:sz w:val="17"/>
          <w:szCs w:val="17"/>
          <w:color w:val="auto"/>
        </w:rPr>
      </w:pPr>
    </w:p>
    <w:p>
      <w:pPr>
        <w:jc w:val="both"/>
        <w:ind w:firstLine="656"/>
        <w:spacing w:after="0" w:line="273" w:lineRule="auto"/>
        <w:tabs>
          <w:tab w:leader="none" w:pos="14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Termination of Employment. Unless otherwise provided in the Performance Award, a Participant who receives a Performance Award and who ceases to be an Employee as a result of death, Disability or retirement before the end of the applicable Performance Period shall be entitled to receive, to the extent earned as a result of the full or partial achievement of the Performance Objectives during the Performance Period, a portion of the Performance Award that is proportional to the portion of the Performance Period during which the Participant was employed, with payment to be made following the end of the Performance Period. Unless otherwise provided in the Performance Award, a Participant who receives a Performance Award who ceases to be an Employee for any reason other than death, Disability or retirement shall not be entitled to any part of the Performance Award.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0" w:name="page51"/>
    <w:bookmarkEnd w:id="50"/>
    <w:p>
      <w:pPr>
        <w:jc w:val="both"/>
        <w:ind w:firstLine="656"/>
        <w:spacing w:after="0" w:line="272" w:lineRule="auto"/>
        <w:tabs>
          <w:tab w:leader="none" w:pos="153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Accelerated Vesting. Notwithstanding the vesting conditions set forth in a Performance Award, unless the Performance Award specifies otherwise (i) the Committee may in its discretion at any time accelerate the time at which the Performance Award is considered to have been earned or otherwise waive or amend any conditions (including but not limited to Performance Objectives) in respect of a Performance Award, and (ii) all Performance Awards shall be considered earned upon a Change in Control of the Company. In addition, upon a Change in Control of the Company, unless a Performance Award specifies otherwise, each Participant shall receive the target Performance Award such Participant could have earned for the proportionate part of the Performance Period prior to the Change in Control, and shall retain the right to earn any additional portion of his or her Performance Award if such Participant remains in the Company's employ through the end of the Performance Period.</w:t>
      </w:r>
    </w:p>
    <w:p>
      <w:pPr>
        <w:spacing w:after="0" w:line="231" w:lineRule="exact"/>
        <w:rPr>
          <w:rFonts w:ascii="Arial" w:cs="Arial" w:eastAsia="Arial" w:hAnsi="Arial"/>
          <w:sz w:val="17"/>
          <w:szCs w:val="17"/>
          <w:color w:val="auto"/>
        </w:rPr>
      </w:pPr>
    </w:p>
    <w:p>
      <w:pPr>
        <w:ind w:left="1460" w:hanging="804"/>
        <w:spacing w:after="0"/>
        <w:tabs>
          <w:tab w:leader="none" w:pos="1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Stockholder Rights. The holder of a Performance Award shall, as such, have none of the rights of a stockholder of the Company.</w:t>
      </w:r>
    </w:p>
    <w:p>
      <w:pPr>
        <w:spacing w:after="0" w:line="290" w:lineRule="exact"/>
        <w:rPr>
          <w:rFonts w:ascii="Arial" w:cs="Arial" w:eastAsia="Arial" w:hAnsi="Arial"/>
          <w:sz w:val="17"/>
          <w:szCs w:val="17"/>
          <w:color w:val="auto"/>
        </w:rPr>
      </w:pPr>
    </w:p>
    <w:p>
      <w:pPr>
        <w:jc w:val="both"/>
        <w:ind w:firstLine="656"/>
        <w:spacing w:after="0" w:line="264" w:lineRule="auto"/>
        <w:tabs>
          <w:tab w:leader="none" w:pos="15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Annual Incentive Plan. Cash awards based on the attainment of the performance objectives established under the Company’s Annual Incentive Plan may, in the Committee’s discretion, be considered Performance Awards granted under the Plan, provided that such awards are subject to the terms and conditions of this Article IV.</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PROVISIONS</w:t>
      </w:r>
    </w:p>
    <w:p>
      <w:pPr>
        <w:spacing w:after="0" w:line="2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i w:val="1"/>
          <w:iCs w:val="1"/>
          <w:color w:val="auto"/>
        </w:rPr>
        <w:t>Administration of the Plan</w:t>
      </w:r>
      <w:r>
        <w:rPr>
          <w:rFonts w:ascii="Arial" w:cs="Arial" w:eastAsia="Arial" w:hAnsi="Arial"/>
          <w:sz w:val="17"/>
          <w:szCs w:val="17"/>
          <w:color w:val="auto"/>
        </w:rPr>
        <w:t>. The Plan shall be administered by the Committee. The Committee shall have the authority to interpret the provisions of the Plan, to adopt such rules and regulations for carrying out the Plan as it may deem advisable, to decide conclusively all questions arising with respect to the Plan, to establish performance criteria in respect of Awards under the Plan, to determine whether Plan requirements have been met for any Participant in the Plan and to make all other determinations and take all other actions necessary or desirable for the administration of the Plan. All decisions and acts of the Committee shall be final and binding upon all affected Participants. If there is no Committee, the Board shall administer the Plan and in such case all references to the Committee shall be deemed to be references to the Board.</w:t>
      </w:r>
    </w:p>
    <w:p>
      <w:pPr>
        <w:spacing w:after="0" w:line="23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i w:val="1"/>
          <w:iCs w:val="1"/>
          <w:color w:val="auto"/>
        </w:rPr>
        <w:t>Adjustments for Changes in Capitalization</w:t>
      </w:r>
      <w:r>
        <w:rPr>
          <w:rFonts w:ascii="Arial" w:cs="Arial" w:eastAsia="Arial" w:hAnsi="Arial"/>
          <w:sz w:val="16"/>
          <w:szCs w:val="16"/>
          <w:color w:val="auto"/>
        </w:rPr>
        <w:t>. In the event of any (a) stock dividends, stock splits, recapitalizations, combinations, exchanges of shares, mergers, consolidations, liquidations, split-ups, split-offs, spin-offs or other similar changes in capitalization, (b) distributions to stockholders, including a rights offering, other than regular cash dividends, (c) changes in the outstanding stock of the Company by reason of any increase or decrease in the number of issued Shares resulting from a split-up or consolidation of Shares or any similar capital adjustment or the payment of any stock dividend, (d) Share repurchase at a price in excess of the market price of the Shares at the time such repurchase is announced or (e) other similar increase or decrease in the number of the Shares, the Committee, in its sole discretion, shall make appropriate adjustment in the number and kind of shares authorized by the Plan in the number, price or kind of shares covered by the Awards and in any outstanding Awards under the Plan. In addition, upon the occurrence of any event described in this Section 5.2, the Committee, in its sole discretion, shall make appropriate adjustment in the limits specified in Section 1.3(b), (c) and</w:t>
      </w:r>
    </w:p>
    <w:p>
      <w:pPr>
        <w:spacing w:after="0" w:line="1" w:lineRule="exact"/>
        <w:rPr>
          <w:sz w:val="20"/>
          <w:szCs w:val="20"/>
          <w:color w:val="auto"/>
        </w:rPr>
      </w:pPr>
    </w:p>
    <w:p>
      <w:pPr>
        <w:jc w:val="both"/>
        <w:ind w:firstLine="8"/>
        <w:spacing w:after="0" w:line="295" w:lineRule="auto"/>
        <w:tabs>
          <w:tab w:leader="none" w:pos="268" w:val="left"/>
        </w:tabs>
        <w:numPr>
          <w:ilvl w:val="0"/>
          <w:numId w:val="26"/>
        </w:numPr>
        <w:rPr>
          <w:rFonts w:ascii="Arial" w:cs="Arial" w:eastAsia="Arial" w:hAnsi="Arial"/>
          <w:sz w:val="16"/>
          <w:szCs w:val="16"/>
          <w:color w:val="auto"/>
        </w:rPr>
      </w:pPr>
      <w:r>
        <w:rPr>
          <w:rFonts w:ascii="Arial" w:cs="Arial" w:eastAsia="Arial" w:hAnsi="Arial"/>
          <w:sz w:val="16"/>
          <w:szCs w:val="16"/>
          <w:color w:val="auto"/>
        </w:rPr>
        <w:t>so that the effect of such limits is, as nearly as practicable, equivalent to the effect of such limits prior to the event in question, provided that any such adjustment complies with applicable laws and does not cause an award that is intended to satisfy the performance-based compensation exception under Section 162(m) of the Code to fail to satisfy the exception. In the event of any adjustment in the number of Shares covered by any Award, any fractional Shares resulting from such adjustment shall be disregarded and each such Award shall cover only the number of full Shares resulting from such adjustment.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1" w:name="page52"/>
    <w:bookmarkEnd w:id="51"/>
    <w:p>
      <w:pPr>
        <w:ind w:left="660"/>
        <w:spacing w:after="0"/>
        <w:tabs>
          <w:tab w:leader="none" w:pos="204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5"/>
          <w:szCs w:val="15"/>
          <w:i w:val="1"/>
          <w:iCs w:val="1"/>
          <w:color w:val="auto"/>
        </w:rPr>
        <w:t>Amendment.</w:t>
      </w:r>
    </w:p>
    <w:p>
      <w:pPr>
        <w:spacing w:after="0" w:line="279" w:lineRule="exact"/>
        <w:rPr>
          <w:sz w:val="20"/>
          <w:szCs w:val="20"/>
          <w:color w:val="auto"/>
        </w:rPr>
      </w:pPr>
    </w:p>
    <w:p>
      <w:pPr>
        <w:jc w:val="both"/>
        <w:ind w:firstLine="656"/>
        <w:spacing w:after="0" w:line="264" w:lineRule="auto"/>
        <w:tabs>
          <w:tab w:leader="none" w:pos="15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Board may amend or modify the Plan in any respect at any time, subject to stockholder approval if required by applicable law or regulation or by applicable stock exchange rules. Such action shall not impair any of the rights of any Participant with respect to any Award outstanding on the date of the amendment or modification without the Participant’s written consent.</w:t>
      </w:r>
    </w:p>
    <w:p>
      <w:pPr>
        <w:spacing w:after="0" w:line="235" w:lineRule="exact"/>
        <w:rPr>
          <w:rFonts w:ascii="Arial" w:cs="Arial" w:eastAsia="Arial" w:hAnsi="Arial"/>
          <w:sz w:val="18"/>
          <w:szCs w:val="18"/>
          <w:color w:val="auto"/>
        </w:rPr>
      </w:pPr>
    </w:p>
    <w:p>
      <w:pPr>
        <w:jc w:val="both"/>
        <w:ind w:firstLine="656"/>
        <w:spacing w:after="0" w:line="264" w:lineRule="auto"/>
        <w:tabs>
          <w:tab w:leader="none" w:pos="17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Committee shall have the authority to amend any Award to include any provision which, at the time of such amendment, is authorized under the terms of the Plan; however, no outstanding Award may be revoked or altered in a manner unfavorable to the Participant without the written consent of the Participant.</w:t>
      </w:r>
    </w:p>
    <w:p>
      <w:pPr>
        <w:spacing w:after="0" w:line="23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i w:val="1"/>
          <w:iCs w:val="1"/>
          <w:color w:val="auto"/>
        </w:rPr>
        <w:t>Transferability of Awards</w:t>
      </w:r>
      <w:r>
        <w:rPr>
          <w:rFonts w:ascii="Arial" w:cs="Arial" w:eastAsia="Arial" w:hAnsi="Arial"/>
          <w:sz w:val="16"/>
          <w:szCs w:val="16"/>
          <w:color w:val="auto"/>
        </w:rPr>
        <w:t>. An Award shall not be transferable by the Participant otherwise than by will or the laws of descent and distribution. So long as a Participant lives, only such Participant or his or her guardian or legal representative shall have the right to exercise such Award.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Beneficiary</w:t>
      </w:r>
      <w:r>
        <w:rPr>
          <w:rFonts w:ascii="Arial" w:cs="Arial" w:eastAsia="Arial" w:hAnsi="Arial"/>
          <w:sz w:val="18"/>
          <w:szCs w:val="18"/>
          <w:color w:val="auto"/>
        </w:rPr>
        <w:t>. A Participant may file with the Company a written designation of beneficiary, on such form as may be prescribed by the Committee, to receive any Shares, Awards or payments that become deliverable to the Participant pursuant to the Plan after the Participant's death. A Participant may, from time to time, amend or revoke a designation of beneficiary. If no designated beneficiary survives the Participant, the executor or administrator of the Participant's estate shall be deemed to be the Participant’s beneficiary.</w:t>
      </w:r>
    </w:p>
    <w:p>
      <w:pPr>
        <w:spacing w:after="0" w:line="2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i w:val="1"/>
          <w:iCs w:val="1"/>
          <w:color w:val="auto"/>
        </w:rPr>
        <w:t>Non-uniform Determinations</w:t>
      </w:r>
      <w:r>
        <w:rPr>
          <w:rFonts w:ascii="Arial" w:cs="Arial" w:eastAsia="Arial" w:hAnsi="Arial"/>
          <w:sz w:val="17"/>
          <w:szCs w:val="17"/>
          <w:color w:val="auto"/>
        </w:rPr>
        <w:t>. Determinations by the Committee under the Plan (including, without limitation, determinations of the Eligible Persons to receive Awards, the form, amount and timing of Awards, the terms and provisions of Awards and the agreements evidencing Awards and provisions with respect to termination of employment) need not be uniform and may be made by the Committee selectively among persons who receive, or are eligible to receive, Awards under the Plan, whether or not such persons are similarly situated.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Duration and Termination.</w:t>
      </w:r>
      <w:r>
        <w:rPr>
          <w:rFonts w:ascii="Arial" w:cs="Arial" w:eastAsia="Arial" w:hAnsi="Arial"/>
          <w:sz w:val="18"/>
          <w:szCs w:val="18"/>
          <w:color w:val="auto"/>
        </w:rPr>
        <w:t xml:space="preserve"> No awards shall be made under the Plan after April 23, 2022, provided that no Incentive Stock Option shall be granted under the Plan on or after the tenth anniversary of the effective date of the Plan. The Board may suspend, discontinue or terminate the Plan at any time. The suspension, discontinuance or termination of the Plan shall not impair any of the rights of any holder of any Award outstanding on the date of the Plan's suspension, discontinuance or termination without the holder's written consent.</w:t>
      </w:r>
    </w:p>
    <w:p>
      <w:pPr>
        <w:spacing w:after="0" w:line="2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i w:val="1"/>
          <w:iCs w:val="1"/>
          <w:color w:val="auto"/>
        </w:rPr>
        <w:t>Withholding</w:t>
      </w:r>
      <w:r>
        <w:rPr>
          <w:rFonts w:ascii="Arial" w:cs="Arial" w:eastAsia="Arial" w:hAnsi="Arial"/>
          <w:sz w:val="17"/>
          <w:szCs w:val="17"/>
          <w:color w:val="auto"/>
        </w:rPr>
        <w:t>. Prior to the issuance of any Shares under the Plan, arrangements satisfactory to the Committee in its sole discretion shall have been made for the Participant’s payment to the Company of the amount, if any, that the Committee determines to be necessary for the Company or Subsidiary employing the Participant to withhold in accordance with applicable federal or state income tax withholding requirements. If the Committee allows Shares to be withheld from an Award to satisfy such withholding requirements, the amount withheld in Shares shall not exceed the minimum amount required to be withheld, determined on the date that the amount of tax to be withheld is to be determined. When payments under the Plan are made in cash, such payments shall be net of an amount sufficient to satisfy such withholding requirements.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2" w:name="page53"/>
    <w:bookmarkEnd w:id="52"/>
    <w:p>
      <w:pPr>
        <w:jc w:val="both"/>
        <w:ind w:firstLine="648"/>
        <w:spacing w:after="0" w:line="264"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i w:val="1"/>
          <w:iCs w:val="1"/>
          <w:color w:val="auto"/>
        </w:rPr>
        <w:t>Agreements and Undertakings</w:t>
      </w:r>
      <w:r>
        <w:rPr>
          <w:rFonts w:ascii="Arial" w:cs="Arial" w:eastAsia="Arial" w:hAnsi="Arial"/>
          <w:sz w:val="18"/>
          <w:szCs w:val="18"/>
          <w:color w:val="auto"/>
        </w:rPr>
        <w:t>. As a condition of any issuance or transfer of Shares, the Committee may obtain such agreements or undertakings, if any, as it may deem necessary or advisable to assure compliance with any provision of the Plan, any agreement or any law or regulation including, but not limited to, the following:</w:t>
      </w:r>
    </w:p>
    <w:p>
      <w:pPr>
        <w:spacing w:after="0" w:line="235" w:lineRule="exact"/>
        <w:rPr>
          <w:sz w:val="20"/>
          <w:szCs w:val="20"/>
          <w:color w:val="auto"/>
        </w:rPr>
      </w:pPr>
    </w:p>
    <w:p>
      <w:pPr>
        <w:ind w:firstLine="656"/>
        <w:spacing w:after="0" w:line="277" w:lineRule="auto"/>
        <w:tabs>
          <w:tab w:leader="none" w:pos="148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representation, warranty or agreement by the Participant to the Company that the Participant is acquiring the Shares for investment and not with a view to, or for sale in connection with, the distribution of any such Shares; and</w:t>
      </w:r>
    </w:p>
    <w:p>
      <w:pPr>
        <w:spacing w:after="0" w:line="224" w:lineRule="exact"/>
        <w:rPr>
          <w:rFonts w:ascii="Arial" w:cs="Arial" w:eastAsia="Arial" w:hAnsi="Arial"/>
          <w:sz w:val="18"/>
          <w:szCs w:val="18"/>
          <w:color w:val="auto"/>
        </w:rPr>
      </w:pPr>
    </w:p>
    <w:p>
      <w:pPr>
        <w:ind w:firstLine="656"/>
        <w:spacing w:after="0" w:line="277" w:lineRule="auto"/>
        <w:tabs>
          <w:tab w:leader="none" w:pos="1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representation, warranty or agreement to be bound by any restrictions that are, in the opinion of the Committee, necessary or appropriate to comply with the provisions of any securities law deemed by the Committee to be applicable to the issuance of the Shares.</w:t>
      </w:r>
    </w:p>
    <w:p>
      <w:pPr>
        <w:spacing w:after="0" w:line="22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i w:val="1"/>
          <w:iCs w:val="1"/>
          <w:color w:val="auto"/>
        </w:rPr>
        <w:t>Uncertificated Shares.</w:t>
      </w:r>
      <w:r>
        <w:rPr>
          <w:rFonts w:ascii="Arial" w:cs="Arial" w:eastAsia="Arial" w:hAnsi="Arial"/>
          <w:sz w:val="17"/>
          <w:szCs w:val="17"/>
          <w:color w:val="auto"/>
        </w:rPr>
        <w:t xml:space="preserve"> In lieu of issuing stock certificates for Shares acquired pursuant to the Plan, the Company may issue such Shares in book-entry or other electronic or uncertificated form, unless prohibited by applicable law or regulation or by applicable stock exchange rules.</w:t>
      </w:r>
    </w:p>
    <w:p>
      <w:pPr>
        <w:spacing w:after="0" w:line="20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Governing Law</w:t>
      </w:r>
      <w:r>
        <w:rPr>
          <w:rFonts w:ascii="Arial" w:cs="Arial" w:eastAsia="Arial" w:hAnsi="Arial"/>
          <w:sz w:val="18"/>
          <w:szCs w:val="18"/>
          <w:color w:val="auto"/>
        </w:rPr>
        <w:t>. The Plan shall be governed by the laws of the State of Texas except to the extent that federal law or Nevada corporate law is controlling.</w:t>
      </w:r>
    </w:p>
    <w:p>
      <w:pPr>
        <w:spacing w:after="0" w:line="22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i w:val="1"/>
          <w:iCs w:val="1"/>
          <w:color w:val="auto"/>
        </w:rPr>
        <w:t>Effective Date</w:t>
      </w:r>
      <w:r>
        <w:rPr>
          <w:rFonts w:ascii="Arial" w:cs="Arial" w:eastAsia="Arial" w:hAnsi="Arial"/>
          <w:sz w:val="16"/>
          <w:szCs w:val="16"/>
          <w:color w:val="auto"/>
        </w:rPr>
        <w:t>. The Plan amends and restates the Existing Plan in its entirety, effective October 31, 2017.</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connection with the filing of the Quarterly Report on Form 10-Q for the quarter ended September 30, 2017 by Kirby Corporation, David 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Grzebinski certifies that:</w:t>
      </w:r>
    </w:p>
    <w:p>
      <w:pPr>
        <w:spacing w:after="0" w:line="23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connection with the filing of the Quarterly Report on Form 10-Q for the quarter ended September 30, 2017 by Kirby Corporation, David 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Grzebinski certifies that:</w:t>
      </w:r>
    </w:p>
    <w:p>
      <w:pPr>
        <w:spacing w:after="0" w:line="238"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18 U.S.C. Section 1350</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connection with the filing of the Quarterly Report on Form 10-Q for the quarter ended September 30, 2017 (the “Report”) by Kirby Corporation (the “Company”), each of the undersigned hereby certifies that:</w:t>
      </w:r>
    </w:p>
    <w:p>
      <w:pPr>
        <w:spacing w:after="0" w:line="19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4"/>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decimal"/>
      <w:start w:val="8"/>
    </w:lvl>
  </w:abstractNum>
  <w:abstractNum w:abstractNumId="5">
    <w:nsid w:val="3F2DBA31"/>
    <w:multiLevelType w:val="hybridMultilevel"/>
    <w:lvl w:ilvl="0">
      <w:lvlJc w:val="left"/>
      <w:lvlText w:val="%1"/>
      <w:numFmt w:val="decimal"/>
      <w:start w:val="32"/>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lowerLetter"/>
      <w:start w:val="1"/>
    </w:lvl>
    <w:lvl w:ilvl="1">
      <w:lvlJc w:val="left"/>
      <w:lvlText w:val="(%2)"/>
      <w:numFmt w:val="lowerRoman"/>
      <w:start w:val="1"/>
    </w:lvl>
  </w:abstractNum>
  <w:abstractNum w:abstractNumId="9">
    <w:nsid w:val="436C6125"/>
    <w:multiLevelType w:val="hybridMultilevel"/>
    <w:lvl w:ilvl="0">
      <w:lvlJc w:val="left"/>
      <w:lvlText w:val="%1"/>
      <w:numFmt w:val="upperLetter"/>
      <w:start w:val="1"/>
    </w:lvl>
    <w:lvl w:ilvl="1">
      <w:lvlJc w:val="left"/>
      <w:lvlText w:val="(%2)"/>
      <w:numFmt w:val="lowerRoman"/>
      <w:start w:val="1"/>
    </w:lvl>
  </w:abstractNum>
  <w:abstractNum w:abstractNumId="10">
    <w:nsid w:val="628C895D"/>
    <w:multiLevelType w:val="hybridMultilevel"/>
    <w:lvl w:ilvl="0">
      <w:lvlJc w:val="left"/>
      <w:lvlText w:val="(%1)"/>
      <w:numFmt w:val="upperLetter"/>
      <w:start w:val="1"/>
    </w:lvl>
    <w:lvl w:ilvl="1">
      <w:lvlJc w:val="left"/>
      <w:lvlText w:val="(%2)"/>
      <w:numFmt w:val="lowerRoman"/>
      <w:start w:val="3"/>
    </w:lvl>
  </w:abstractNum>
  <w:abstractNum w:abstractNumId="11">
    <w:nsid w:val="333AB105"/>
    <w:multiLevelType w:val="hybridMultilevel"/>
    <w:lvl w:ilvl="0">
      <w:lvlJc w:val="left"/>
      <w:lvlText w:val="(%1)"/>
      <w:numFmt w:val="lowerLetter"/>
      <w:start w:val="5"/>
    </w:lvl>
  </w:abstractNum>
  <w:abstractNum w:abstractNumId="12">
    <w:nsid w:val="721DA317"/>
    <w:multiLevelType w:val="hybridMultilevel"/>
    <w:lvl w:ilvl="0">
      <w:lvlJc w:val="left"/>
      <w:lvlText w:val="(%1)"/>
      <w:numFmt w:val="lowerLetter"/>
      <w:start w:val="11"/>
    </w:lvl>
    <w:lvl w:ilvl="1">
      <w:lvlJc w:val="left"/>
      <w:lvlText w:val="(%2)"/>
      <w:numFmt w:val="lowerRoman"/>
      <w:start w:val="1"/>
    </w:lvl>
  </w:abstractNum>
  <w:abstractNum w:abstractNumId="13">
    <w:nsid w:val="2443A858"/>
    <w:multiLevelType w:val="hybridMultilevel"/>
    <w:lvl w:ilvl="0">
      <w:lvlJc w:val="left"/>
      <w:lvlText w:val="(%1)"/>
      <w:numFmt w:val="lowerLetter"/>
      <w:start w:val="25"/>
    </w:lvl>
  </w:abstractNum>
  <w:abstractNum w:abstractNumId="14">
    <w:nsid w:val="2D1D5AE9"/>
    <w:multiLevelType w:val="hybridMultilevel"/>
    <w:lvl w:ilvl="0">
      <w:lvlJc w:val="left"/>
      <w:lvlText w:val="(%1)"/>
      <w:numFmt w:val="lowerLetter"/>
      <w:start w:val="27"/>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1"/>
    </w:lvl>
    <w:lvl w:ilvl="1">
      <w:lvlJc w:val="left"/>
      <w:lvlText w:val="(%2)"/>
      <w:numFmt w:val="lowerLetter"/>
      <w:start w:val="9"/>
    </w:lvl>
  </w:abstractNum>
  <w:abstractNum w:abstractNumId="18">
    <w:nsid w:val="79838CB2"/>
    <w:multiLevelType w:val="hybridMultilevel"/>
    <w:lvl w:ilvl="0">
      <w:lvlJc w:val="left"/>
      <w:lvlText w:val="%1"/>
      <w:numFmt w:val="lowerLetter"/>
      <w:start w:val="1"/>
    </w:lvl>
    <w:lvl w:ilvl="1">
      <w:lvlJc w:val="left"/>
      <w:lvlText w:val="(%2)"/>
      <w:numFmt w:val="lowerRoman"/>
      <w:start w:val="2"/>
    </w:lvl>
  </w:abstractNum>
  <w:abstractNum w:abstractNumId="19">
    <w:nsid w:val="4353D0CD"/>
    <w:multiLevelType w:val="hybridMultilevel"/>
    <w:lvl w:ilvl="0">
      <w:lvlJc w:val="left"/>
      <w:lvlText w:val="(%1)"/>
      <w:numFmt w:val="lowerLetter"/>
      <w:start w:val="2"/>
    </w:lvl>
    <w:lvl w:ilvl="1">
      <w:lvlJc w:val="left"/>
      <w:lvlText w:val="%2"/>
      <w:numFmt w:val="lowerRoman"/>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3"/>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6"/>
    </w:lvl>
  </w:abstractNum>
  <w:abstractNum w:abstractNumId="25">
    <w:nsid w:val="836C40E"/>
    <w:multiLevelType w:val="hybridMultilevel"/>
    <w:lvl w:ilvl="0">
      <w:lvlJc w:val="left"/>
      <w:lvlText w:val="(%1)"/>
      <w:numFmt w:val="lowerLetter"/>
      <w:start w:val="4"/>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2019-12-29T03:25:44Z</dcterms:created>
  <dcterms:modified xsi:type="dcterms:W3CDTF">2019-12-29T03:25:44Z</dcterms:modified>
</cp:coreProperties>
</file>