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256"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48" w:lineRule="exact"/>
        <w:rPr>
          <w:rFonts w:ascii="MS PGothic" w:cs="MS PGothic" w:eastAsia="MS PGothic" w:hAnsi="MS PGothic"/>
          <w:sz w:val="18"/>
          <w:szCs w:val="18"/>
          <w:color w:val="auto"/>
        </w:rPr>
      </w:pPr>
    </w:p>
    <w:p>
      <w:pPr>
        <w:ind w:left="4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74-1884980</w:t>
            </w:r>
          </w:p>
        </w:tc>
      </w:tr>
      <w:tr>
        <w:trPr>
          <w:trHeight w:val="238"/>
        </w:trPr>
        <w:tc>
          <w:tcPr>
            <w:tcW w:w="57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37"/>
        </w:trPr>
        <w:tc>
          <w:tcPr>
            <w:tcW w:w="57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55 Waugh Drive, Suite 1000</w:t>
            </w:r>
          </w:p>
        </w:tc>
        <w:tc>
          <w:tcPr>
            <w:tcW w:w="3720" w:type="dxa"/>
            <w:vAlign w:val="bottom"/>
          </w:tcPr>
          <w:p>
            <w:pPr>
              <w:spacing w:after="0"/>
              <w:rPr>
                <w:sz w:val="24"/>
                <w:szCs w:val="24"/>
                <w:color w:val="auto"/>
              </w:rPr>
            </w:pPr>
          </w:p>
        </w:tc>
      </w:tr>
      <w:tr>
        <w:trPr>
          <w:trHeight w:val="216"/>
        </w:trPr>
        <w:tc>
          <w:tcPr>
            <w:tcW w:w="57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Houston, TX</w:t>
            </w:r>
          </w:p>
        </w:tc>
        <w:tc>
          <w:tcPr>
            <w:tcW w:w="372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77007</w:t>
            </w:r>
          </w:p>
        </w:tc>
      </w:tr>
      <w:tr>
        <w:trPr>
          <w:trHeight w:val="238"/>
        </w:trPr>
        <w:tc>
          <w:tcPr>
            <w:tcW w:w="57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2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435-1000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spacing w:after="0"/>
              <w:rPr>
                <w:sz w:val="18"/>
                <w:szCs w:val="18"/>
                <w:color w:val="auto"/>
              </w:rPr>
            </w:pPr>
          </w:p>
        </w:tc>
        <w:tc>
          <w:tcPr>
            <w:tcW w:w="3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$.10 par value per share, on August 4, 2017 was 54,005,000.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KIRBY CORPORATION AND CONSOLIDATED SUBSIDIARIES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 – less allowance for doubtful accounts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94,994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38,951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4,328,897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2,889,007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2,921,374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4,225,356</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4,289,895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vMerge w:val="restart"/>
          </w:tcPr>
          <w:p>
            <w:pPr>
              <w:jc w:val="center"/>
              <w:ind w:left="273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KIRBY CORPORATION AND CONSOLIDATED SUBSIDIARIES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28,337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 less current portion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72,618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1,405,974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$.10 par value per share. Authorized 120,000,000 shares, issued 59,776,000 shares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2,387,011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2,342,236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Treasury stock – at cost, 5,770,000 shares at June 30, 2017 and 5,921,000 at December 31, 2016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(312,771)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2,473,894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2,477,388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4,225,356</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4,289,895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tcBorders>
              <w:top w:val="single" w:sz="8" w:color="CCEEFF"/>
            </w:tcBorders>
          </w:tcPr>
          <w:p>
            <w:pPr>
              <w:jc w:val="center"/>
              <w:ind w:left="273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00" w:type="dxa"/>
            <w:vAlign w:val="bottom"/>
            <w:gridSpan w:val="11"/>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KIRBY CORPORATION AND CONSOLIDATED SUBSIDIARIES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7740" w:type="dxa"/>
            <w:vAlign w:val="bottom"/>
            <w:gridSpan w:val="9"/>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CONDENSED STATEMENTS OF EARNINGS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30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thousands, except per share amounts)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04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128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378,303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674,917</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Diesel engine services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63,279</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290,116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473,328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441,582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965,033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276,897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669,836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42,842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92,649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5,468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12,993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96,463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425,847</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374,774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871,981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66,808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(4,513)</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62,474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84,013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(23,365)</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(30,396)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39,109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28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25,778</w:t>
            </w: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53,261</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gridSpan w:val="3"/>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0.99</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4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10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9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25,972</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39,109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53,617</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(3,149)</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35,960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68,503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income attributable to Kirby</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39,918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35,793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68,147</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4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53,617</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96,463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18,651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unearned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cash flows resulting from changes in operating assets and liabilities, net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193,795</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211,617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of businesses and marine equipment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(228,892)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 (payments) on bank credit facilities, net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noncontrolling interests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paid</w:t>
            </w:r>
          </w:p>
        </w:tc>
        <w:tc>
          <w:tcPr>
            <w:tcW w:w="4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40" w:type="dxa"/>
            <w:vAlign w:val="bottom"/>
          </w:tcPr>
          <w:p>
            <w:pPr>
              <w:spacing w:after="0"/>
              <w:rPr>
                <w:sz w:val="18"/>
                <w:szCs w:val="18"/>
                <w:color w:val="auto"/>
              </w:rPr>
            </w:pP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paid</w:t>
            </w:r>
          </w:p>
        </w:tc>
        <w:tc>
          <w:tcPr>
            <w:tcW w:w="4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16,274</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4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40" w:type="dxa"/>
            <w:vAlign w:val="bottom"/>
          </w:tcPr>
          <w:p>
            <w:pPr>
              <w:spacing w:after="0"/>
              <w:rPr>
                <w:sz w:val="18"/>
                <w:szCs w:val="18"/>
                <w:color w:val="auto"/>
              </w:rPr>
            </w:pP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Fair value of property transferred in acquisition</w:t>
            </w:r>
          </w:p>
        </w:tc>
        <w:tc>
          <w:tcPr>
            <w:tcW w:w="4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PREPARATION OF THE CONDENSED FINANCIAL STATEMENTS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condensed financial statements included herein have been prepared by Kirby Corporation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2016.</w:t>
      </w:r>
    </w:p>
    <w:p>
      <w:pPr>
        <w:spacing w:after="0" w:line="207"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STANDARDS ADOPTIONS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2017, the Financial Accounting Standards Board (“FASB”) issued Accounting Standards Update (“ASU”) 2017-07, “Compensation – Retirement Benefits (Topic 715): Improving the Presentation of Net Periodic Pension Cost and Net Periodic Postretirement Benefit Cost” (“ASU 2017-07”) which requires employers to include only the service cost component of net periodic pension cost and net periodic postretirement benefit cost in operating expenses. The other components of net benefit cost are required to be presented in the income statement separately from the service cost component and outside a subtotal of income from operations. The standard allows only the service cost component to be eligible for capitalization when applicable. ASU 2017-07 is effective for annual and interim periods beginning after December 15, 2017 with early adoption permitted. This standard shall be applied retrospectively for the presentation of the service cost component and the other components of net periodic pension cost and net periodic postretirement benefit cost in the income statement and prospectively for the capitalization of the service cost benefit in assets. The Company is currently evaluating the impact that the adoption of this standard will have on its consolidated financial statements.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(“ASU 2016-15”) to create consistency in practice in how certain cash receipts and cash payments are presented and classified in the statement of cash flows. ASU 2016-15 is effective for annual and interim periods beginning after December 15, 2017. Early adoption is permitted. The Company is currently evaluating the impact that the adoption of this standard will have on its consolidated financial statements.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(“ASU 2016-09”) which simplifies several aspects of the accounting for share-based payment transactions, including income tax consequences, forfeitures, minimum statutory tax withholding requirements, classification as either equity or liabilities, and classification on the statement of cash flows. The Company adopted the provisions of ASU 2016-09 on January 1, 2017. ASU 2016-09 requires all excess tax benefits and tax deficiencies be recognized as income tax expense or benefit in the income statement, thus eliminating additional paid-in capital pools. The Company recognized a cumulative effect adjustment of $8,486,000 to retained earnings on a modified retrospective basis as of January 1, 2017 and will apply the new standard guidance prospectively to all excess tax benefits and tax deficiencies resulting from settlements after January 1, 2017. The standard also requires a policy election to either estimate the number of awards that are expected to vest or account for forfeitures when they occur. The Company will elect to account for forfeitures when they occur. Also, the standard requires that excess tax benefits should be classified along with other income tax cash flows as an operating activity on the statement of cash flows, which differs from the Company’s historical classification of excess tax benefits as cash inflows from financing activities. The Company elected to apply this provision using the prospective transition method. Additionally, the standard requires cash paid by an employer when directly withholding shares for tax withholding purposes to be classified in the statement of cash flows as a financing activity, which differs from the Company’s previous method of classification of such cash payments as an operating activity. The Company applied this provision retrospectively and, for the six months ended June 30, 2016, reclassified $1,750,000, which increased net cash provided by operating activities and net cash used in financing activities.</w:t>
      </w:r>
    </w:p>
    <w:p>
      <w:pPr>
        <w:spacing w:after="0" w:line="2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ASU 2016-02 is effective for annual and interim periods beginning after December 15, 2018, with early adoption permitted. A modified retrospective approach is required. The Company has formed a project team to evaluate the impact that the adoption of this standard will have on its consolidated financial statements and disclosures. The project team has completed training on the new standard and has started lease review and documentation, but the Company has not yet determined the effect of ASU 2016-02 on its ongoing financial reporting.</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2015, the FASB issued ASU 2015-17, “Balance Sheet Classification of Deferred Taxes” (“ASU 2015-17”) which requires that deferred tax liabilities and assets be classified as noncurrent on the balance sheet. The current requirement that deferred tax liabilities and assets of a tax-paying component of an entity be offset and presented as a single amount is not affected by this guidance. The guidance may be applied either prospectively to all deferred tax liabilities and assets or retrospectively to all periods presented. The Company adopted the provisions of ASU 2015-17 on January 1, 2017 on a retrospective basis. The December 31, 2016 current deferred tax assets of $13,604,000 have been reclassified in the consolidated balance sheet from current deferred income taxes asset to noncurrent deferred income taxes liability.</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2015, the FASB issued ASU 2015-11, “Inventory (Topic 330): Simplifying the Measurement of Inventory” (“ASU 2015-11”) which applies to inventory that is measured using first-in, first-out (“FIFO”) or average cost. Under the guidance, an entity should measure inventory that is within the scope of this update at the lower of cost and net realizable value. Net realizable value is the estimated selling prices in the ordinary course of business, less reasonably predictable costs of completion, disposal and transportation. ASU 2015-11 is effective for annual and interim periods beginning after December 15, 2016, and should be applied prospectively with early adoption permitted at the beginning of an interim period or annual reporting period. The Company adopted the provisions of ASU 2015-11 on January 1, 2017 and, based on a lower of cost and net realizable value inventory analysis as of December 31, 2016, no adjustments to inventory value were required. The analysis reflected the inventory values are proper within the guidance of ASU 2015-11.</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(“ASU 2014-09”). ASU 2014-09 requires an entity to recognize the amount of revenue to which it expects to be entitled for the transfer of promised goods or services to customers. ASU 2014-09 will replace most existing revenue recognition guidance in United States Generally Accepted Accounting Principles when it becomes effective. In July 2015, the FASB voted to delay the effective date of ASU 2014-09 by one year, making it effective for fiscal years, and interim periods within those years, beginning after December 15, 2017, with early adoption permitted as of the original effective date. ASU 2014-09 permits the use of either the retrospective, modified retrospective or prospective with a cumulative catch-up approach. The Company has formed a project team to evaluate the standard and determine the effect that ASU 2014-09 will have on its consolidated financial statements and related disclosures. The project team has completed training on the new standard and has started contract review and documentation. The Company has not yet selected a transition method nor has it determined the effect of ASU 2014-09 on its ongoing financial reporting.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10, 2017, the Company completed the purchase of certain inland marine assets from an undisclosed competitor for $68,000,000 in cash. The assets purchased consisted of nine specialty pressure tank barges, four 30,000 barrel tank barges and three 1320 horsepower inland towboats. The average age of the 13 inland tank barges was five years. The 13 tank barges transport petrochemicals and refined petroleum products on the Mississippi River System and the Gulf Intracoastal Waterway. The Company has not completed the final purchase price allocation at this time.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13, 2017, the Company signed an agreement to acquire substantially all of the assets and businesses of Stewart &amp; Stevenson LLC (“S&amp;S”), a global manufacturer and distributor of products and services for the oil and gas, marine, construction, power generation, transportation, mining and agricultural industries. Founded in 1902, S&amp;S serves domestic and global markets with equipment, rental solutions, parts and service through a strategic network of sales and service centers in domestic and international locations. The purchase price is approximately $710,000,000 (before post-closing adjustments and transaction fees) and will be funded through the Company’s revolving credit facility and Company common stock valued at approximately $355,000,000. S&amp;S, headquartered in Houston, Texas with 42 branches across 12 states, is a distributor in certain geographic areas for Allison Transmission, MTU, Detroit Diesel, Electro-Motive Diesel, Deutz and several other manufacturers. On June 26, 2017, the Federal Trade Commission granted the Company early termination of the Hart-Scott-Rodino waiting period for the acquisition of S&amp;S. The closing of the transaction is subject to certain conditions, including obtaining a number of consents from third parties.</w:t>
      </w:r>
    </w:p>
    <w:p>
      <w:pPr>
        <w:spacing w:after="0" w:line="212"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as of June 30, 2017 and December 31, 2016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167,638</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180,841</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total debt outstanding at June 30, 2017 and December 31, 2016 was $587,607,000 and $715,330,000, respectively, which differs from the carrying amounts of $591,535,000 and $722,802,000, respectively, included in the consolidated financial statements. The fair value was determined using an income approach that relies on inputs such as yield curves. Cash and cash equivalents, accounts receivable, accounts payable and accrued liabilities have carrying values that approximate fair value due to the short-term maturity of these financial instruments.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assets are measured at fair value on a nonrecurring basis. These assets are adjusted to fair value when there is evidence of impairment. During the six months ended June 30, 2017, there was no indication that the Company’s long-lived assets were impaired, and accordingly, measurement at fair value was not required.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26, 2017, the Company entered into an amendment of its existing unsecured revolving credit facility (“Revolving Credit Facility”) with a group of commercial banks that increases the borrowing limit from $550,000,000 to $850,000,000 and extends the maturity date to June 26, 2022. The Revolving Credit Facility provides for a variable interest rate based on the London Interbank Offered Rate (“LIBOR”) or an alternate base rate calculated with reference to the agent bank’s prime rate, among other factors (“Alternate Base Rate”). The interest rate spread varies with the Company’s senior debt rating and is currently 1.00% over LIBOR or equal to the Alternate Base Rate. In addition, the Revolving Credit Facility allows for a $300,000,000 increase in the aggregate commitments of the banks in the form of revolving credit loans or term loans, subject to the consent of each bank that elects to participate in the increased commitment. Borrowings under the Revolving Credit Facility may be used for general corporate purposes, the purchase of existing or new equipment, the purchase of the Company’s common stock, or for business acquisitions. The Company recognized additional interest expense of $187,000 in the 2017 second quarter due to the write-off of certain deferred issue costs in connection with the amendment of the Revolving Credit Facility.</w:t>
      </w:r>
    </w:p>
    <w:p>
      <w:pPr>
        <w:spacing w:after="0" w:line="212"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 PLANS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share-based compensation plans which are described below. The compensation cost that has been charged against earnings for the Company’s stock award plans and the income tax benefit recognized in the statement of earnings for stock awards for the three months and six months ended June 30, 2017 and 2016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1,271</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2,079</w:t>
            </w: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an employee stock award plan for selected officers and other key employees which provides for the issuance of stock options, restricted stock and performance awards. 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June 30, 2017, 1,741,076 shares were available for future grants under the employee plan and no outstanding stock options under the employee plan were issued with stock appreciation rights.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employee plan described above for the six months ended June 30,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38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121,908</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8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June 30, 2017</w:t>
            </w:r>
          </w:p>
        </w:tc>
        <w:tc>
          <w:tcPr>
            <w:tcW w:w="386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706,119</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2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60" w:type="dxa"/>
            <w:vAlign w:val="bottom"/>
            <w:vMerge w:val="restart"/>
          </w:tcPr>
          <w:p>
            <w:pPr>
              <w:jc w:val="right"/>
              <w:ind w:right="2419"/>
              <w:spacing w:after="0"/>
              <w:rPr>
                <w:sz w:val="20"/>
                <w:szCs w:val="20"/>
                <w:color w:val="auto"/>
              </w:rPr>
            </w:pPr>
            <w:r>
              <w:rPr>
                <w:rFonts w:ascii="Times New Roman" w:cs="Times New Roman" w:eastAsia="Times New Roman" w:hAnsi="Times New Roman"/>
                <w:sz w:val="14"/>
                <w:szCs w:val="14"/>
                <w:color w:val="auto"/>
              </w:rPr>
              <w:t>9</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employee plan at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Life in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Exercise Prices</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$ 46.74</w:t>
            </w:r>
          </w:p>
        </w:tc>
        <w:tc>
          <w:tcPr>
            <w:tcW w:w="1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$51.23</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212,335</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108,531</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6"/>
              </w:rPr>
              <w:t>$ 64.89</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$74.99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424,643</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$ 93.64</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$96.85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$ 101.46 - $104.37</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35,154</w:t>
            </w:r>
          </w:p>
        </w:tc>
        <w:tc>
          <w:tcPr>
            <w:tcW w:w="2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102.60</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$ 46.74</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$104.37</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706,119</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3,711,000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414,694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2,029,000</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restricted stock award activity under the employee plan described above for the six months ended June 30, 2017:</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(105,272)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June 30, 2017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396,911</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June 30, 2017, 510,071 shares were available for future grants under the director plan. The director stock award plan is intended as an incentive to attract and retain qualified independent directors.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director plan described above for the six months ended June 30,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47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70.65</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46.23</w:t>
            </w: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87.35</w:t>
            </w: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2017</w:t>
            </w:r>
          </w:p>
        </w:tc>
        <w:tc>
          <w:tcPr>
            <w:tcW w:w="4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157,617</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67.54</w:t>
            </w:r>
          </w:p>
        </w:tc>
      </w:tr>
      <w:tr>
        <w:trPr>
          <w:trHeight w:val="5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40" w:type="dxa"/>
            <w:vAlign w:val="bottom"/>
          </w:tcPr>
          <w:p>
            <w:pPr>
              <w:jc w:val="right"/>
              <w:ind w:right="2954"/>
              <w:spacing w:after="0"/>
              <w:rPr>
                <w:sz w:val="20"/>
                <w:szCs w:val="20"/>
                <w:color w:val="auto"/>
              </w:rPr>
            </w:pPr>
            <w:r>
              <w:rPr>
                <w:rFonts w:ascii="Times New Roman" w:cs="Times New Roman" w:eastAsia="Times New Roman" w:hAnsi="Times New Roman"/>
                <w:sz w:val="14"/>
                <w:szCs w:val="14"/>
                <w:color w:val="auto"/>
              </w:rPr>
              <w:t>10</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director plan at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20" w:type="dxa"/>
            <w:vAlign w:val="bottom"/>
          </w:tcPr>
          <w:p>
            <w:pPr>
              <w:spacing w:after="0"/>
              <w:rPr>
                <w:sz w:val="18"/>
                <w:szCs w:val="18"/>
                <w:color w:val="auto"/>
              </w:rPr>
            </w:pP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Life 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20" w:type="dxa"/>
            <w:vAlign w:val="bottom"/>
          </w:tcPr>
          <w:p>
            <w:pPr>
              <w:spacing w:after="0"/>
              <w:rPr>
                <w:sz w:val="21"/>
                <w:szCs w:val="21"/>
                <w:color w:val="auto"/>
              </w:rPr>
            </w:pP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Exercise Prices</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 w:type="dxa"/>
            <w:vAlign w:val="bottom"/>
          </w:tcPr>
          <w:p>
            <w:pPr>
              <w:spacing w:after="0"/>
              <w:rPr>
                <w:sz w:val="21"/>
                <w:szCs w:val="21"/>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$ 29.60</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$ 41.24 – $56.45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52.77</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$ 61.89 – $62.48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35,153</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$ 70.65 – $99.52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86.50</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60,797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$ 29.60 – $99.52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157,617</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1,133,000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155,226</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1,133,000</w:t>
            </w:r>
          </w:p>
        </w:tc>
        <w:tc>
          <w:tcPr>
            <w:tcW w:w="20" w:type="dxa"/>
            <w:vAlign w:val="bottom"/>
          </w:tcPr>
          <w:p>
            <w:pPr>
              <w:spacing w:after="0"/>
              <w:rPr>
                <w:sz w:val="22"/>
                <w:szCs w:val="22"/>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restricted stock award activity under the director plan described above for the six months ended June 30, 2017:</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balance at June 30, 2017</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all stock options exercised under all of the Company’s plans was $1,530,000 and $266,000 for the six months ended June 30, 2017 and 2016, respectively. The actual tax benefit realized for tax deductions from stock option exercises was $555,000 and $100,000 for the six months ended June 30, 2017 and 2016, respectively.</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all the restricted stock vestings under all of the Company’s plans was $7,015,000 and $5,556,000 for the six months ended June 30, 2017 and 2016, respectively. The actual tax benefit realized for tax deductions from restricted stock vestings was $2,546,000 and $2,083,000 for the six months ended June 30, 2017 and 2016, respectively.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2017, there was $4,631,000 of unrecognized compensation cost related to nonvested stock options and $23,554,000 related to restricted stock. The stock options are expected to be recognized over a weighted average period of approximately 1.8 years and restricted stock over approximately 3.5 years. The total fair value of options vested was $2,492,000 and $2,495,000 during the six months ended June 30, 2017 and 2016, respectively. The fair value of the restricted stock vested was $7,015,000 and $5,556,000 for the six months ended June 30, 2017 and 2016, respectively.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weighted average per share fair value of stock options granted during the six months ended June 30, 2017 and 2016 was $20.73 and $17.30, respectively. The fair value of the stock options granted during the six months ended June 30, 2017 and 2016 was $2,594,000 and $3,231,000, respectively. The Company currently uses treasury stock shares for restricted stock grants and stock option exercises. The fair value of each stock option was determined using the Black-Scholes option pricing model. The key input variables used in valuing the options during the six months ended June 30, 2017 and 2016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7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872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87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9"/>
                <w:szCs w:val="19"/>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Stock price volatility</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option term</w:t>
            </w:r>
          </w:p>
        </w:tc>
        <w:tc>
          <w:tcPr>
            <w:tcW w:w="16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Six years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Six years</w:t>
            </w:r>
          </w:p>
        </w:tc>
      </w:tr>
    </w:tbl>
    <w:p>
      <w:pPr>
        <w:spacing w:after="0" w:line="221"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changes in other comprehensive income for the three months and six months ended June 30, 2017 and 2016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43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Actuarial gains (losses)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(8,435)</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(6,435)</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(3,970)</w:t>
            </w: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70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43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1,470</w:t>
            </w: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Actuarial gains (losses)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(8,435)</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(6,435)</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(3,970)</w:t>
            </w: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980" w:hanging="279"/>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gains/(losses) are amortized into costs of sales and operating expenses or selling, general and administrative expenses as appropriate. (See Note 12 – Retirement Plans)</w:t>
      </w:r>
    </w:p>
    <w:p>
      <w:pPr>
        <w:spacing w:after="0" w:line="18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25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w:t>
      </w:r>
      <w:r>
        <w:rPr>
          <w:rFonts w:ascii="Times New Roman" w:cs="Times New Roman" w:eastAsia="Times New Roman" w:hAnsi="Times New Roman"/>
          <w:sz w:val="18"/>
          <w:szCs w:val="18"/>
          <w:color w:val="auto"/>
        </w:rPr>
        <w:t>— Provides marine transportation principally by United States flag vessels of liquid cargoes throughout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inland 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Diesel Engine Services </w:t>
      </w:r>
      <w:r>
        <w:rPr>
          <w:rFonts w:ascii="Times New Roman" w:cs="Times New Roman" w:eastAsia="Times New Roman" w:hAnsi="Times New Roman"/>
          <w:sz w:val="18"/>
          <w:szCs w:val="18"/>
          <w:color w:val="auto"/>
        </w:rPr>
        <w:t>— Provides after-market services for medium-speed and high-speed diesel engines, reduction gears and ancillary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marine and power generation applications, distributes and services high-speed diesel engines, transmissions and pumps, and manufactures and remanufactures oilfield service equipment, including pressure pumping units, for the land-based oilfield service and oil and gas operator and producer markets.</w:t>
      </w:r>
    </w:p>
    <w:p>
      <w:pPr>
        <w:sectPr>
          <w:pgSz w:w="11900" w:h="16838" w:orient="portrait"/>
          <w:cols w:equalWidth="0" w:num="1">
            <w:col w:w="11420"/>
          </w:cols>
          <w:pgMar w:left="240" w:top="121"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based on fundamental differences in their operations.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diesel engine services segment from the marine transportation segment of $4,945,000 and $10,375,000 for the three months and six months ending June 30, 2017, respectively, and $6,167,000 and $10,551,000 for the three months and six months ending June 30, 2016, respectively, have been eliminated from the tables below. The related intersegment profit of $494,000 and $1,037,000 for the three months and six months ending June 30, 2017, respectively, and $617,000 and $1,055,000 for the three months and six months ending June 30, 2016, respectively, have also been eliminated from the tables below.</w:t>
      </w:r>
    </w:p>
    <w:p>
      <w:pPr>
        <w:spacing w:after="0" w:line="21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revenues and profit or loss by reportable segment for the three months and six months ended June 30, 2017 and 2016 and total assets as of June 30, 2017 and December 31,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331,265</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378,303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674,917</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756,646</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Diesel engine services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63,279</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290,116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143,669</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473,328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441,582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965,033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900,315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Segment profit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72,726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71,020</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142,521</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Diesel engine services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(15,930)</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43,015</w:t>
            </w:r>
          </w:p>
        </w:tc>
        <w:tc>
          <w:tcPr>
            <w:tcW w:w="140" w:type="dxa"/>
            <w:vAlign w:val="bottom"/>
          </w:tcPr>
          <w:p>
            <w:pPr>
              <w:spacing w:after="0"/>
              <w:rPr>
                <w:sz w:val="18"/>
                <w:szCs w:val="18"/>
                <w:color w:val="auto"/>
              </w:rPr>
            </w:pP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62,474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84,013</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123,817</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Marine transportation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3,539,345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3,613,951</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Diesel engine services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623,268</w:t>
            </w:r>
          </w:p>
        </w:tc>
      </w:tr>
      <w:tr>
        <w:trPr>
          <w:trHeight w:val="216"/>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52,676</w:t>
            </w:r>
          </w:p>
        </w:tc>
      </w:tr>
      <w:tr>
        <w:trPr>
          <w:trHeight w:val="27"/>
        </w:trPr>
        <w:tc>
          <w:tcPr>
            <w:tcW w:w="88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4,225,356</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4,289,895</w:t>
            </w:r>
          </w:p>
        </w:tc>
      </w:tr>
      <w:tr>
        <w:trPr>
          <w:trHeight w:val="21"/>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“Other” segment loss for the three months and six months ended June 30, 2017 and 2016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2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(4,501)</w:t>
            </w: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(8,017)</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as of June 30, 2017 and December 31, 2016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2,622</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TAXES ON INCOME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Earnings before taxes on income and details of the provision for taxes on income for the three months and six months ended June 30, 2017 and 2016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taxes on income – United States</w:t>
            </w:r>
          </w:p>
        </w:tc>
        <w:tc>
          <w:tcPr>
            <w:tcW w:w="15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43,015</w:t>
            </w: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84,013</w:t>
            </w:r>
          </w:p>
        </w:tc>
        <w:tc>
          <w:tcPr>
            <w:tcW w:w="4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w:t>
            </w:r>
          </w:p>
        </w:tc>
        <w:tc>
          <w:tcPr>
            <w:tcW w:w="15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20" w:type="dxa"/>
            <w:vAlign w:val="bottom"/>
          </w:tcPr>
          <w:p>
            <w:pPr>
              <w:spacing w:after="0"/>
              <w:rPr>
                <w:sz w:val="18"/>
                <w:szCs w:val="18"/>
                <w:color w:val="auto"/>
              </w:rPr>
            </w:pP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9,988</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14,969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and local</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 2016-09 requires that excess tax benefits and tax deficiencies related to share-based compensation be recognized as income tax expense or benefit in the income statement as discrete items in the reporting period in which they occur. This requirement was applied on a prospective basis to the tax effects of exercised or vested stock awards during the three months and six months ending June 30, 2017. This resulted in an increase in the provision for taxes on income of $852,000 for the three months ended June 30, 2017 and a decrease of $1,238,000 for the six months ended June 30, 2017.</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per share for the three months and six months ended June 30, 2017 and 2016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53,261</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available to Kirby common stockholders - basic</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available to Kirby common stockholders - diluted</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25,582</w:t>
            </w:r>
          </w:p>
        </w:tc>
        <w:tc>
          <w:tcPr>
            <w:tcW w:w="120" w:type="dxa"/>
            <w:vAlign w:val="bottom"/>
          </w:tcPr>
          <w:p>
            <w:pPr>
              <w:spacing w:after="0"/>
              <w:rPr>
                <w:sz w:val="18"/>
                <w:szCs w:val="18"/>
                <w:color w:val="auto"/>
              </w:rPr>
            </w:pP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52,875</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76,517</w:t>
            </w:r>
          </w:p>
        </w:tc>
        <w:tc>
          <w:tcPr>
            <w:tcW w:w="0" w:type="dxa"/>
            <w:vAlign w:val="bottom"/>
          </w:tcPr>
          <w:p>
            <w:pPr>
              <w:spacing w:after="0"/>
              <w:rPr>
                <w:sz w:val="1"/>
                <w:szCs w:val="1"/>
                <w:color w:val="auto"/>
              </w:rPr>
            </w:pPr>
          </w:p>
        </w:tc>
      </w:tr>
      <w:tr>
        <w:trPr>
          <w:trHeight w:val="21"/>
        </w:trPr>
        <w:tc>
          <w:tcPr>
            <w:tcW w:w="61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53,844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18"/>
                <w:szCs w:val="18"/>
                <w:color w:val="auto"/>
              </w:rPr>
            </w:pP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0.99</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outstanding options to purchase approximately 478,000 and 243,000 shares of common stock were excluded in the computation of diluted earnings per share as of June 30, 2017 and 2016, respectively, as such stock options would have been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its pension plan during 2017.</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for the three months and six months ended June 30, 2017 and 2016 were as follows (in thousands):</w:t>
      </w:r>
    </w:p>
    <w:p>
      <w:pPr>
        <w:spacing w:after="0" w:line="18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33274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840"/>
        <w:spacing w:after="0"/>
        <w:tabs>
          <w:tab w:leader="none" w:pos="9820" w:val="left"/>
        </w:tabs>
        <w:rPr>
          <w:sz w:val="20"/>
          <w:szCs w:val="20"/>
          <w:color w:val="auto"/>
        </w:rPr>
      </w:pPr>
      <w:r>
        <w:rPr>
          <w:rFonts w:ascii="Times New Roman" w:cs="Times New Roman" w:eastAsia="Times New Roman" w:hAnsi="Times New Roman"/>
          <w:sz w:val="18"/>
          <w:szCs w:val="18"/>
          <w:b w:val="1"/>
          <w:bCs w:val="1"/>
          <w:color w:val="auto"/>
        </w:rPr>
        <w:t>Pension Plan</w:t>
      </w:r>
      <w:r>
        <w:rPr>
          <w:sz w:val="20"/>
          <w:szCs w:val="20"/>
          <w:color w:val="auto"/>
        </w:rPr>
        <w:tab/>
      </w:r>
      <w:r>
        <w:rPr>
          <w:rFonts w:ascii="Times New Roman" w:cs="Times New Roman" w:eastAsia="Times New Roman" w:hAnsi="Times New Roman"/>
          <w:sz w:val="17"/>
          <w:szCs w:val="17"/>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33274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6"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sectPr>
          <w:pgSz w:w="11900" w:h="16838" w:orient="portrait"/>
          <w:cols w:equalWidth="0" w:num="2">
            <w:col w:w="8560" w:space="720"/>
            <w:col w:w="21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1,525</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SERP</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7,063</w:t>
            </w:r>
          </w:p>
        </w:tc>
        <w:tc>
          <w:tcPr>
            <w:tcW w:w="2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(8,404)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2,743</w:t>
            </w:r>
          </w:p>
        </w:tc>
        <w:tc>
          <w:tcPr>
            <w:tcW w:w="24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2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43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46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Company’s postretirement benefit plan for the three months and six months ended June 30, 2017 and 2016 were as follows (in thousands):</w:t>
      </w:r>
    </w:p>
    <w:p>
      <w:pPr>
        <w:sectPr>
          <w:pgSz w:w="11900" w:h="16838" w:orient="portrait"/>
          <w:cols w:equalWidth="0" w:num="1">
            <w:col w:w="11420"/>
          </w:cols>
          <w:pgMar w:left="240" w:top="121" w:right="239" w:bottom="1440" w:gutter="0" w:footer="0" w:header="0"/>
          <w:type w:val="continuous"/>
        </w:sectPr>
      </w:pPr>
    </w:p>
    <w:p>
      <w:pPr>
        <w:spacing w:after="0" w:line="158"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Other Postretirement</w:t>
      </w:r>
    </w:p>
    <w:p>
      <w:pPr>
        <w:spacing w:after="0" w:line="3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ind w:left="6240"/>
        <w:spacing w:after="0"/>
        <w:rPr>
          <w:sz w:val="20"/>
          <w:szCs w:val="20"/>
          <w:color w:val="auto"/>
        </w:rPr>
      </w:pPr>
      <w:r>
        <w:rPr>
          <w:rFonts w:ascii="Times New Roman" w:cs="Times New Roman" w:eastAsia="Times New Roman" w:hAnsi="Times New Roman"/>
          <w:sz w:val="17"/>
          <w:szCs w:val="17"/>
          <w:b w:val="1"/>
          <w:bCs w:val="1"/>
          <w:color w:val="auto"/>
        </w:rPr>
        <w:t>Postretirement Welfare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16122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ind w:left="6480"/>
        <w:spacing w:after="0"/>
        <w:tabs>
          <w:tab w:leader="none" w:pos="784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Other Postretirement</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5715</wp:posOffset>
            </wp:positionV>
            <wp:extent cx="15779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Postretirement Welfare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27305</wp:posOffset>
            </wp:positionV>
            <wp:extent cx="15779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June 30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5715</wp:posOffset>
            </wp:positionV>
            <wp:extent cx="15779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ind w:left="24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31" w:lineRule="exact"/>
        <w:rPr>
          <w:sz w:val="20"/>
          <w:szCs w:val="20"/>
          <w:color w:val="auto"/>
        </w:rPr>
      </w:pPr>
    </w:p>
    <w:p>
      <w:pPr>
        <w:sectPr>
          <w:pgSz w:w="11900" w:h="16838" w:orient="portrait"/>
          <w:cols w:equalWidth="0" w:num="2">
            <w:col w:w="8440" w:space="540"/>
            <w:col w:w="24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r>
      <w:tr>
        <w:trPr>
          <w:trHeight w:val="27"/>
        </w:trPr>
        <w:tc>
          <w:tcPr>
            <w:tcW w:w="60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r>
      <w:tr>
        <w:trPr>
          <w:trHeight w:val="21"/>
        </w:trPr>
        <w:tc>
          <w:tcPr>
            <w:tcW w:w="6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articulated tank barge and tugboat unit (“ATB”), ran aground at the entrance to Seaforth Channel on Atholone Island, British Columbia. The grounding resulted in a breach of a portion of the Nathan E. Stewart’s fuel tanks causing a discharge of diesel fuel into the water. The United States Coast Guard (“USCG”) and the National Transportation Safety Board (“NTSB”) designated the Company as a party of interest in their investigation as to the cause of the incident. The Canadian authorities including Transport Canada and the Canadian Transportation Safety Board are also investigating the cause of the incident. The Company is subject to claims from third parties as well as the provincial and federal government as a result of the incident.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USCG and the NTSB named the Company and the Captain of the M/V Miss Susan, as well as the owner and the pilot of the M/S Summer Wind, as parties of interest in their investigation as to the cause of the incident. Sea Galaxy Ltd is the owner of the M/S Summer Wind. The Company is participating in the natural resource damage assessment and restoration process with federal and state government natural resource trustees.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also involved in various legal and other proceedings which are incidental to the conduct of its business, none of which in the opinion of management will have a material effect on the Company’s business or financial condition. Management believes that it has recorded adequate reserves and believes that it has adequate insurance coverage or has meritorious defenses for these other claims and contingencies.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$13,669,000 at June 30, 2017, including $4,110,000 in letters of credit and $9,559,000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continues to be subject to the risk factors previously disclosed in its “Risk Factors” in the Company’s Annual Report on Form 10-K for the year ended December 31, 2016.</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Statements contained in this Form 10-Q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tornadoes,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10-K for the year ended December 31, 2016. Forward-looking statements are based on currently available information and the Company assumes no obligation to update any such statements.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Management’s Discussion, all net earnings per share attributable to Kirby common stockholders are “diluted earnings per share.” The weighted average number of common shares applicable to diluted earnings per share for the three months and six months ended June 30, 2017 and 2016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stock - diluted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53,645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53,526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53,627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53,505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weighted average number of common shares for the 2017 second quarter and first six months compared with the 2016 second quarter and first six months primarily reflected the issuance of restricted stock and the exercise of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June 30, 2017, the Company operated a fleet of 849 inland tank barges with 17.4 million barrels of capacity, and operated an average of 220 inland towboats during the 2017 second quarter. The Company’s coastal fleet consisted of 67 tank barges with 6.1 million barrels of capacity and 69 coastal tugboats. The Company also owns and operates five offshore dry-bulk cargo barges and five offshore tugboats and one docking tugboat transporting dry-bulk commodities in United States coastal trade. Through its diesel engine services segment, the Company provides after-market services for medium-speed and high-speed diesel engines, reduction gears and ancillary products for marine and power generation applications, distributes and services high-speed diesel engines, transmissions and pumps, and manufactures and remanufactures oilfield service equipment, including pressure pumping units, for the land-based oilfield service and oil and gas operator and producer markets.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2017 second quarter, net earnings attributable to Kirby were $25,778,000, or $0.48 per share, on revenues of $473,328,000, compared with 2016 second quarter net earnings attributable to Kirby of $38,942,000, or $0.72 per share, on revenues of $441,582,000. For the 2017 first six months, net earnings attributable to Kirby were $53,261,000, or $0.99 per share, on revenues of $965,033,000, compared with 2016 first six months net earnings attributable to Kirby of $77,041,000, or $1.43 per share, on revenues of $900,315,000. The 2017 second quarter and first six months results include pre-tax expenses of $707,000, or $.01 per share, related to the pending acquisition of S&amp;S. The 2016 first six months results included $5,605,000 before taxes, or $.06 per share, of severance charges incurred in the 2016 first quarter. The severance charges were a reduction in force across the marine transportation and diesel engine services businesses and corporate staff in order to reduce costs in light of challenging market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2017 second quarter and first six months, the Company’s marine transportation segment generated 70% of the Company’s revenue.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marine transportation segment’s revenues for the 2017 second quarter and first six months decreased 12% and 11%, respectively, when compared with the 2016 second quarter and first six months. The decreases in revenues were primarily due to lower inland marine transportation term and spot contract pricing, lower coastal marine transportation spot contract pricing, lower coastal equipment utilization and a continued increase in the number of coastal vessels operating in the spot market which led to increased idle time and decreased revenues, partially offset by an increase in the average cost of marine diesel fuel which is largely passed through to the customer. The segment’s operating income for the 2017 second quarter and first six months decreased 51% and 50%, respectively, compared with the 2016 second quarter and first six months. The decreases in operating income were primarily due to lower inland term and spot contract pricing, lower coastal spot contract pricing, lower coastal equipment utilization and a continued increase in coastal equipment operating in the spot market which adds increased idle time and voyage costs, partially offset by savings in the coastal market from the release of chartered tugboats, idling owned barges and tugboats and reducing headcount accordingly, and by a reduction in the average number of inland towboats operated. The 2016 first six months marine transportation operating income included $3,792,000 of severance charges incurred in the 2016 first quarter. For the 2017 and 2016 second quarters and first six months, the inland tank barge fleet contributed 70% and the coastal fleet contributed 30% of marine transportation revenues.</w:t>
      </w:r>
    </w:p>
    <w:p>
      <w:pPr>
        <w:spacing w:after="0" w:line="2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Tank barge utilization levels of the Company’s inland marine transportation markets declined to the mid-80% to high 80% range during the 2017 second quarter compared to the high 80% to low 90% range during the 2017 first quarter and the 2016 second quarter. Operating conditions improved during the 2017 second quarter due to better weather conditions along the Gulf Coast, which enhanced operating efficiency and thereby lowered tank barge utilization. Seasonally weak demand for the transportation of agricultural chemicals also contributed to the decline in utilization in the 2017 second quarter compared to the 2017 first quarter. For the 2017 second quarter and first six months, demand for barges moving petrochemicals and black oil was stable, while demand for refined petroleum products was lower compared to demand for the comparable 2016 periods.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Coastal tank barge utilization levels declined to the high 60% to mid-70% range during the 2017 second quarter compared to the mid-70% to low 80% range during the 2017 first quarter and the mid-80% level in the 2016 second quarter. Utilization in the coastal marine fleet was impacted by the industry-wide oversupply of tank barges. Demand for the transportation of black oil and petrochemicals was relatively stable compared to demand in the 2017 first quarter and 2016 second quarter. Demand for the transportation of refined petroleum products and crude oil was lower in the 2017 second quarter and first six months compared to demand in the same 2016 periods, as weakness in those markets persists due to heavy imports and high inventory levels, as well as an oversupply of barge capacity.</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2017 second quarter and first six months, approximately 75% of marine transportation inland revenues were under term contracts and 25% were spot contract revenues. For the 2016 second quarter and first six months, approximately 80% of inland revenues were under term contracts and 20% were spot contract revenues. Inland time charters during the 2017 second quarter and first six months represented 48% of the revenues under term contracts compared with 51% and 53% in the 2016 second quarter and first six months, respectively.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2017 and 2016 second quarters and first six months, approximately 80% of the coastal revenues were under term contracts and 20% were spot contract revenues. Coastal time charters represented approximately 85% of coastal revenues under term contracts during the 2017 second quarter and first six months compared with 90% during the 2016 second quarter and first six months.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Rates on inland term contracts renewed in the 2017 second quarter and first six months decreased in the 4% to 7% average range compared with term contracts renewed in the second quarter and first six months of 2016. Spot contract rates, which include the cost of fuel, were relatively flat when compared with the 2017 first quarter, but below term contract rates. Effective January 1, 2017, annual escalators for labor and the producer price index on a number of inland multi-year contracts resulted in rate increases on those contracts of approximately 0.6%, excluding fuel.</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Rates on coastal term contracts renewed in the 2017 second quarter and first six months were down slightly when compared with term contracts renewed in the 2016 comparable periods, although most contracts failed to renew and customers elected to source their needs in the spot market. Spot contract rates, which include the cost of fuel, remained meaningfully below term contract rates during the first six months of 2017.</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marine transportation operating margin was 10.8% for the 2017 second quarter compared with 19.2% for the 2016 second quarter and 10.5% for the 2017 first six months compared with 18.8% for the 2016 first six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Diesel Engine Services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2017 second quarter and first six months, the diesel engine services segment generated 30% of the Company’s revenue. For the 2017 second quarter and first six months, 39% and 42% of the diesel engine services segment revenue was generated from overhauls and service, 42% and 38% from direct parts sales and 19% and 20% from manufacturing, respectively. The results of the diesel engine services segment are largely influenced by the economic cycles of the marine and power generation markets and the land-based oilfield service and oil and gas operator and producer markets.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Diesel engine services revenues for the 2017 second quarter and first six months increased 125% and 102%, respectively, when compared with the second quarter and first six months of 2016. Operating income for the 2017 second quarter and first six months was $16,355,000 and $30,089,000, respectively, compared with operating losses in the 2016 second quarter and first six months of $1,968,000 and $2,774,000, respectively. The higher revenues and operating income in the 2017 second quarter and first six months compared to the 2016 second quarter and first six months were primarily attributable to the increased demand for the remanufacture of pressure pumping units and transmission overhauls, an improvement in the manufacturing of oil service equipment, including pressure pumping units, and a modest increase in the demand for the sale and distribution of engines, transmissions and parts. In the marine diesel engine services market, customers continued to defer major maintenance projects, particularly in the Midwest and on the East Coast, largely due to the weak inland and coastal tank barge markets and inland dry cargo barge market. In addition, continued weakness in the Gulf of Mexico oilfield services market negatively impacted the marine diesel engine services market. The power generation market was relatively stable with major generator set upgrades and parts sales for both domestic and international power generation customers. The diesel engine services results for the 2016 first six months included $1,436,000 of severance charges incurred in the 2016 first quarter in response to the reduced activity in both the marine and land-based markets.</w:t>
      </w:r>
    </w:p>
    <w:p>
      <w:pPr>
        <w:spacing w:after="0" w:line="2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diesel engine services operating margin for the 2017 second quarter was 11.5% compared with (3.1)% for the 2016 second quarter. For the 2017 first six months, the operating margin was 10.4% compared with (1.9)% for the first six months of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Capital Expenditures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continued to generate strong operating cash flow during the 2017 first six months, with net cash provided by operating activities of $193,795,000 compared with $211,617,000 net cash provided by operating activities for the 2016 first six months. The 8% decrease was primarily from $23,976,000 of lower net earnings and an $11,031,000 decrease in the provision for deferred income taxes, offset by a $17,108,000 increase in cash flows from changes in operating assets and liabilities. In addition, during the 2017 first six months, the Company generated cash of $27,966,000 from proceeds from the disposition of assets compared to $3,147,000 for the first six months of 2016. On June 30, 2017, the Company executed a sale leaseback transaction related to a recently constructed 4900 horsepower coastal tugboat. The Company received cash proceeds of $18,314,000 for the coastal tugboat and executed a ten year lease with the buyer. The Company also generated cash during the 2017 and 2016 first six months of $1,838,000 and $321,000, respectively, from proceeds from the exercise of stock options.</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2017 first six months, cash generated and borrowings under the Company’s Revolving Credit Facility were used for capital expenditures of $92,509,000, including $7,093,000 for inland tank barge and towboat construction, $1,704,000 for progress payments on the construction of a 155,000 barrel coastal ATB scheduled to be placed in service in the 2017 third quarter, $11,133,000 for progress payments on the construction of two 4900 horsepower coastal tugboats, $12,096,000 for progress payments on six 5000 horsepower coastal ATB tugboats, $608,000 in final costs for the construction of a 35,000 barrel coastal petrochemical tank barge, and $59,875,000 primarily for upgrading existing marine equipment, and marine transportation and diesel engine services facilities.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debt-to-capitalization ratio decreased to 19.3% at June 30, 2017 from 23.1% at December 31, 2016, primarily due to a decrease of $131,267,000 in outstanding debt and an increase in total equity from net earnings attributable to Kirby for the 2017 first six months of $53,261,000 and the amortization of unearned equity compensation, partially offset by an $8,486,000 decrease in retained earnings due to the adoption of ASU 2016-09. As of June 30, 2017, the Company had $95,343,000 outstanding under its Revolving Credit Facility and $500,000,000 of senior notes outstanding, offset by $3,808,000 in unamortized debt issuance costs.</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2017 first six months, the Company took delivery of two new inland tank barges with a total capacity of approximately 57,000 barrels, retired 31 inland tank barges, reducing its capacity by approximately 587,000 barrels, brought one inland tank barge back into service with a capacity of 20,000 barrels and temporarily chartered one inland tank barge with a total capacity of approximately 11,000 barrels. The net result was a reduction of 27 inland tank barges and approximately 499,000 barrels of capacity during the first half of 2017.</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projects that capital expenditures for 2017 will be in the $165,000,000 to $185,000,000 range. The 2017 construction program will consist of six inland tank barges with a total capacity of 171,000 barrels and one inland towboat, progress payments on the construction of a 155,000 barrel coastal ATB scheduled to be placed in service in the 2017 third quarter, progress payments on the construction of two 4900 horsepower coastal tugboats and six 5000 horsepower coastal ATB tugboats and final costs on the construction of a 35,000 barrel coastal petrochemical tank barge. Based on current commitments, steel prices and projected delivery schedules, the Company’s 2017 payments on new inland tank barges and the towboat will be approximately $10,000,000, 2017 progress payments on the construction of the 155,000 barrel coastal ATB will be approximately $8,000,000, 2017 progress payments on the construction of the two 4900 horsepower coastal tugboats will be approximately $16,000,000, progress payments on the construction of the six 5000 horsepower coastal ATB tugboats will be approximately $25,000,000, and final costs on the construction of the 35,000 barrel coastal petrochemical tank barge will be approximately $1,000,000. The balance of approximately $105,000,000 to $125,000,000 is primarily capital upgrades and improvements to existing marine equipment, and marine transportation and diesel engine services facilities.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Reduced crude oil volumes to be moved by tank barge due to additional pipelines, coupled with the large number of tank barges built during the last several years, many of which were for the movement of crude oil and natural gas condensate, have resulted in excess industry-wide tank barge capacity and lower equipment utilization for both the inland and coastal marine transportation markets. This extra capacity has placed inland and coastal tank barge rates under some pressure. As a result, the inland market for the remainder of 2017 will be impacted by the pricing declines experienced throughout 2016 and the 2017 first six months. The Company anticipates utilization to range from the mid-80% to low 90% levels for the remainder of 2017. While supply and demand in the inland barge industry is moving toward balance, the Company does not expect an improvement in pricing this year. However, future inland tank barge demand for petrochemical and refined petroleum products volumes from increased production from current facilities, plant expansions or the opening of new facilities should benefit the inland marine transportation markets.</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coastal marine transportation market, a decline in crude oil and natural gas condensate transportation volumes has increased available capacity and has resulted in some reluctance among certain customers to extend term contracts, which has led to an increase in the number of coastal vessels operating in the spot market. In addition, the Company and the industry have added new coastal tank barge capacity during 2015 and 2016, with additional new capacity coming on-line in 2017 through 2019. While much of this new capacity is replacement capacity for older vessels anticipated to be retired, the Company maintains a cautious outlook as the industry absorbs the new capacity. While the Company does expect the supply of tank barges and capacity in the coastal industry fleet to eventually balance with demand, the Company does not anticipate that balance occurring in 2017 without an improvement in demand. As a result, in the 2017 first six months, the Company released chartered tugboats, idled owned barges and tugboats and reduced headcount accordingly. The Company expects tank barge utilization for the coastal markets to range from mid-60% to low 70% for the remainder of 2017.</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June 30, 2017, the Company estimated there were approximately 3,850 inland tank barges in the industry fleet, of which approximately 500 were over 30 years old and approximately 250 of those over 40 years old. Given the age profile of the industry inland tank barge fleet and current market conditions, the expectation is that many older tank barges will be removed from service during 2017. The Company estimates that approximately 40 tank barges were ordered during 2016 for delivery throughout 2017, six of which are for the Company, and many older tank barges, including an expected 41 by the Company, will be retired, dependent on 2017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2017, the Company estimated there were approximately 295 tank barges operating in the 195,000 barrel or less coastal industry fleet, the sector of the market in which the Company operates, and approximately 35 of those were over 30 years old. The Company expects to take delivery of a new 155,000 barrel coastal ATB in the 2017 third quarter. The Company is aware of 11 announced coastal tank barge and tugboat units in the 195,000 barrel or less category under construction by competitors for delivery in the 2017 second half, 2018 and 2019.</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land-based diesel engine services market, the Company is experiencing a healthy rebound in service demand, particularly with pressure pumping unit remanufacturing and transmission overhauls. The United States land rig count has improved from the lows of 2016, oil prices have traded in the $40 to $50 per barrel range during 2017, and service intensity in the well completion business has increased. The condition of the industry’s pressure pumping fleet is poor. Based on these positive conditions, the Company anticipates that for the remainder of 2017 the demand for pressure pumping unit remanufacturing will remain strong and that increased demand is anticipated to generate orders for pressure pumping units and ancillary oilfield service support equipment.</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marine diesel engine services market, the Company anticipates continued weakness in the Gulf of Mexico oilfield services market, as well as the inland and coastal tank barge markets and inland dry cargo barge market, throughout the remainder of 2017. The power generation market should remain stable, benefiting from engine-generator set upgrades and parts sales for both domestic and international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10, 2017, the Company completed the purchase of certain inland marine assets from an undisclosed competitor for $68,000,000 in cash. The assets purchased consisted of nine specialty pressure tank barges, four 30,000 barrel tank barges and three 1320 horsepower inland towboats. The average age of the 13 inland tank barges was five years. The 13 tank barges transport petrochemicals and refined petroleum products on the Mississippi River System and the Gulf Intracoastal Waterway. The Company has not completed the final purchase price allocation at this time. Financing of the equipment acquisition was through borrowing under the Company’s Revolving Credit Facility.</w:t>
      </w:r>
    </w:p>
    <w:p>
      <w:pPr>
        <w:spacing w:after="0" w:line="2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13, 2017, the Company signed an agreement to acquire substantially all of the assets and businesses of S&amp;S, a global manufacturer and distributor of products and services for the oil and gas, marine, construction, power generation, transportation, mining and agricultural industries. Founded in 1902, S&amp;S serves domestic and global markets with equipment, rental solutions, parts and service through a strategic network of sales and service centers in domestic and international locations. The purchase price is approximately $710,000,000 (before post-closing adjustments and transaction fees) and will be funded through the Company’s Revolving Credit Facility and Company common stock valued at approximately $355,000,000. S&amp;S, headquartered in Houston, Texas with 42 branches across 12 states, is a distributor in certain geographic areas for Allison Transmission, MTU, Detroit Diesel, Electro-Motive Diesel, Deutz and several other manufacturers. On June 26, 2017, the Federal Trade Commission granted the Company early termination of the Hart-Scott-Rodino waiting period for the acquisition of S&amp;S. The closing of the transaction is subject to certain conditions, including obtaining a number of consents from third parties.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reported 2017 second quarter net earnings attributable to Kirby of $25,778,000, or $0.48 per share, on revenues of $473,328,000, compared with 2016 second quarter net earnings attributable to Kirby of $38,942,000, or $0.72 per share, on revenues of $441,582,000. Net earnings attributable to Kirby for the 2017 first six months were $53,261,000, or $0.99 per share, on revenues of $965,033,000, compared with $77,041,000, or $1.43 per share, on revenues of $900,315,000 for the 2016 first six months. The 2017 second quarter and first six months results include pre-tax expenses of $707,000, or $.01 per share, related to the pending acquisition of S&amp;S. The 2016 first six months results included $5,605,000 before taxes, or $.06 per share, of severance charges incurred in the 2016 first quarter which were mainly reflected in the marine transportation and diesel engine businesses and corporate staff in order to reduce costs in light of challenging market conditions.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marine transportation and diesel engine services revenues for the 2017 second quarter compared with the second quarter of 2016, the first six months of 2017 compared with the first six months of 2016 and the percentage of each to total revenues for the comparable periods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transportation</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331,265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674,917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756,646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Diesel engine services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142,063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63,279</w:t>
            </w:r>
          </w:p>
        </w:tc>
        <w:tc>
          <w:tcPr>
            <w:tcW w:w="62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290,116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143,669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473,328</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441,582</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965,033</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900,315</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June 30, 2017, the Company operated 849 inland tank barges, including 35 leased barges, with a total capacity of 17.4 million barrels. This compares with 901 inland tank barges operated as of June 30, 2016, including 39 leased barges, with a total capacity of 18.3 million barrels. The Company operated an average of 220 inland towboats during the 2017 second quarter, of which an average of 64 were chartered, compared with 241 during the 2016 second quarter, of which an average of 78 were chartered. The Company’s coastal tank barge fleet as of June 30, 2017 consisted of 67 tank barges, seven of which were leased, with 6.1 million barrels of capacity, and 69 tugboats, five of which were chartered. This compares with 69 coastal tank barges operated as of June 30, 2016, seven of which were leased, with 6.1 million barrels of capacity, and 80 tugboats, six of which were chartered. The Company owns and operates five offshore dry-bulk cargo barges and five offshore tugboats engaged in the offshore transportation of dry-bulk cargoes. The Company also owns a shifting operation and fleeting facility for dry cargo barges and tank barges on the Houston Ship Channel, as well as a two-thirds interest in Osprey Line, L.L.C., which transports project cargoes and cargo containers by barge.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marine transportation segment’s revenues, costs and expenses, operating income and operating margins for the three months and six months ended June 30, 2017 compared with the three months and six months ended June 30, 2016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60" w:type="dxa"/>
            <w:vAlign w:val="bottom"/>
          </w:tcPr>
          <w:p>
            <w:pPr>
              <w:spacing w:after="0"/>
              <w:rPr>
                <w:sz w:val="21"/>
                <w:szCs w:val="21"/>
                <w:color w:val="auto"/>
              </w:rPr>
            </w:pP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80" w:type="dxa"/>
            <w:vAlign w:val="bottom"/>
          </w:tcPr>
          <w:p>
            <w:pPr>
              <w:spacing w:after="0"/>
              <w:rPr>
                <w:sz w:val="21"/>
                <w:szCs w:val="21"/>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331,265</w:t>
            </w:r>
          </w:p>
        </w:tc>
        <w:tc>
          <w:tcPr>
            <w:tcW w:w="280" w:type="dxa"/>
            <w:vAlign w:val="bottom"/>
            <w:tcBorders>
              <w:left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378,303</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(12)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674,917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756,646</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228,592</w:t>
            </w:r>
          </w:p>
        </w:tc>
        <w:tc>
          <w:tcPr>
            <w:tcW w:w="86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455,344</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2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26,600</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55,464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59,297</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4,953</w:t>
            </w: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9,791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44,507</w:t>
            </w:r>
          </w:p>
        </w:tc>
        <w:tc>
          <w:tcPr>
            <w:tcW w:w="2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45,432</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89,693</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305,577</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614,125</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2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72,726</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142,521</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margins</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the marine transportation revenue distribution for the 2017 second quarter and first six months, products moved and the drivers of the demand for the products the Company transports: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2017 Second</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 Six</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Markets Serviced</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00" w:type="dxa"/>
            <w:vAlign w:val="bottom"/>
          </w:tcPr>
          <w:p>
            <w:pPr>
              <w:spacing w:after="0"/>
              <w:rPr>
                <w:sz w:val="21"/>
                <w:szCs w:val="21"/>
                <w:color w:val="auto"/>
              </w:rPr>
            </w:pPr>
          </w:p>
        </w:tc>
        <w:tc>
          <w:tcPr>
            <w:tcW w:w="28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Products Moved</w:t>
            </w:r>
          </w:p>
        </w:tc>
        <w:tc>
          <w:tcPr>
            <w:tcW w:w="120" w:type="dxa"/>
            <w:vAlign w:val="bottom"/>
          </w:tcPr>
          <w:p>
            <w:pPr>
              <w:spacing w:after="0"/>
              <w:rPr>
                <w:sz w:val="21"/>
                <w:szCs w:val="21"/>
                <w:color w:val="auto"/>
              </w:rPr>
            </w:pPr>
          </w:p>
        </w:tc>
        <w:tc>
          <w:tcPr>
            <w:tcW w:w="27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Drivers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Petrochemicals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6"/>
              </w:rPr>
              <w:t>55%</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Benzene, Styrene, Methanol,</w:t>
            </w: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Consumer non-durables – 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Acrylonitrile, Xylene, Naphtha, Caustic</w:t>
            </w:r>
          </w:p>
        </w:tc>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durables –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Soda, Butadiene, Propylene</w:t>
            </w:r>
          </w:p>
        </w:tc>
        <w:tc>
          <w:tcPr>
            <w:tcW w:w="1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Black Oil</w:t>
            </w:r>
          </w:p>
        </w:tc>
        <w:tc>
          <w:tcPr>
            <w:tcW w:w="1260" w:type="dxa"/>
            <w:vAlign w:val="bottom"/>
            <w:gridSpan w:val="2"/>
            <w:shd w:val="clear" w:color="auto" w:fill="CCEEFF"/>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1360" w:type="dxa"/>
            <w:vAlign w:val="bottom"/>
            <w:gridSpan w:val="2"/>
            <w:shd w:val="clear" w:color="auto" w:fill="CCEEFF"/>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w w:val="96"/>
              </w:rPr>
              <w:t>25%</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Residual Fuel Oil, Coker Feedstock,</w:t>
            </w:r>
          </w:p>
        </w:tc>
        <w:tc>
          <w:tcPr>
            <w:tcW w:w="290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Fuel for Power Plants and 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Vacuum Gas Oil, Asphalt, Carbon</w:t>
            </w:r>
          </w:p>
        </w:tc>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Feedstock for Refineries, Road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 Feedstock, Crude Oil, Natural</w:t>
            </w:r>
          </w:p>
        </w:tc>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Condensate, Ship Bunkers</w:t>
            </w:r>
          </w:p>
        </w:tc>
        <w:tc>
          <w:tcPr>
            <w:tcW w:w="1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Refined Petroleum Products</w:t>
            </w:r>
          </w:p>
        </w:tc>
        <w:tc>
          <w:tcPr>
            <w:tcW w:w="1260" w:type="dxa"/>
            <w:vAlign w:val="bottom"/>
            <w:gridSpan w:val="2"/>
            <w:shd w:val="clear" w:color="auto" w:fill="CCEEFF"/>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rPr>
              <w:t>17%</w:t>
            </w:r>
          </w:p>
        </w:tc>
        <w:tc>
          <w:tcPr>
            <w:tcW w:w="1360" w:type="dxa"/>
            <w:vAlign w:val="bottom"/>
            <w:gridSpan w:val="2"/>
            <w:shd w:val="clear" w:color="auto" w:fill="CCEEFF"/>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w w:val="96"/>
              </w:rPr>
              <w:t>17%</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Gasoline, No. 2 Oil, Jet Fuel, Heating</w:t>
            </w:r>
          </w:p>
        </w:tc>
        <w:tc>
          <w:tcPr>
            <w:tcW w:w="290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Vehicle Usage, Air Travel, Weather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Diesel Fuel, Ethanol</w:t>
            </w:r>
          </w:p>
        </w:tc>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Conditions, Refinery 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Agricultural Chemicals</w:t>
            </w:r>
          </w:p>
        </w:tc>
        <w:tc>
          <w:tcPr>
            <w:tcW w:w="1260" w:type="dxa"/>
            <w:vAlign w:val="bottom"/>
            <w:gridSpan w:val="2"/>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9"/>
              </w:rPr>
              <w:t>3%</w:t>
            </w:r>
          </w:p>
        </w:tc>
        <w:tc>
          <w:tcPr>
            <w:tcW w:w="1360" w:type="dxa"/>
            <w:vAlign w:val="bottom"/>
            <w:gridSpan w:val="2"/>
            <w:shd w:val="clear" w:color="auto" w:fill="CCEEFF"/>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Anhydrous Ammonia, Nitrogen –</w:t>
            </w:r>
          </w:p>
        </w:tc>
        <w:tc>
          <w:tcPr>
            <w:tcW w:w="290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Corn, Cotton and Wheat Production,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Liquid Fertilizer, Industrial</w:t>
            </w:r>
          </w:p>
        </w:tc>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Chemical Feedstock Usage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Ammonia</w:t>
            </w:r>
          </w:p>
        </w:tc>
        <w:tc>
          <w:tcPr>
            <w:tcW w:w="1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Marine transportation revenues for the 2017 second quarter and first six months decreased 12% and 11%, respectively, when compared with the 2016 second quarter and first six months, primarily due to lower inland marine transportation term and spot contract pricing, lower coastal marine transportation spot contract pricing, lower coastal equipment utilization and a continued increase in the number of coastal vessels operating in the spot market which led to increased idle time and decreased revenues, partially offset by an increase in the average cost of marine diesel fuel which is largely passed through to the customer. For the 2017 and 2016 second quarters and first six months, the inland tank barge fleet contributed 70% and 67%, respectively, and the coastal fleet 30% and 33%, respectively, of marine transportation revenues. Tank barge utilization levels of the Company’s inland marine transportation markets declined to the mid-80% to high 80% range during the 2017 second quarter compared to the high 80% to low 90% range during the 2017 first quarter and the 2016 second quarter. Operating conditions improved during the 2017 second quarter due to better weather conditions along the Gulf Coast, which enhanced operating efficiency and thereby lowered tank barge utilization. Seasonally weak demand for the transportation of agricultural chemicals also contributed to the modest decline in utilization. Coastal tank barge utilization levels declined to the high 60% to mid-70% range during the 2017 second quarter compared to the mid-70% to low 80% range during the 2017 first quarter and the mid-80% level in the 2016 second quarter. Utilization in the coastal marine fleet continued to be impacted by the industry-wide oversupply of tank barges in the coastal industry and weak demand for the transportation of refined petroleum products and crude oil.</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petrochemical market, the Company’s largest market, contributed 55% of marine transportation revenues for the 2017 second quarter and first six months, reflecting continued stable volumes from Gulf Coast petrochemical plants for both domestic consumption and to terminals for export destinations. Low priced domestic natural gas, a basic feedstock for the United States petrochemical industry, provides the industry with a competitive advantage relative to naphtha-based foreign petrochemical producers.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black oil market, which contributed 25% of marine transportation revenues for the 2017 second quarter and first six months, reflected a return to normal demand levels in the back half of the 2017 second quarter compared to the 2017 first quarter as refinery turnaround activity in the Gulf Coast concluded.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natural gas condensate downriver from the Mid-Atlantic to the Gulf Coast, however at reduced levels compared with the 2016 second quarter and first six months.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refined petroleum products market, which contributed 17% of marine transportation revenues for the 2017 second quarter and first six months, reflected weaker demand in both the inland and coastal markets, primarily a result of an oversupply of barge capacity and heavy imports of refined petroleum products, as well as weak heating oil demand in the 2017 first quarter due to the unseasonably warm weather in the Northeast.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agricultural chemical market, which contributed 3% of marine transportation revenues for the 2017 second quarter and first six months, saw typical seasonally weak demand for transportation of both domestically produced and imported products during the 2017 second quarter.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second quarter of 2017, the inland operations incurred 1,367 delay days, 33% less than the 2,035 delay days that occurred during the 2016 second quarter and 40% less than the 2,267 delay days that occurred during the 2017 first quarter. For the first six months of 2017, 3,634 delay days occurred, 15% less than the 4,271 delay days that occurred during the 2016 first six months. Delay days measure the lost time incurred by a tow (towboat and one or more tank barges) during transit when the tow is stopped due to weather, lock conditions or other navigational factors. Operating conditions improved during the 2017 second quarter due to better weather conditions along the Gulf Coast, which enhanced operating efficiency and lowered utilization.</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2017 second quarter and first six months, approximately 75% of marine transportation inland revenues were under term contracts and 25% were spot contract revenues. For the 2016 second quarter and first six months, approximately 80% of inland revenues were under term contracts and 20% were spot contract revenues. Inland time charters during the 2017 second quarter and first six months represented 48% of the revenues under term contracts compared with 51% and 53% in the 2016 second quarter and first six months,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2017 and 2016 second quarters and first six months, approximately 80% of the coastal revenues were under term contracts and 20% were spot contract revenues. Coastal time charters represented approximately 85% of coastal revenues under term contracts during the 2017 second quarter and first six months compared with 90% during the 2016 second quarter and first six months.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Rates on inland term contracts renewed in the 2017 second quarter and first six months decreased in the 4% to 7% average range compared with term contracts renewed in the second quarter and first six months of 2016. Spot contract rates, which include the cost of fuel, were relatively flat when compared with the 2017 first quarter, but below term contract rates. Effective January 1, 2017, annual escalators for labor and the producer price index on a number of inland multi-year contracts resulted in rate increases on those contracts of approximately 0.6%, excluding fuel.</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Rates on coastal term contracts renewed in the 2017 second quarter and first six months were down slightly when compared with term contracts renewed in the 2016 comparable periods, although most contracts failed to renew and customers elected to source their needs in the spot market. Spot contract rates, which include the cost of fuel, remained meaningfully below term contract rates during the first six months of 2017.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Costs and expenses for the 2017 second quarter and first six months decreased 3% and 2%, respectively, when compared with the 2016 second quarter and first six months. Costs of sales and operating expenses for the 2017 second quarter and first six months decreased 5% and 2%, respectively, compared with the second quarter and first six months of 2016, primarily due to fewer inland towboats operated and lower business activity levels, partially offset by higher fuel costs.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220 towboats during the 2017 second quarter, of which an average of 64 were chartered, compared with 241 during the 2016 second quarter, of which an average of 78 were chartered. During the 2017 first six months, the inland operations operated an average of 228 towboats, of which an average of 72 towboats were chartered, compared with 241 towboats operated during the 2016 first six months, of which an average of 78 were chartered. As demand, or anticipated demand, increases or decreases, as new tank barges are added to the fleet, as chartered towboat availability changes, or as weather or water conditions dictate, such as the high wind and heavy fog conditions that occurred in the 2017 first quarter, the Company charters in or releases chartered towboats in an effort to balance horsepower needs with current requirements. The Company has historically used chartered towboats for approximately one-third of its horsepower requirements.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2017 second quarter, the inland operations consumed 9.9 million gallons of diesel fuel compared to 9.8 million gallons consumed during the 2016 second quarter. The average price per gallon of diesel fuel consumed during the 2017 second quarter was $1.72 per gallon compared with $1.35 per gallon for the 2016 second quarter. For the 2017 first six months, the inland operations consumed 20.5 million gallons of diesel fuel compared to 20.0 million gallons consumed during the 2016 first six months. The average price per gallon of diesel fuel consumed during the 2017 first six months was $1.75 compared with $1.31 for the 2016 first six months.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2017 second quarter increased 4% compared with the 2016 second quarter, primarily due to salary increases effective August 1, 2016 and April 1, 2017, higher medical costs and higher incentive compensation accruals. For the 2017 first six months, selling, general and administrative expenses decreased 6% compared with the 2016 first six months, primarily a reflection of $3,792,000 of severance charges incurred in the 2016 first quarter and the resulting cost savings in the 2017 first six months from the reduction in force in early 2016, partially offset by salary increases effective August 1, 2016 and April 1, 2017.</w:t>
      </w:r>
    </w:p>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Taxes, other than on income for the 2017 second quarter and first six months increased 18% and 22%, respectively, compared with the 2016 second quarter and first six months, mainly due to higher property taxes on marine transportation equipment and new state franchise taxes effective January 1, 2017.</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Marine transportation operating income for the 2017 second quarter and first six months decreased 51% and 50%, respectively, compared with the 2016 second quarter and first six months. The operating margin was 10.8% for the 2017 second quarter compared with 19.2% for the 2016 second quarter. The operating margin for the 2017 first six months was 10.5% compared with 18.8% for the 2016 first six months. The results primarily reflected lower inland term and spot contract pricing, lower coastal spot contract pricing, lower coastal equipment utilization and a continued increase in coastal equipment vessels operating in the spot market which adds increased idle time and voyage costs, partially offset by savings in the coastal market from the release of chartered tugboats, idling owned barges and tugboats and reducing headcount accordingly, and by a reduction in the average number of inland towboats operated.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Diesel Engine Services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through its diesel engine services segment, sells genuine replacement parts, provides service mechanics to overhaul and repair medium-speed and high-speed diesel engines, transmissions, reduction gears, pumps, rebuilds component parts or entire diesel engines, transmissions and reduction gears, and manufactures and remanufactures oilfield service equipment, including pressure pumping units. The Company primarily services the marine, power generation and land-based oilfield service and oil and gas operator and producer markets.</w:t>
      </w:r>
    </w:p>
    <w:p>
      <w:pPr>
        <w:spacing w:after="0" w:line="20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Company’s diesel engine services segment’s revenues, costs and expenses, operating income (loss) and operating margins for the three months and six months ended June 30, 2017 compared with the three months and six months ended June 30, 2016 (dollars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Diesel engine services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142,063</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63,279</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143,669</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48,305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110,463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13,178</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28,309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502</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6,618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65,247</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146,443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margins</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Diesel Engine Services Revenues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markets serviced by the Company’s diesel engine services segment, the revenue distribution for the 2017 second quarter and first six months, and the customers for each market: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2017 Second</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2017 Six</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Markets Serviced</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00" w:type="dxa"/>
            <w:vAlign w:val="bottom"/>
          </w:tcPr>
          <w:p>
            <w:pPr>
              <w:spacing w:after="0"/>
              <w:rPr>
                <w:sz w:val="21"/>
                <w:szCs w:val="21"/>
                <w:color w:val="auto"/>
              </w:rPr>
            </w:pPr>
          </w:p>
        </w:tc>
        <w:tc>
          <w:tcPr>
            <w:tcW w:w="43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Land-Based</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6"/>
              </w:rPr>
              <w:t>73%</w:t>
            </w:r>
          </w:p>
        </w:tc>
        <w:tc>
          <w:tcPr>
            <w:tcW w:w="10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Land-Based Oilfield Services, Oil and Gas Operators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Producers, On- Highway Transportation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Marine</w:t>
            </w:r>
          </w:p>
        </w:tc>
        <w:tc>
          <w:tcPr>
            <w:tcW w:w="1260" w:type="dxa"/>
            <w:vAlign w:val="bottom"/>
            <w:gridSpan w:val="2"/>
            <w:shd w:val="clear" w:color="auto" w:fill="CCEEFF"/>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rPr>
              <w:t>19%</w:t>
            </w:r>
          </w:p>
        </w:tc>
        <w:tc>
          <w:tcPr>
            <w:tcW w:w="1360" w:type="dxa"/>
            <w:vAlign w:val="bottom"/>
            <w:gridSpan w:val="2"/>
            <w:shd w:val="clear" w:color="auto" w:fill="CCEEFF"/>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Inland River Carriers – Dry and Liquid, Offshore Towing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Dry and Liquid, Offshore Oilfield Services – Drilling Rigs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&amp; Supply Boats, Harbor Towing, Dredging, Great Lakes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Ore Carriers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Generation</w:t>
            </w:r>
          </w:p>
        </w:tc>
        <w:tc>
          <w:tcPr>
            <w:tcW w:w="12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7%</w:t>
            </w:r>
          </w:p>
        </w:tc>
        <w:tc>
          <w:tcPr>
            <w:tcW w:w="13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Standby Power Generation, Pumping Stations</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Diesel engine services revenues for the 2017 second quarter and first six months increased 125% and 102%, respectively, compared with the 2016 second quarter and first six months, primarily attributable to the increased demand for the remanufacture of pressure pumping units and transmission overhauls, an improvement in the manufacturing of oil service equipment, including pressure pumping units, and a modest increase in the demand for the sale and distribution of engines, transmissions and parts in the land-based diesel engine services market. In the marine diesel engine services market, customers continued to defer major maintenance projects, particularly in the Midwest and on the East Coast, largely due to the weak inland and coastal tank barge markets and inland dry cargo barge market. In addition, continued weakness in the Gulf of Mexico oilfield services market negatively impacted the marine diesel engine services market. The power generation market was relatively stable with major generator set upgrades and parts sales for both domestic and international power generation customers.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Diesel Engine Services Costs and Expenses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Costs and expenses for the 2017 second quarter and first six months increased 93% and 78%, respectively, compared with the 2016 second quarter and first six months. Costs of sales and operating expenses for the 2017 second quarter and first six months increased 121% and 101%, respectively, compared with the 2016 second quarter and first six months, reflecting the increased demand for the remanufacture of pressure pumping units and transmission overhauls, improvement in the manufacturing of oil service equipment, including pressure pumping units, and a modest increase in the demand for the sale and distribution of engines, transmissions and parts in the land-based diesel engine services market.</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2017 second quarter and first six months increased 17% and 10%, respectively, compared with the 2016 second quarter and first six months, primarily due to increased activity in the land-based market in the 2017 first six months. The 2016 first six months selling, general and administrative expenses included $1,436,000 of severance charges incurred in the 2016 first quarter, in response to the reduced activity in both the marine and land-based markets, which benefited both the land-based and marine markets during the 2017 second quarter and first six months.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Diesel Engine Services Operating Income (Loss) and Operating Margins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for the diesel engine services segment for the 2017 second quarter and first six months was $16,355,000 and $30,089,000, respectively, compared to operating losses of $1,968,000 and $2,774,000 for the 2016 second quarter and first six months, respectively. The operating margin for the 2017 second quarter was 11.5% compared with (3.1)% for the 2016 second quarter and 10.4% for the 2017 first six months compared with (1.9)% for the 2016 first six months. The results reflected increased activity in the land-based market and improved efficiencies in the marine diesel engine services market due to cost control measures implemented in 2016.</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General Corporate Expenses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corporate expenses for the 2017 second quarter were $4,501,000, an 11% increase compared with $4,044,000 for the second quarter of 2016, primarily due to acquisition costs of $707,000 in the 2017 second quarter related to the pending acquisition of S&amp;S. For the first six months of 2017, general corporate expenses were $8,017,000, a 4% increase compared with $7,699,000 for the first six months of 2016. The 2016 first six months included a severance charge of $377,000 incurred in the 2016 first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(Loss) on Disposition of Assets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reported a net loss on disposition of assets of $139,000 for the 2017 second quarter compared with a net gain of $94,000 for the 2016 second quarter. For the 2017 first six months, the Company reported a net loss on disposition of assets of $40,000 compared with a net gain of $161,000 for the first six months of 2016. The net gains and losses were predominantly from the sale or retirement of marine equipment.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other income, noncontrolling interests and interest expense for the three months and six months ended June 30, 2017 compared with the three months and six months ended June 30, 2016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(8,706)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Interest expense for the 2017 second quarter decreased 1% compared with the 2016 second quarter and, for the 2017 first six months, increased 2% compared with the 2016 first six months. During the 2017 and 2016 second quarters, the average debt and average interest rate (excluding capitalized interest) were $643,623,000 and 3.2%, and $763,308,000 and 2.7%, respectively. For the first six months of 2017 and 2016, the average debt and average interest rate (excluding capitalized interest) were $674,867,000 and 3.0%, and $748,156,000 and 2.7%, respectively. The Company recognized additional interest expense of $187,000 in the 2017 second quarter due to the write-off of certain deferred issue costs in connection with the amendment of the Revolving Credit Facility. Interest expense excludes capitalized interest for the 2017 and 2016 second quarters of $700,000 and $635,000, respectively, and for the 2017 and 2016 first six months of $1,314,000 and $1,501,000, respectively.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assets as of June 30, 2017 were $4,225,356,000 compared with $4,289,895,000 as of December 31, 2016. The following table sets forth the significant components of the balance sheet as of June 30, 2017 compared with December 31, 2016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632,951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2,889,007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2,921,374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598,131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137,439</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3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4,225,356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4,289,895</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358,338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 less current portion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722,802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705,453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72,618</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90,435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2,477,388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2,412,867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20" w:type="dxa"/>
            <w:vAlign w:val="bottom"/>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4,225,356</w:t>
            </w:r>
          </w:p>
        </w:tc>
        <w:tc>
          <w:tcPr>
            <w:tcW w:w="22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4,289,895</w:t>
            </w: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 assets as of June 30, 2017 decreased 5% compared with December 31, 2016. Trade accounts receivable decreased 3%, primarily a reflection of decreased business activity levels in the marine transportation segment partially offset by an increase in business activity levels in the land-based diesel engine services market. Inventory in the diesel engine services segment decreased 2% primarily due to decreases in the land-based inventory due to higher business activity levels and shipment of a large new equipment order during the 2017 first six months. Prepaid expenses and other current assets decreased 21% primarily due to amortization of insurance premiums.</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net of accumulated depreciation, at June 30, 2017 decreased 1% compared with December 31, 2016. The decrease reflected $86,220,000 of capital expenditures for the 2017 first six months, more fully described under Capital Expenditures Reflected on the Balance Sheet below, less $92,417,000 of depreciation expense for the 2017 first six months and $26,170,000 of property disposals during the 2017 first six months.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assets at June 30, 2017 decreased 2% compared with December 31, 2016, primarily due to amortization of intangibles other than goodwill and the amortization of major maintenance costs on ocean-going vessels, net of major maintenance drydock expenditures for the 2017 first six months.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Current liabilities as of June 30, 2017 decreased 5% compared with December 31, 2016. Accounts payable increased 6%, primarily due to increased business activity levels in the land-based diesel engine services market. Accrued liabilities decreased 7%, primarily from payment during the 2017 first six months of employee incentive compensation accrued during 2016 and a reduction in insurance claims payable. Deferred revenues decreased 21%, primarily reflecting decreased advanced billings in the land-based diesel engine services market and the coastal marine transportation market.</w:t>
      </w:r>
    </w:p>
    <w:p>
      <w:pPr>
        <w:spacing w:after="0" w:line="2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Long-term debt, less current portion, as of June 30, 2017 decreased 18% compared with December 31, 2016, reflecting payments of $130,643,000 on the Revolving Credit Facility during the 2017 first six months. Net deferred debt issue costs were $3,808,000 and $3,184,000 at June 30, 2017 and December 31, 2016, respectively. On June 26, 2017, the Company incurred $1,212,000 in debt issue costs as a result of amending its existing Revolving Credit Facility.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income taxes as of June 30, 2017 increased 5% compared with December 31, 2016. The increase was primarily due to the 2017 first six months deferred tax provision of $18,651,000 and an increase in deferred tax liabilities of $8,486,000 due to the adoption of ASU 2016-09 on January 1, 2017. The adoption reduced deferred tax assets by $8,486,000, which reflected the cumulative difference between the tax effect of stock-based compensation recognized for tax purposes and amounts recognized for financial reporting purposes, resulting in the recognition of a cumulative-effect adjustment to retained earnings of $8,486,000.</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long-term liabilities as of June 30, 2017 decreased 20% compared with December 31, 2016. The decrease was primarily due to a reduction in the pension liability related to a pension plan amendment on April 12, 2017 that lowered the projected benefit obligation of the pension plan by $33,433,000, partially offset by the accrual of pension expense during the 2017 first six months.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Total equity as of June 30, 2017 increased 3% compared with December 31, 2016. The increase was primarily the result of $53,261,000 of net earnings attributable to Kirby for the first six months of 2017, an increase in accumulated other comprehensive income (“OCI”) of $14,886,000, and a $7,577,000 decrease in treasury stock, partially offset by an $8,486,000 decrease in retained earnings due to the adoption of ASU 2016-09 and a decrease in additional paid-in capital of $2,662,000. The increase in accumulated OCI primarily resulted from the decrease in unrecognized losses related to the Company’s defined benefit plans driven by the pension plan amendment on April 12, 2017. The decrease in treasury stock was due to the issuance of restricted stock and the exercise of stock options in connection with stock award plans. The decrease in additional paid-in capital was mainly due to the issuance of restricted stock partially offset by the amortization of stock-based compensation during the 2017 first six months.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26, 2017, the Company entered into an amendment of its Revolving Credit Facility with a syndicate of banks, with JPMorgan Chase Bank, N.A. as the administrative agent bank, that increases the borrowing limit from $550,000,000 to $850,000,000 and extends the maturity date to June 26, 2022. In addition, the credit agreement allows for a $300,000,000 increase in the aggregate commitments of the banks in the form of revolving credit loans or term loans, subject to the consent of each bank that elects to participate in the increased commitment. The variable interest rate spread varies with the Company’s senior debt rating and is currently 1.00% over LIBOR or equal to an Alternate Base Rate calculated with reference to the agent bank’s prime rate, among other factors. The commitment fee is currently 0.10%. The Revolving Credit Facility contains certain restrictive financial covenants including an interest coverage ratio and a debt-to-capitalization ratio.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The Company recognized additional interest expense of $187,000 in the 2017 second quarter due to the write-off of certain deferred issue costs in connection with the amendment of the Revolving Credit Facility. As of June 30, 2017, the Company was in compliance with all Revolving Credit Facility covenants and had $95,353,000 of debt outstanding under the Revolving Credit Facility. The Revolving Credit Facility includes a $25,000,000 commitment which may be used for standby letters of credit. Outstanding letters of credit under the Revolving Credit Facility were $2,593,000 as of June 30, 2017.</w:t>
      </w:r>
    </w:p>
    <w:p>
      <w:pPr>
        <w:spacing w:after="0" w:line="2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June 30, 2017, the Company was in compliance with all Senior Notes Series A and Series B covenants and had $150,000,000 of Senior Notes Series A outstanding and $350,000,000 of Senior Notes Series B outstanding.</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$10,000,000 line of credit (“Credit Line”) with Bank of America, N.A. (“Bank of America”) for short-term liquidity needs and letters of credit, with a maturity date of June 30, 2019. The Credit Line allows the Company to borrow at an interest rate agreed to by Bank of America and the Company at the time each borrowing is made or continued. The Company had no borrowings outstanding under the Credit Line as of June 30, 2017. Outstanding letters of credit under the Credit Line were $1,247,000 as of June 30, 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Reflected on the Balance Sheet</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Capital expenditures for the 2017 first six months were $86,220,000, including $7,093,000 for inland tank barge and towboat construction, $1,704,000 for progress payments on the construction of a 155,000 barrel coastal ATB scheduled to be placed in service in the 2017 third quarter, $11,133,000 for progress payments on the construction of two 4900 horsepower coastal tugboats, $12,096,000 for progress payments on six 5000 horsepower coastal ATB tugboats, $608,000 in final costs for the construction of a 35,000 barrel coastal petrochemical tank barge, and $53,586,000 primarily for upgrading existing marine equipment, and marine transportation and diesel engine services facilities. Financing of the construction of the inland tank barges and the towboat, the coastal ATB, the coastal tugboats and the coastal petrochemical tank barge was through operating cash flows and available credit under the Company’s Revolving Credit Facility.</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2017 first six months, the Company took delivery of two new inland tank barges with a total capacity of approximately 57,000 barrels, retired 31 inland tank barges, reducing its capacity by approximately 587,000 barrels, brought one inland tank barge back into service with a capacity of 20,000 barrels and temporarily chartered one inland tank barge with a total capacity of approximately 11,000 barrels. The net result was a reduction of 27 inland tank barges and approximately 499,000 barrels of capacity during the first half of 2017.</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projects that capital expenditures for 2017 will be in the $165,000,000 to $185,000,000 range. The 2017 construction program will consist of six inland tank barges with a total capacity of 171,000 barrels and one inland towboat, progress payments on the construction of a 155,000 barrel coastal ATB scheduled to be placed in service in the 2017 third quarter, progress payments on the construction of two 4900 horsepower coastal tugboats and six 5000 horsepower coastal ATB tugboats and final costs on the construction of a 35,000 barrel coastal petrochemical tank barge. Based on current commitments, steel prices and projected delivery schedules, the Company’s 2017 payments on new inland tank barges and the towboat will be approximately $10,000,000, 2017 progress payments on the construction of the 155,000 barrel coastal ATB will be approximately $8,000,000, 2017 progress payments on the construction of the two 4900 horsepower coastal tugboats will be approximately $16,000,000, progress payments on the construction of the six 5000 horsepower coastal ATB tugboats will be approximately $25,000,000, and final costs on the construction of the 35,000 barrel coastal petrochemical tank barge will be approximately $1,000,000. The balance of approximately $105,000,000 to $125,000,000 is primarily capital upgrades and improvements to existing marine equipment, and marine transportation and diesel engine services facilities.</w:t>
      </w:r>
    </w:p>
    <w:p>
      <w:pPr>
        <w:spacing w:after="0" w:line="21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Funding for future capital expenditures is expected to be provided through operating cash flows and available credit under the Company’s Revolving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did not purchase any treasury stock during the first half of 2017. As of August 4, 2017, the Company had approximately 1,411,000 shares available under its existing repurchase authorization. Historically, treasury stock purchases have been financed through operating cash flows and borrowing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generated net cash provided by operating activities of $193,795,000 for the 2017 first six months compared with $211,617,000 for the 2016 first six months. The 2017 first six months experienced a net increase in cash flows from changes in operating assets and liabilities of $8,585,000 compared with a net decrease in the 2016 first six months of $8,523,000.</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August 4, 2017, $698,722,000 under its Revolving Credit Facility and $8,753,000 available under its Credit Line.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the pricing grid on its Revolving Credit Facility.</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Facility’s commitment is in the amount of $850,000,000 and expires June 26, 2022. The Senior Notes Series A and Senior Notes Series B do not mature until February 27, 2020 and February 27, 2023, respectively, and require no prepayments.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 in 2017. For a list of significant risks and uncertainties that could impact cash flows, see Note 13, Contingencies, in the financial statements, and Item 1A — Risk Factors and Note 13, Contingencies and Commitments, in the Company’s Annual Report on Form 10-K for the year ended December 31, 2016. Amounts available under the Company’s existing financial arrangements are subject to the Company continuing to meet the covenants of the credit facilities as described in Item 2, Management’s Discussion and Analysis of Financial Condition and Results of Operations under Long-Term Financing.</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$13,669,000 at June 30, 2017, including $4,110,000 in letters of credit and $9,559,000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21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diesel engine services segment is based on prevailing current market rates.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4" w:name="page35"/>
    <w:bookmarkEnd w:id="34"/>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2017 interest expense by $172,000 based on balances outstanding at December 31, 2016, and would change the fair value of the Company’s debt by less than 1%.</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Chief Executive Officer and the Chief Financial Officer, has evaluated the Company’s disclosure controls and procedures (as defined in Rule 13a-15(e) under the Securities Exchange Act of 1934 (“Exchange Act”)) as of June 30, 2017. Based on that evaluation, the Chief Executive Officer and the Chief Financial Officer concluded that, as of June 30, 2017, the disclosure controls and procedures were effective to ensure that information required to be disclosed by the Company in the reports that it files or submits under the Exchange Act is recorded, processed, summarized and reported within the time periods specified in the Securities and Exchange Commission’s rules and forms. There were no changes in the Company’s internal control over financial reporting during the quarter ended June 30, 2017 that have materially affected, or are reasonably likely to materially affect, the Company’s internal control over financial reporting.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2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0" w:type="dxa"/>
            <w:vAlign w:val="bottom"/>
          </w:tcPr>
          <w:p>
            <w:pPr>
              <w:spacing w:after="0"/>
              <w:rPr>
                <w:sz w:val="1"/>
                <w:szCs w:val="1"/>
                <w:color w:val="auto"/>
              </w:rPr>
            </w:pPr>
          </w:p>
        </w:tc>
      </w:tr>
      <w:tr>
        <w:trPr>
          <w:trHeight w:val="459"/>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7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7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74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  Amendment No. 1 to Purchase and Sale Agreement dated as of June 26, 2017 between Stewart &amp; Stevenson LLC and Kirby Corporation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5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2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40" w:hanging="1032"/>
        <w:spacing w:after="0"/>
        <w:tabs>
          <w:tab w:leader="none" w:pos="1040" w:val="left"/>
        </w:tabs>
        <w:numPr>
          <w:ilvl w:val="0"/>
          <w:numId w:val="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Certification Pursuant to 18 U.S.C. Section 1350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XBRL Instance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XBRL Taxonomy Extension Schema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660" w:right="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furnished herewith. In accordance with Rule 406T of Regulation S-T, these exhibits are not deemed to be filed or part of a registration statement or prospectus for purposes of Sections 11 or 12 of the Securities Act of 1933, as amended, are not deemed to be filed for purposes of Section 18 of the Securities Exchange Act of 1934, as amended, and otherwise are not subject to liability under those sections.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 C. ANDREW SMITH</w:t>
            </w:r>
          </w:p>
        </w:tc>
      </w:tr>
      <w:tr>
        <w:trPr>
          <w:trHeight w:val="182"/>
        </w:trPr>
        <w:tc>
          <w:tcPr>
            <w:tcW w:w="340" w:type="dxa"/>
            <w:vAlign w:val="bottom"/>
          </w:tcPr>
          <w:p>
            <w:pPr>
              <w:spacing w:after="0"/>
              <w:rPr>
                <w:sz w:val="15"/>
                <w:szCs w:val="15"/>
                <w:color w:val="auto"/>
              </w:rPr>
            </w:pPr>
          </w:p>
        </w:tc>
        <w:tc>
          <w:tcPr>
            <w:tcW w:w="5360" w:type="dxa"/>
            <w:vAlign w:val="bottom"/>
          </w:tcPr>
          <w:p>
            <w:pPr>
              <w:jc w:val="center"/>
              <w:ind w:right="250"/>
              <w:spacing w:after="0" w:line="182" w:lineRule="exact"/>
              <w:rPr>
                <w:sz w:val="20"/>
                <w:szCs w:val="20"/>
                <w:color w:val="auto"/>
              </w:rPr>
            </w:pPr>
            <w:r>
              <w:rPr>
                <w:rFonts w:ascii="Times New Roman" w:cs="Times New Roman" w:eastAsia="Times New Roman" w:hAnsi="Times New Roman"/>
                <w:sz w:val="18"/>
                <w:szCs w:val="18"/>
                <w:color w:val="auto"/>
                <w:w w:val="99"/>
              </w:rPr>
              <w:t>C. Andrew Smith</w:t>
            </w:r>
          </w:p>
        </w:tc>
      </w:tr>
      <w:tr>
        <w:trPr>
          <w:trHeight w:val="216"/>
        </w:trPr>
        <w:tc>
          <w:tcPr>
            <w:tcW w:w="340" w:type="dxa"/>
            <w:vAlign w:val="bottom"/>
          </w:tcPr>
          <w:p>
            <w:pPr>
              <w:spacing w:after="0"/>
              <w:rPr>
                <w:sz w:val="18"/>
                <w:szCs w:val="18"/>
                <w:color w:val="auto"/>
              </w:rPr>
            </w:pPr>
          </w:p>
        </w:tc>
        <w:tc>
          <w:tcPr>
            <w:tcW w:w="536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340" w:type="dxa"/>
            <w:vAlign w:val="bottom"/>
          </w:tcPr>
          <w:p>
            <w:pPr>
              <w:spacing w:after="0"/>
              <w:rPr>
                <w:sz w:val="20"/>
                <w:szCs w:val="20"/>
                <w:color w:val="auto"/>
              </w:rPr>
            </w:pPr>
          </w:p>
        </w:tc>
        <w:tc>
          <w:tcPr>
            <w:tcW w:w="536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2017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NO. 1 TO PURCHASE AND SALE AGREEMENT, dated as of June 26, 2017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amends that certain Purchase and Sale Agreement, dated as of June 13, 2017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Stewart &amp; Stevenson LLC, a Delaware limited liability company, and Kirby Corporation, a Nevada corporation. Capitalized terms used in this Amendment and not otherwise defined have the meaning ascribed to such terms in the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representations, warranties, covenants and agreements in this Amendment, and for other good and valuable consideration, the receipt and sufficiency of which are hereby acknowledged, and intending to be legally bound hereby, the Parties hereby agree as follows:</w:t>
      </w:r>
    </w:p>
    <w:p>
      <w:pPr>
        <w:sectPr>
          <w:pgSz w:w="11900" w:h="16838" w:orient="portrait"/>
          <w:cols w:equalWidth="0" w:num="1">
            <w:col w:w="11420"/>
          </w:cols>
          <w:pgMar w:left="240" w:top="283" w:right="239" w:bottom="1440" w:gutter="0" w:footer="0" w:header="0"/>
        </w:sectPr>
      </w:pPr>
    </w:p>
    <w:p>
      <w:pPr>
        <w:spacing w:after="0" w:line="226" w:lineRule="exact"/>
        <w:rPr>
          <w:sz w:val="20"/>
          <w:szCs w:val="20"/>
          <w:color w:val="auto"/>
        </w:rPr>
      </w:pPr>
    </w:p>
    <w:p>
      <w:pPr>
        <w:ind w:left="76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b w:val="1"/>
          <w:bCs w:val="1"/>
          <w:i w:val="1"/>
          <w:iCs w:val="1"/>
          <w:color w:val="auto"/>
        </w:rPr>
        <w:t>Amendment to Section 5.13</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5.13 is hereby deleted in its entirety and replaced with the following:</w:t>
      </w:r>
    </w:p>
    <w:p>
      <w:pPr>
        <w:spacing w:after="0" w:line="434" w:lineRule="exact"/>
        <w:rPr>
          <w:sz w:val="20"/>
          <w:szCs w:val="20"/>
          <w:color w:val="auto"/>
        </w:rPr>
      </w:pPr>
    </w:p>
    <w:p>
      <w:pPr>
        <w:sectPr>
          <w:pgSz w:w="11900" w:h="16838" w:orient="portrait"/>
          <w:cols w:equalWidth="0" w:num="2">
            <w:col w:w="4960" w:space="200"/>
            <w:col w:w="6260"/>
          </w:cols>
          <w:pgMar w:left="240" w:top="283" w:right="239" w:bottom="1440" w:gutter="0" w:footer="0" w:header="0"/>
          <w:type w:val="continuous"/>
        </w:sectPr>
      </w:pPr>
    </w:p>
    <w:p>
      <w:pPr>
        <w:spacing w:after="0" w:line="57" w:lineRule="exact"/>
        <w:rPr>
          <w:sz w:val="20"/>
          <w:szCs w:val="20"/>
          <w:color w:val="auto"/>
        </w:rPr>
      </w:pPr>
    </w:p>
    <w:p>
      <w:pPr>
        <w:ind w:left="7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b w:val="1"/>
          <w:bCs w:val="1"/>
          <w:i w:val="1"/>
          <w:iCs w:val="1"/>
          <w:color w:val="auto"/>
        </w:rPr>
        <w:t>Full Force and Effect</w:t>
      </w:r>
      <w:r>
        <w:rPr>
          <w:rFonts w:ascii="Times New Roman" w:cs="Times New Roman" w:eastAsia="Times New Roman" w:hAnsi="Times New Roman"/>
          <w:sz w:val="18"/>
          <w:szCs w:val="18"/>
          <w:color w:val="auto"/>
        </w:rPr>
        <w:t>. The Agreement, as amended by this Amendment, remains in full force and effect and is binding upon</w:t>
      </w:r>
    </w:p>
    <w:p>
      <w:pPr>
        <w:sectPr>
          <w:pgSz w:w="11900" w:h="16838" w:orient="portrait"/>
          <w:cols w:equalWidth="0" w:num="1">
            <w:col w:w="11420"/>
          </w:cols>
          <w:pgMar w:left="240" w:top="283" w:right="239" w:bottom="1440" w:gutter="0" w:footer="0" w:header="0"/>
          <w:type w:val="continuous"/>
        </w:sectPr>
      </w:pP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enforceable among the Parties in accordance with its terms.</w:t>
      </w:r>
    </w:p>
    <w:p>
      <w:pPr>
        <w:spacing w:after="0" w:line="257" w:lineRule="exact"/>
        <w:rPr>
          <w:sz w:val="20"/>
          <w:szCs w:val="20"/>
          <w:color w:val="auto"/>
        </w:rPr>
      </w:pPr>
    </w:p>
    <w:p>
      <w:pPr>
        <w:jc w:val="both"/>
        <w:ind w:left="1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b w:val="1"/>
          <w:bCs w:val="1"/>
          <w:i w:val="1"/>
          <w:iCs w:val="1"/>
          <w:color w:val="auto"/>
        </w:rPr>
        <w:t>Counterparts; Facsimile</w:t>
      </w:r>
      <w:r>
        <w:rPr>
          <w:rFonts w:ascii="Times New Roman" w:cs="Times New Roman" w:eastAsia="Times New Roman" w:hAnsi="Times New Roman"/>
          <w:sz w:val="18"/>
          <w:szCs w:val="18"/>
          <w:color w:val="auto"/>
        </w:rPr>
        <w:t>. This Amendment may be executed in any number of counterparts, each of which shall be deemed an original, but all of which together shall constitute one and the same instrument. Any facsimile or PDF copies hereof or signature hereon shall, for all purposes, be deemed originals.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type w:val="continuous"/>
        </w:sectPr>
      </w:pPr>
    </w:p>
    <w:bookmarkStart w:id="38" w:name="page39"/>
    <w:bookmarkEnd w:id="3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Amendment has been duly executed and delivered by the duly authorized officer of each Party as of the date first above written.</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STEWART &amp; STEVENSON LLC</w:t>
      </w:r>
    </w:p>
    <w:p>
      <w:pPr>
        <w:spacing w:after="0" w:line="225" w:lineRule="exact"/>
        <w:rPr>
          <w:sz w:val="20"/>
          <w:szCs w:val="20"/>
          <w:color w:val="auto"/>
        </w:rPr>
      </w:pPr>
    </w:p>
    <w:tbl>
      <w:tblPr>
        <w:tblLayout w:type="fixed"/>
        <w:tblInd w:w="5160" w:type="dxa"/>
        <w:tblCellMar>
          <w:top w:w="0" w:type="dxa"/>
          <w:left w:w="0" w:type="dxa"/>
          <w:bottom w:w="0" w:type="dxa"/>
          <w:right w:w="0" w:type="dxa"/>
        </w:tblCellMar>
      </w:tblPr>
      <w:tr>
        <w:trPr>
          <w:trHeight w:val="255"/>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Hushang Ansary</w:t>
            </w: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79"/>
              </w:rPr>
              <w:t>Name:</w:t>
            </w:r>
          </w:p>
        </w:tc>
        <w:tc>
          <w:tcPr>
            <w:tcW w:w="240" w:type="dxa"/>
            <w:vAlign w:val="bottom"/>
            <w:tcBorders>
              <w:top w:val="single" w:sz="8" w:color="auto"/>
            </w:tcBorders>
          </w:tcPr>
          <w:p>
            <w:pPr>
              <w:spacing w:after="0"/>
              <w:rPr>
                <w:sz w:val="17"/>
                <w:szCs w:val="17"/>
                <w:color w:val="auto"/>
              </w:rPr>
            </w:pPr>
          </w:p>
        </w:tc>
        <w:tc>
          <w:tcPr>
            <w:tcW w:w="4480" w:type="dxa"/>
            <w:vAlign w:val="bottom"/>
            <w:tcBorders>
              <w:top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Hushang Ansary</w:t>
            </w:r>
          </w:p>
        </w:tc>
      </w:tr>
      <w:tr>
        <w:trPr>
          <w:trHeight w:val="23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Chairman</w:t>
            </w:r>
          </w:p>
        </w:tc>
      </w:tr>
    </w:tbl>
    <w:p>
      <w:pPr>
        <w:spacing w:after="0" w:line="2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25" w:lineRule="exact"/>
        <w:rPr>
          <w:sz w:val="20"/>
          <w:szCs w:val="20"/>
          <w:color w:val="auto"/>
        </w:rPr>
      </w:pPr>
    </w:p>
    <w:p>
      <w:pPr>
        <w:ind w:left="5160"/>
        <w:spacing w:after="0"/>
        <w:tabs>
          <w:tab w:leader="none" w:pos="5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H. Pyne</w:t>
      </w:r>
    </w:p>
    <w:p>
      <w:pPr>
        <w:spacing w:after="0" w:line="36" w:lineRule="exact"/>
        <w:rPr>
          <w:sz w:val="20"/>
          <w:szCs w:val="20"/>
          <w:color w:val="auto"/>
        </w:rPr>
      </w:pPr>
    </w:p>
    <w:p>
      <w:pPr>
        <w:ind w:left="5160"/>
        <w:spacing w:after="0"/>
        <w:tabs>
          <w:tab w:leader="none" w:pos="59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Joseph H. Pyne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-127635</wp:posOffset>
            </wp:positionV>
            <wp:extent cx="30016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01645" cy="17145"/>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June 30, 2017 by Kirby Corporation, David W. Grzebinski certifies that:</w:t>
      </w:r>
    </w:p>
    <w:p>
      <w:pPr>
        <w:spacing w:after="0" w:line="18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June 30, 2017 by Kirby Corporation, C. Andrew Smith certifies that:</w:t>
      </w:r>
    </w:p>
    <w:p>
      <w:pPr>
        <w:spacing w:after="0" w:line="18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C. ANDREW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C. Andrew Smith</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June 30, 2017 (the “Report”) by Kirby Corporation (the “Company”), each of the undersigned hereby certifies that:</w:t>
      </w:r>
    </w:p>
    <w:p>
      <w:pPr>
        <w:spacing w:after="0" w:line="18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C. ANDREW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C. Andrew Smith</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6"/>
    </w:lvl>
  </w:abstractNum>
  <w:abstractNum w:abstractNumId="8">
    <w:nsid w:val="3352255A"/>
    <w:multiLevelType w:val="hybridMultilevel"/>
    <w:lvl w:ilvl="0">
      <w:lvlJc w:val="left"/>
      <w:lvlText w:val="(%1)"/>
      <w:numFmt w:val="decimal"/>
      <w:start w:val="7"/>
    </w:lvl>
  </w:abstractNum>
  <w:abstractNum w:abstractNumId="9">
    <w:nsid w:val="109CF92E"/>
    <w:multiLevelType w:val="hybridMultilevel"/>
    <w:lvl w:ilvl="0">
      <w:lvlJc w:val="left"/>
      <w:lvlText w:val="(%1)"/>
      <w:numFmt w:val="decimal"/>
      <w:start w:val="8"/>
    </w:lvl>
  </w:abstractNum>
  <w:abstractNum w:abstractNumId="10">
    <w:nsid w:val="DED7263"/>
    <w:multiLevelType w:val="hybridMultilevel"/>
    <w:lvl w:ilvl="0">
      <w:lvlJc w:val="left"/>
      <w:lvlText w:val="%1"/>
      <w:numFmt w:val="decimal"/>
      <w:start w:val="1"/>
    </w:lvl>
    <w:lvl w:ilvl="1">
      <w:lvlJc w:val="left"/>
      <w:lvlText w:val="(%2)"/>
      <w:numFmt w:val="lowerLetter"/>
      <w:start w:val="1"/>
    </w:lvl>
  </w:abstractNum>
  <w:abstractNum w:abstractNumId="11">
    <w:nsid w:val="7FDCC233"/>
    <w:multiLevelType w:val="hybridMultilevel"/>
    <w:lvl w:ilvl="0">
      <w:lvlJc w:val="left"/>
      <w:lvlText w:val="(%1)"/>
      <w:numFmt w:val="decimal"/>
      <w:start w:val="9"/>
    </w:lvl>
    <w:lvl w:ilvl="1">
      <w:lvlJc w:val="left"/>
      <w:lvlText w:val="%2"/>
      <w:numFmt w:val="lowerLetter"/>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2019-12-29T05:25:03Z</dcterms:created>
  <dcterms:modified xsi:type="dcterms:W3CDTF">2019-12-29T05:25:03Z</dcterms:modified>
</cp:coreProperties>
</file>