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210185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right="2140" w:firstLine="8"/>
        <w:spacing w:after="0" w:line="524"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right="1760" w:firstLine="8"/>
        <w:spacing w:after="0" w:line="532" w:lineRule="auto"/>
        <w:tabs>
          <w:tab w:leader="none" w:pos="48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68580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48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Nevada</w:t>
            </w:r>
          </w:p>
        </w:tc>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20" w:type="dxa"/>
            <w:vAlign w:val="bottom"/>
            <w:gridSpan w:val="2"/>
          </w:tcPr>
          <w:p>
            <w:pPr>
              <w:jc w:val="right"/>
              <w:ind w:right="2330"/>
              <w:spacing w:after="0"/>
              <w:rPr>
                <w:sz w:val="20"/>
                <w:szCs w:val="20"/>
                <w:color w:val="auto"/>
              </w:rPr>
            </w:pPr>
            <w:r>
              <w:rPr>
                <w:rFonts w:ascii="Arial" w:cs="Arial" w:eastAsia="Arial" w:hAnsi="Arial"/>
                <w:sz w:val="18"/>
                <w:szCs w:val="18"/>
                <w:b w:val="1"/>
                <w:bCs w:val="1"/>
                <w:color w:val="auto"/>
              </w:rPr>
              <w:t>74-1884980</w:t>
            </w:r>
          </w:p>
        </w:tc>
      </w:tr>
      <w:tr>
        <w:trPr>
          <w:trHeight w:val="216"/>
        </w:trPr>
        <w:tc>
          <w:tcPr>
            <w:tcW w:w="6800" w:type="dxa"/>
            <w:vAlign w:val="bottom"/>
            <w:gridSpan w:val="3"/>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62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216"/>
        </w:trPr>
        <w:tc>
          <w:tcPr>
            <w:tcW w:w="6800" w:type="dxa"/>
            <w:vAlign w:val="bottom"/>
            <w:gridSpan w:val="3"/>
          </w:tcPr>
          <w:p>
            <w:pPr>
              <w:jc w:val="center"/>
              <w:ind w:right="970"/>
              <w:spacing w:after="0"/>
              <w:rPr>
                <w:sz w:val="20"/>
                <w:szCs w:val="20"/>
                <w:color w:val="auto"/>
              </w:rPr>
            </w:pPr>
            <w:r>
              <w:rPr>
                <w:rFonts w:ascii="Arial" w:cs="Arial" w:eastAsia="Arial" w:hAnsi="Arial"/>
                <w:sz w:val="18"/>
                <w:szCs w:val="18"/>
                <w:b w:val="1"/>
                <w:bCs w:val="1"/>
                <w:color w:val="auto"/>
                <w:w w:val="91"/>
              </w:rPr>
              <w:t>55 Waugh Drive, Suite 1000</w:t>
            </w:r>
          </w:p>
        </w:tc>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348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Houston, Texas</w:t>
            </w:r>
          </w:p>
        </w:tc>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20" w:type="dxa"/>
            <w:vAlign w:val="bottom"/>
            <w:gridSpan w:val="2"/>
          </w:tcPr>
          <w:p>
            <w:pPr>
              <w:jc w:val="right"/>
              <w:ind w:right="2530"/>
              <w:spacing w:after="0"/>
              <w:rPr>
                <w:sz w:val="20"/>
                <w:szCs w:val="20"/>
                <w:color w:val="auto"/>
              </w:rPr>
            </w:pPr>
            <w:r>
              <w:rPr>
                <w:rFonts w:ascii="Arial" w:cs="Arial" w:eastAsia="Arial" w:hAnsi="Arial"/>
                <w:sz w:val="18"/>
                <w:szCs w:val="18"/>
                <w:b w:val="1"/>
                <w:bCs w:val="1"/>
                <w:color w:val="auto"/>
              </w:rPr>
              <w:t>77007</w:t>
            </w:r>
          </w:p>
        </w:tc>
      </w:tr>
      <w:tr>
        <w:trPr>
          <w:trHeight w:val="234"/>
        </w:trPr>
        <w:tc>
          <w:tcPr>
            <w:tcW w:w="6800" w:type="dxa"/>
            <w:vAlign w:val="bottom"/>
            <w:gridSpan w:val="3"/>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60" w:type="dxa"/>
            <w:vAlign w:val="bottom"/>
          </w:tcPr>
          <w:p>
            <w:pPr>
              <w:spacing w:after="0"/>
              <w:rPr>
                <w:sz w:val="20"/>
                <w:szCs w:val="20"/>
                <w:color w:val="auto"/>
              </w:rPr>
            </w:pPr>
          </w:p>
        </w:tc>
        <w:tc>
          <w:tcPr>
            <w:tcW w:w="3760" w:type="dxa"/>
            <w:vAlign w:val="bottom"/>
          </w:tcPr>
          <w:p>
            <w:pPr>
              <w:jc w:val="center"/>
              <w:ind w:right="1850"/>
              <w:spacing w:after="0"/>
              <w:rPr>
                <w:sz w:val="20"/>
                <w:szCs w:val="20"/>
                <w:color w:val="auto"/>
              </w:rPr>
            </w:pPr>
            <w:r>
              <w:rPr>
                <w:rFonts w:ascii="Arial" w:cs="Arial" w:eastAsia="Arial" w:hAnsi="Arial"/>
                <w:sz w:val="18"/>
                <w:szCs w:val="18"/>
                <w:b w:val="1"/>
                <w:bCs w:val="1"/>
                <w:color w:val="auto"/>
                <w:w w:val="92"/>
              </w:rPr>
              <w:t>(Zip Code)</w:t>
            </w:r>
          </w:p>
        </w:tc>
      </w:tr>
      <w:tr>
        <w:trPr>
          <w:trHeight w:val="441"/>
        </w:trPr>
        <w:tc>
          <w:tcPr>
            <w:tcW w:w="3480" w:type="dxa"/>
            <w:vAlign w:val="bottom"/>
          </w:tcPr>
          <w:p>
            <w:pPr>
              <w:spacing w:after="0"/>
              <w:rPr>
                <w:sz w:val="24"/>
                <w:szCs w:val="24"/>
                <w:color w:val="auto"/>
              </w:rPr>
            </w:pPr>
          </w:p>
        </w:tc>
        <w:tc>
          <w:tcPr>
            <w:tcW w:w="7940" w:type="dxa"/>
            <w:vAlign w:val="bottom"/>
            <w:gridSpan w:val="4"/>
          </w:tcPr>
          <w:p>
            <w:pPr>
              <w:jc w:val="center"/>
              <w:ind w:right="337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3480" w:type="dxa"/>
            <w:vAlign w:val="bottom"/>
          </w:tcPr>
          <w:p>
            <w:pPr>
              <w:spacing w:after="0"/>
              <w:rPr>
                <w:sz w:val="20"/>
                <w:szCs w:val="20"/>
                <w:color w:val="auto"/>
              </w:rPr>
            </w:pPr>
          </w:p>
        </w:tc>
        <w:tc>
          <w:tcPr>
            <w:tcW w:w="332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0"/>
              </w:rPr>
              <w:t>(713) 435-1000</w:t>
            </w:r>
          </w:p>
        </w:tc>
        <w:tc>
          <w:tcPr>
            <w:tcW w:w="8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9"/>
        </w:trPr>
        <w:tc>
          <w:tcPr>
            <w:tcW w:w="3480" w:type="dxa"/>
            <w:vAlign w:val="bottom"/>
          </w:tcPr>
          <w:p>
            <w:pPr>
              <w:spacing w:after="0"/>
              <w:rPr>
                <w:sz w:val="24"/>
                <w:szCs w:val="24"/>
                <w:color w:val="auto"/>
              </w:rPr>
            </w:pPr>
          </w:p>
        </w:tc>
        <w:tc>
          <w:tcPr>
            <w:tcW w:w="7940" w:type="dxa"/>
            <w:vAlign w:val="bottom"/>
            <w:gridSpan w:val="4"/>
          </w:tcPr>
          <w:p>
            <w:pPr>
              <w:jc w:val="center"/>
              <w:ind w:right="33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0"/>
        </w:trPr>
        <w:tc>
          <w:tcPr>
            <w:tcW w:w="3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r>
        <w:trPr>
          <w:trHeight w:val="223"/>
        </w:trPr>
        <w:tc>
          <w:tcPr>
            <w:tcW w:w="348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90"/>
              </w:rPr>
              <w:t>Title of each class</w:t>
            </w:r>
          </w:p>
        </w:tc>
        <w:tc>
          <w:tcPr>
            <w:tcW w:w="32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2"/>
              </w:rPr>
              <w:t>Trading Symbol(s)</w:t>
            </w:r>
          </w:p>
        </w:tc>
        <w:tc>
          <w:tcPr>
            <w:tcW w:w="8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48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Common Stock</w:t>
            </w:r>
          </w:p>
        </w:tc>
        <w:tc>
          <w:tcPr>
            <w:tcW w:w="32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KEX</w:t>
            </w:r>
          </w:p>
        </w:tc>
        <w:tc>
          <w:tcPr>
            <w:tcW w:w="8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66040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8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 w:name="page2"/>
    <w:bookmarkEnd w:id="1"/>
    <w:p>
      <w:pPr>
        <w:jc w:val="both"/>
        <w:ind w:firstLine="324"/>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87"/>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18"/>
        </w:trPr>
        <w:tc>
          <w:tcPr>
            <w:tcW w:w="1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09"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2019, based on the closing sales price of such stock on the New York Stock Exchange on June 30, 2019, was $4,675,308,000.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20, 2020, 59,984,000 shares of common stock were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Portions of the Company’s definitive proxy statement in connection with the Annual Meeting of Stockholders to be held April 28, 2020, to be filed with the Commission pursuant to Regulation 14A, are incorporated by reference into Part III of this report.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rPr>
              <w:t>KIRBY CORPORATION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gridSpan w:val="5"/>
          </w:tcPr>
          <w:p>
            <w:pPr>
              <w:jc w:val="center"/>
              <w:ind w:right="3540"/>
              <w:spacing w:after="0"/>
              <w:rPr>
                <w:sz w:val="20"/>
                <w:szCs w:val="20"/>
                <w:color w:val="auto"/>
              </w:rPr>
            </w:pPr>
            <w:r>
              <w:rPr>
                <w:rFonts w:ascii="Arial" w:cs="Arial" w:eastAsia="Arial" w:hAnsi="Arial"/>
                <w:sz w:val="18"/>
                <w:szCs w:val="18"/>
                <w:b w:val="1"/>
                <w:bCs w:val="1"/>
                <w:color w:val="auto"/>
                <w:w w:val="97"/>
              </w:rPr>
              <w:t>2019 FORM 10-K</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780" w:type="dxa"/>
            <w:vAlign w:val="bottom"/>
            <w:gridSpan w:val="41"/>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3"/>
        </w:trPr>
        <w:tc>
          <w:tcPr>
            <w:tcW w:w="10780" w:type="dxa"/>
            <w:vAlign w:val="bottom"/>
            <w:gridSpan w:val="41"/>
            <w:vMerge w:val="continue"/>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760" w:type="dxa"/>
            <w:vAlign w:val="bottom"/>
            <w:gridSpan w:val="40"/>
            <w:shd w:val="clear" w:color="auto" w:fill="CCEEFF"/>
          </w:tcPr>
          <w:p>
            <w:pPr>
              <w:ind w:left="120"/>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Documents and Information Available on Website</w:t>
              </w:r>
            </w:hyperlink>
          </w:p>
        </w:tc>
        <w:tc>
          <w:tcPr>
            <w:tcW w:w="66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 AND PROPERTY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MARINE TRANSPORTATION</w:t>
              </w:r>
            </w:hyperlink>
          </w:p>
        </w:tc>
        <w:tc>
          <w:tcPr>
            <w:tcW w:w="81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Marine Transportation Industry Fundamentals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300" w:type="dxa"/>
            <w:vAlign w:val="bottom"/>
            <w:gridSpan w:val="3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Inland Tank Barge Industry</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00" w:type="dxa"/>
            <w:vAlign w:val="bottom"/>
            <w:gridSpan w:val="3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Coastal Tank Barge Industry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Competition in the Tank Barge Industry</w:t>
              </w:r>
            </w:hyperlink>
          </w:p>
        </w:tc>
        <w:tc>
          <w:tcPr>
            <w:tcW w:w="74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Products Transported</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Demand Drivers in the Tank Barge Industry</w:t>
              </w:r>
            </w:hyperlink>
          </w:p>
        </w:tc>
        <w:tc>
          <w:tcPr>
            <w:tcW w:w="71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Marine Transportation Operations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Contracts and Customers</w:t>
              </w:r>
            </w:hyperlink>
          </w:p>
        </w:tc>
        <w:tc>
          <w:tcPr>
            <w:tcW w:w="848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Employees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Properties</w:t>
              </w:r>
            </w:hyperlink>
          </w:p>
        </w:tc>
        <w:tc>
          <w:tcPr>
            <w:tcW w:w="9560" w:type="dxa"/>
            <w:vAlign w:val="bottom"/>
            <w:tcBorders>
              <w:bottom w:val="single" w:sz="8" w:color="CCEEFF"/>
            </w:tcBorders>
            <w:gridSpan w:val="3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Governmental Regulations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300" w:type="dxa"/>
            <w:vAlign w:val="bottom"/>
            <w:gridSpan w:val="37"/>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Environmental Regulations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DISTRIBUTION AND SERVICES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300" w:type="dxa"/>
            <w:vAlign w:val="bottom"/>
            <w:gridSpan w:val="3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Oil and Gas Operations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gridSpan w:val="10"/>
          </w:tcPr>
          <w:p>
            <w:pPr>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Oil and Gas Customers</w:t>
              </w:r>
            </w:hyperlink>
          </w:p>
        </w:tc>
        <w:tc>
          <w:tcPr>
            <w:tcW w:w="8600" w:type="dxa"/>
            <w:vAlign w:val="bottom"/>
            <w:tcBorders>
              <w:top w:val="single" w:sz="8" w:color="CCEEFF"/>
            </w:tcBorders>
            <w:gridSpan w:val="2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Oil and Gas Competitive Conditions</w:t>
              </w:r>
            </w:hyperlink>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Commercial and Industrial Operations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Commercial and Industrial Customers</w:t>
              </w:r>
            </w:hyperlink>
          </w:p>
        </w:tc>
        <w:tc>
          <w:tcPr>
            <w:tcW w:w="7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gridSpan w:val="38"/>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Commercial and Industrial Competitive Conditions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300" w:type="dxa"/>
            <w:vAlign w:val="bottom"/>
            <w:gridSpan w:val="3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Employees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0" w:type="dxa"/>
            <w:vAlign w:val="bottom"/>
            <w:tcBorders>
              <w:top w:val="single" w:sz="8" w:color="0000EE"/>
            </w:tcBorders>
            <w:gridSpan w:val="2"/>
          </w:tcPr>
          <w:p>
            <w:pPr>
              <w:spacing w:after="0" w:line="17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Properties</w:t>
              </w:r>
            </w:hyperlink>
          </w:p>
        </w:tc>
        <w:tc>
          <w:tcPr>
            <w:tcW w:w="9500" w:type="dxa"/>
            <w:vAlign w:val="bottom"/>
            <w:tcBorders>
              <w:top w:val="single" w:sz="8" w:color="CCEEFF"/>
            </w:tcBorders>
            <w:gridSpan w:val="3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40" w:type="dxa"/>
            <w:vAlign w:val="bottom"/>
            <w:gridSpan w:val="38"/>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shd w:val="clear" w:color="auto" w:fill="CCEEFF"/>
          </w:tcPr>
          <w:p>
            <w:pPr>
              <w:ind w:left="1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1B. Unresolved Staff Comments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2. Properties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shd w:val="clear" w:color="auto" w:fill="CCEEFF"/>
          </w:tcPr>
          <w:p>
            <w:pPr>
              <w:ind w:left="1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 Legal Proceedings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40"/>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5. Market for Registrant’s Common Equity, Related Stockholder Matters and Issuer Purchases of Equity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shd w:val="clear" w:color="auto" w:fill="CCEEFF"/>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 Selected Financial Data</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7. Management’s Discussion and Analysis of Financial Condition and Results of Operations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shd w:val="clear" w:color="auto" w:fill="CCEEFF"/>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7A. Quantitative and Qualitative Disclosures about Market Risk</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8. Financial Statements and Supplementary Data</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shd w:val="clear" w:color="auto" w:fill="CCEEFF"/>
          </w:tcPr>
          <w:p>
            <w:pPr>
              <w:ind w:left="1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9. Changes in and Disagreements with Accountants on Accounting and Financial Disclosure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9A. Controls and Procedures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40"/>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Items 10 Through 14</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40"/>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40"/>
          </w:tcPr>
          <w:p>
            <w:pPr>
              <w:ind w:left="12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15. Exhibits and Financial Statement Schedules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140" w:type="dxa"/>
            <w:vAlign w:val="bottom"/>
            <w:gridSpan w:val="2"/>
          </w:tcPr>
          <w:p>
            <w:pPr>
              <w:spacing w:after="0"/>
              <w:rPr>
                <w:sz w:val="24"/>
                <w:szCs w:val="24"/>
                <w:color w:val="auto"/>
              </w:rPr>
            </w:pPr>
          </w:p>
        </w:tc>
        <w:tc>
          <w:tcPr>
            <w:tcW w:w="3800" w:type="dxa"/>
            <w:vAlign w:val="bottom"/>
            <w:tcBorders>
              <w:top w:val="single" w:sz="8" w:color="0000EE"/>
            </w:tcBorders>
            <w:gridSpan w:val="31"/>
          </w:tcPr>
          <w:p>
            <w:pPr>
              <w:spacing w:after="0"/>
              <w:rPr>
                <w:sz w:val="24"/>
                <w:szCs w:val="24"/>
                <w:color w:val="auto"/>
              </w:rPr>
            </w:pPr>
          </w:p>
        </w:tc>
        <w:tc>
          <w:tcPr>
            <w:tcW w:w="3220" w:type="dxa"/>
            <w:vAlign w:val="bottom"/>
            <w:gridSpan w:val="5"/>
          </w:tcPr>
          <w:p>
            <w:pPr>
              <w:jc w:val="center"/>
              <w:ind w:left="248"/>
              <w:spacing w:after="0"/>
              <w:rPr>
                <w:sz w:val="20"/>
                <w:szCs w:val="20"/>
                <w:color w:val="auto"/>
              </w:rPr>
            </w:pPr>
            <w:r>
              <w:rPr>
                <w:rFonts w:ascii="Arial" w:cs="Arial" w:eastAsia="Arial" w:hAnsi="Arial"/>
                <w:sz w:val="14"/>
                <w:szCs w:val="14"/>
                <w:color w:val="auto"/>
                <w:w w:val="76"/>
              </w:rPr>
              <w:t>3</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Kirby Corporation (the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also operates four offshore dry-bulk cargo barges, four offshore tugboats and one docking tugboat transporting dry-bulk commodities in the United States coastal trade.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all references herein to the Company include the Company and its subsidiaries.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executive office is located at 55 Waugh Drive, Suite 1000, Houston, Texas 77007, and its telephone number is (713) 435-1000. The Company’s mailing address is P.O. Box 1745, Houston, Texas 77251-1745. Kirby Corporation is a Nevada corporation and was incorporated in 1969 although the history of the Company goes back to 1921.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and Information Available on Website</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Internet address of the Company’s website is http://www.kirbycorp.com. The Company makes available free of charge through its website, all of its filings with the Securities and Exchange Commission (“SEC”), including its Annual Report on Form 10-K, Quarterly Reports on Form 10-Q, Current Reports on Form 8-K and amendments to those reports, as soon as reasonably practicable after they are electronically filed with or furnished to the SEC.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available on the Company’s website in the Investor Relations section under Corporate Governance:</w:t>
      </w:r>
    </w:p>
    <w:p>
      <w:pPr>
        <w:spacing w:after="0" w:line="252"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Governance Committee Charter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Ethics Guidelines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PROPERTY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through its subsidiaries, conducts operations in two reportable business segments: marine transportation and distribution and services.</w:t>
      </w:r>
    </w:p>
    <w:p>
      <w:pPr>
        <w:spacing w:after="0" w:line="2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approximately 5,700 employees, the large majority of whom are in the United States.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marine transportation segment is primarily a provider of transportation services by tank barge for the inland and coastal markets. As of December 31, 2019, the equipment owned or operated by the marine transportation segment consisted of 1,053 inland tank barges with 23.4 million barrels of capacity, 299 inland towboats, 49 coastal tank barges with 4.7 million barrels of capacity, 47 coastal tugboats, four offshore dry-bulk cargo barges, four offshore tugboats and one docking tugboat with the following specifications and capacities: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in</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 age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Barrel</w:t>
            </w:r>
          </w:p>
        </w:tc>
        <w:tc>
          <w:tcPr>
            <w:tcW w:w="0" w:type="dxa"/>
            <w:vAlign w:val="bottom"/>
          </w:tcPr>
          <w:p>
            <w:pPr>
              <w:spacing w:after="0"/>
              <w:rPr>
                <w:sz w:val="1"/>
                <w:szCs w:val="1"/>
                <w:color w:val="auto"/>
              </w:rPr>
            </w:pPr>
          </w:p>
        </w:tc>
      </w:tr>
      <w:tr>
        <w:trPr>
          <w:trHeight w:val="24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Class of equipment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class</w:t>
            </w: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 years)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capacities</w:t>
            </w:r>
          </w:p>
        </w:tc>
        <w:tc>
          <w:tcPr>
            <w:tcW w:w="0" w:type="dxa"/>
            <w:vAlign w:val="bottom"/>
          </w:tcPr>
          <w:p>
            <w:pPr>
              <w:spacing w:after="0"/>
              <w:rPr>
                <w:sz w:val="1"/>
                <w:szCs w:val="1"/>
                <w:color w:val="auto"/>
              </w:rPr>
            </w:pP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Inland tank barges (owned and leased):</w:t>
            </w:r>
          </w:p>
        </w:tc>
        <w:tc>
          <w:tcPr>
            <w:tcW w:w="11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Regular double hull:</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20,000 barrels and under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Over 20,000 barrels</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637</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18,279,000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Specialty double hull</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inland tank barges</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1,053</w:t>
            </w:r>
          </w:p>
        </w:tc>
        <w:tc>
          <w:tcPr>
            <w:tcW w:w="3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w:t>
            </w:r>
          </w:p>
        </w:tc>
        <w:tc>
          <w:tcPr>
            <w:tcW w:w="38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23,386,000</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Inland towboats (owned and chartered):</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to 1300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1400 to 1900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29.8</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2000 to 2400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2500 to 3200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3300 to 4800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Greater than 5000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30.0</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inland towboats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Coastal tank barges (owned and leased):</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30,000 barrels and under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50,000 to 70,000 barrels</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80,000 to 90,000 barrels</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1000" w:type="dxa"/>
            <w:vAlign w:val="bottom"/>
          </w:tcPr>
          <w:p>
            <w:pPr>
              <w:jc w:val="right"/>
              <w:spacing w:after="0"/>
              <w:rPr>
                <w:sz w:val="20"/>
                <w:szCs w:val="20"/>
                <w:color w:val="auto"/>
              </w:rPr>
            </w:pPr>
            <w:r>
              <w:rPr>
                <w:rFonts w:ascii="Arial" w:cs="Arial" w:eastAsia="Arial" w:hAnsi="Arial"/>
                <w:sz w:val="18"/>
                <w:szCs w:val="18"/>
                <w:color w:val="auto"/>
              </w:rPr>
              <w:t>1,586,000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100,000 to 110,000 barrels</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120,000 to 150,000 barrels</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20.8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648,000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 150,000 barrels</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1,365,000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coastal tank barges</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3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w:t>
            </w:r>
          </w:p>
        </w:tc>
        <w:tc>
          <w:tcPr>
            <w:tcW w:w="38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4,703,000</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Coastal tugboats (owned and chartered):</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1000 to 1900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2000 to 2900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44.1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3000 to 3900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4000 to 4900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5000 to 6900 horsepower</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Greater than 7000 horsepower</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15.2</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coastal tugboats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Deadweight</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Tonnage</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Offshore dry-bulk cargo barges (owned)</w:t>
            </w:r>
          </w:p>
        </w:tc>
        <w:tc>
          <w:tcPr>
            <w:tcW w:w="3820" w:type="dxa"/>
            <w:vAlign w:val="bottom"/>
            <w:tcBorders>
              <w:top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4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Offshore tugboats and docking tugboat (owned and chartered)</w:t>
            </w:r>
          </w:p>
        </w:tc>
        <w:tc>
          <w:tcPr>
            <w:tcW w:w="3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1536"/>
              <w:spacing w:after="0"/>
              <w:rPr>
                <w:sz w:val="20"/>
                <w:szCs w:val="20"/>
                <w:color w:val="auto"/>
              </w:rPr>
            </w:pPr>
            <w:r>
              <w:rPr>
                <w:rFonts w:ascii="Arial" w:cs="Arial" w:eastAsia="Arial" w:hAnsi="Arial"/>
                <w:sz w:val="14"/>
                <w:szCs w:val="14"/>
                <w:color w:val="auto"/>
              </w:rPr>
              <w:t>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0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299 inland towboats, 47 coastal tugboats, four offshore tugboats and one docking tugboat provide the power source and the 1,053 inland tank barges, 49 coastal tank barges and four offshore dry-bulk cargo barges provide the freight capacity for the marine transportation segment. When the power source and freight capacity are combined, the unit is called a tow. The Company’s inland tows generally consist of one towboat and from one to up to 25 tank barges, depending upon the horsepower of the towboat, the waterway infrastructure capacity and conditions, and customer requirements. The Company’s coastal and offshore tows primarily consist of one tugboat and one tank barge or dry-bulk cargo barge.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Industry Fundamentals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and black oil, including crude oil and natural gas condensate, is distributed regionally from refineries and terminals along the United States coast to refineries, power plants and distribution terminals.</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Based on cost and safety, barge transportation is often the most efficient and safest means of surface transportation of bulk commodities when compared with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23.4 million barrels equates to approximately 39,100 railroad tank cars or approximately 122,500 tractor-trailer tank trucks. Furthermore, barging is much more energy efficient. One ton of bulk product can be carried 647 miles by inland barge on one gallon of fuel, compared with 477 miles by railcar or 145 miles by truck. In the coastal trade, the carrying capacity of a 100,000 barrel tank barge is the equivalent of approximately 165 railroad tank cars or approximately 525 tractor-trailer tank trucks. The Company’s coastal tank barge fleet capacity of 4.7 million barrels equates to approximately 7,900 railroad tank cars or approximately 24,600 tractor-trailer tank trucks. Marine transportation generally involves less urban exposure than railroad or truck transportation and operates on a system with few crossing junctures and in areas relatively remote from population centers. These factors generally reduce the number of waterway incidents.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Inland Tank Barge Industry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within the United States inland tank barge industry, a diverse and independent mixture of approximately 30 large integrated transportation companies and small operators, as well as captive fleets owned by United States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number of tank barges that operate on the inland waterways of the United States declined from an estimated 4,200 in 1982 to 2,900 in 1993, remained relatively constant at 2,900 until 2002, decreased to 2,750 from 2002 through 2006, and then increased over the years to approximately 3,850 by the end of 2015 and 2016, and slightly decreased to an estimated 3,825 at the end of 2017 and an estimated 3,800 at the end of 2018 and increased slightly to an estimated 3,850 at the end of 2019. The Company believes the decrease from 4,200 in 1982 to 2,750 in 2006 primarily resulted from: the increasing age of the domestic tank barge fleet, resulting in scrapping; rates inadequate to justify new construction; a reduction in tax incentives, which previously encouraged speculative construction of new equipment; stringent operating standards to adequately cope with safety and environmental risk; the elimination of government regulations and programs supporting the many new small refineries and the proliferation of oil traders which created a strong demand for tank barge services; an increase in the average capacity per barge; and an increase in environmental regulations that mandate expensive equipment modification, which some owners were unwilling or unable to undertake given capital constraints and the age of their fleets. The cost of tank barge hull work for required periodic United States Coast Guard (“USCG”) certifications, as well as general safety and environmental concerns, force operators to periodically reassess their ability to recover maintenance costs. The increase from 2,750 in 2006 to approximately 3,850 by the end of 2016 primarily resulted from increased barge construction and deferred retirements due to strong demand and resulting capacity shortages. The number of industry tank barges has remained relatively constant from 2016 through the end of 2019. The Company’s 1,053 inland tank barges represent approximately 27% of the industry’s 3,850 inland tank barges.</w:t>
      </w:r>
    </w:p>
    <w:p>
      <w:pPr>
        <w:spacing w:after="0" w:line="2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2017 and 2018, the Company estimated that industry-wide 75 tank barges were placed in service and 100 tank barges were retired each year. For 2019, the Company estimated that industry-wide 150 tank barges were placed in service and 100 tank barges were retired. During 2017, the decline in industry-wide demand for the movement of crude oil and natural gas condensate, and the subsequent transfer of inland crude oil barges to other tank barge markets, created excess industry-wide tank barge capacity. During 2018 and 2019, demand for inland tank barge transportation and industry utilization rates increased above 90% due to a favorable pricing environment for customers’ products, new petrochemical industry capacity that led to increased movements of petrochemicals, and higher volumes of crude oil moved from the northern U.S. to the Gulf Coast. As a result of these improved market conditions, the Company estimates that approximately 150 tank barges were ordered for delivery throughout 2019. The risk of an oversupply of tank barges may be mitigated by increased petrochemical, black oil and refined petroleum products volumes from increased production from current facilities, plant expansions or the opening of new facilities, and the fact that the inland tank barge industry has approximately 350 tank barges over 30 years old and approximately 240 of those are over 40 years old, which could lead to retirement of older tank barges. The average age of the nation’s inland tank barge fleet is approximately 15 years.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inland marine transportation segment also owns a shifting operation and fleeting facility for dry cargo barges and tank barges on the Houston Ship Channel and in Freeport, Texas, and a shipyard for the building of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Coastal Tank Barge Industry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operates in the United States coastal tank barge industry, operating tank barges in the 195,000 barrel or less category. This market is composed of approximately 20 large integrated transportation companies and small operators. The 195,000 barrel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number of coastal tank barges that operate in the 195,000 barrel or less category is approximately 280, of which the Company operates 49 or approximately 18%. The average age of the nation’s coastal tank barge fleet is approximately 13 years. In June 2018, the Company purchased a 155,000 barrel coastal articulated tank barge and tugboat unit (“ATB”) under construction from another operator that was delivered to the Company in the 2018 fourth quarter. The Company is aware of four coastal ATBs under construction by competitors for delivery in 2020 and 2021, including two that are in the 195,000 barrels or less category and two that are over 195,000 barrels. The coastal tank barge fleet has approximately 20 tank barges over 25 years old. The number of older tank barges, coupled with low industry-wide utilization levels and ballast water treatment regulations, could lead to further retirements of older tank barges in the next few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the Tank Barge Industry</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tank barge industry remains very competitive. Competition in this business is based on price and reliability, and with many of the industry’s customers emphasis on enhanced vetting requirements, an increased emphasis on safety, the environment, and quality, frequently requiring that their supplier of tank barge services have the capability to handle a variety of tank barge requirements. These requirements include distribution capability throughout the inland waterway system and coastal markets, with high levels of flexibility, and an emphasis on safety, environmental responsibility and financial responsibility, as well as adequate insurance and high quality of service consistent with the customer’s own operational standards.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inland markets, the Company’s direct competitors are primarily noncaptive inland tank barge operators. “Captive” fleets are owned by major oil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1,053 tank barges as of December 31, 2019, or approximately 27% of the estimated total number of domestic inland tank barges.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coastal markets, the Company’s direct competitors are the operators of United States tank barges in the 195,000 barrels or less category. Coastal tank barges in the 195,000 barrels or less category have the ability to enter the large majority of coastal ports. Ocean-going tank barges and United States product tankers in the 300,000 barrels plus category, excluding the fleet of large tankers dedicated to Alaska crude oil transportation, primarily move large volumes of refined petroleum products within the Gulf of Mexico with occasional movements from the Gulf Coast to the East Coast, along the West Coast and from Texas and Louisiana to Florida. There are approximately 45 such vessels and, because of their size, their access to ports is limited by terminal size and draft restrictions.</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Transported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transports petrochemicals, black oil, refined petroleum products and agricultural chemicals by tank barge throughout the Mississippi River System, on the Gulf Intracoastal Waterway, coastwise along all three United States coasts and in Alaska and Hawaii. During 2019, the Company’s inland marine transportation operation moved over 50 million tons of liquid cargo on the United States inland waterway system.</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Petrochemicals. </w:t>
      </w:r>
      <w:r>
        <w:rPr>
          <w:rFonts w:ascii="Arial" w:cs="Arial" w:eastAsia="Arial" w:hAnsi="Arial"/>
          <w:sz w:val="17"/>
          <w:szCs w:val="17"/>
          <w:color w:val="auto"/>
        </w:rPr>
        <w:t>Bulk liquid petrochemicals transported include such products as benzene, styrene, methanol, acrylonitrile, xylene, naphtha and</w:t>
      </w:r>
      <w:r>
        <w:rPr>
          <w:rFonts w:ascii="Arial" w:cs="Arial" w:eastAsia="Arial" w:hAnsi="Arial"/>
          <w:sz w:val="17"/>
          <w:szCs w:val="17"/>
          <w:i w:val="1"/>
          <w:iCs w:val="1"/>
          <w:color w:val="auto"/>
        </w:rPr>
        <w:t xml:space="preserve"> </w:t>
      </w:r>
      <w:r>
        <w:rPr>
          <w:rFonts w:ascii="Arial" w:cs="Arial" w:eastAsia="Arial" w:hAnsi="Arial"/>
          <w:sz w:val="17"/>
          <w:szCs w:val="17"/>
          <w:color w:val="auto"/>
        </w:rPr>
        <w:t>caustic soda, all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54% of the segment’s 2019 revenues. Customers shipping these products are petrochemical and refining companies.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Black Oil. </w:t>
      </w:r>
      <w:r>
        <w:rPr>
          <w:rFonts w:ascii="Arial" w:cs="Arial" w:eastAsia="Arial" w:hAnsi="Arial"/>
          <w:sz w:val="17"/>
          <w:szCs w:val="17"/>
          <w:color w:val="auto"/>
        </w:rPr>
        <w:t>Black oil transported includes such products as residual fuel oil, No. 6 fuel oil, coker feedstock, vacuum gas oil, asphalt, carbon black</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crude oil, natural gas condensate and ship bunkers (engine fuel). Such products represented 23% of the segment’s 2019 revenues. Black oil customers are refining companies, marketers and end users that require the transportation of black oil between refineries and storage terminals, to refineries and to power plants. Ship bunker customers are oil companies and oil traders in the bunkering business.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Refined Petroleum Products. </w:t>
      </w:r>
      <w:r>
        <w:rPr>
          <w:rFonts w:ascii="Arial" w:cs="Arial" w:eastAsia="Arial" w:hAnsi="Arial"/>
          <w:sz w:val="18"/>
          <w:szCs w:val="18"/>
          <w:color w:val="auto"/>
        </w:rPr>
        <w:t>Refined petroleum products transported include the various blends of finished gasoline, gasoline blendstocks, jet fuel,</w:t>
      </w:r>
      <w:r>
        <w:rPr>
          <w:rFonts w:ascii="Arial" w:cs="Arial" w:eastAsia="Arial" w:hAnsi="Arial"/>
          <w:sz w:val="18"/>
          <w:szCs w:val="18"/>
          <w:i w:val="1"/>
          <w:iCs w:val="1"/>
          <w:color w:val="auto"/>
        </w:rPr>
        <w:t xml:space="preserve"> </w:t>
      </w:r>
      <w:r>
        <w:rPr>
          <w:rFonts w:ascii="Arial" w:cs="Arial" w:eastAsia="Arial" w:hAnsi="Arial"/>
          <w:sz w:val="18"/>
          <w:szCs w:val="18"/>
          <w:color w:val="auto"/>
        </w:rPr>
        <w:t>No. 2 oil, heating oil and diesel fuel, and represented 19% of the segment’s 2019 revenues. The Company also classifies ethanol in the refined petroleum products category. Customers are oil and refining companies, marketers and ethanol producers.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Agricultural Chemicals. </w:t>
      </w:r>
      <w:r>
        <w:rPr>
          <w:rFonts w:ascii="Arial" w:cs="Arial" w:eastAsia="Arial" w:hAnsi="Arial"/>
          <w:sz w:val="18"/>
          <w:szCs w:val="18"/>
          <w:color w:val="auto"/>
        </w:rPr>
        <w:t>Agricultural chemicals transported represented 4% of the segment’s 2019 revenues. Agricultural chemicals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anhydrous ammonia and nitrogen-based liquid fertilizer, as well as industrial ammonia. Agricultural chemical customers consist mainly of domestic and foreign producers of such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in the Tank Barge Industry</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Demand for tank barge transportation services is driven by the production volumes of the bulk liquid commodities transported by barge.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crude oil markets as needed.</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Bulk petrochemical volumes have historically tracked the general domestic economy and correlate to the United States Gross Domestic Product. The United States petrochemical industry continues to see strong production levels for both domestic consumption and exports. Low priced domestic natural gas, a basic feedstock for the United States petrochemical industry, has provided the industry with a competitive advantage against foreign petrochemical producers. As a result, United States petrochemical production has remained stable during 2019, 2018 and 2017, thereby producing increased marine transportation volumes of basic petrochemicals to both domestic consumers and terminals for export destinations. Petrochemical products are used primarily in consumer non-durable and durable goods. From late 2010 through 2015, inland petrochemical tank barge utilization remained relatively stable in the 90% to 95% range. During 2016, utilization declined to the high 80% range on average with periods of utilization in the low 80% range. During 2017 and 2018, utilization ranged from the mid-80% to the mid-90% range, reaching the mid-90% range in the late 2017 third quarter from the impact of Hurricanes Harvey and Irma, and in the low to mid-90% range during the 2017 fourth quarter and the majority of 2018 and 2019 as a result of a favorable pricing environment for customers’ products, new petrochemical industry capacity that led to increased movements of petrochemicals, and the continued retirement of older barges from the segment’s fleet. Extensive delay days due to poor operating conditions which slowed transport of customer cargoes, also contributed to increased utilization during the first half of 2019. Coastal tank barge utilization for the transportation of petrochemicals during 2017 ranged from the low 60% to low 80%. During 2018, coastal tank barge utilization levels ranged improved from the high 70% range in the 2018 first quarter to the 80% range during the 2018 last nine months and the low to mid-80% range during 2019, reflecting the retirement of 12 out-of-service coastal barges during the 2017 fourth quarter and improved customer demand resulting in higher utilization of spot market capacity in 2019. Utilization in the coastal marine fleet continued to be impacted by the oversupply of smaller tank barges in the coastal market.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demand for black oil, including ship bunkers, varies by type of product transported. Demand for transportation of residual oil, a heavy by-product of refining operations, varies with refinery utilization and usage of feedstocks. During the majority of 2015, inland black oil tank barge utilization remained strong, in the 90% to 95% range, due to strong demand driven by steady refinery production levels from major customers, and the export of diesel fuel and heavy fuel oil. With the decline in the price of crude oil in late 2014 and the low price throughout 2015 and 2016, crude oil and natural gas condensate movements by tank barge were at reduced levels industry-wide. During 2015 and 2016, the Company and the industry were generally successful in repositioning barges from that trade to other markets. During 2017, 2018 and 2019,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however, at reduced levels as some of the product was transported by newly constructed pipelines. The decline in demand for crude oil and natural gas condensate movements and an industry-wide oversupply of inland tank barges resulted in a decline in inland black oil tank barge utilization in in 2017 to the mid-80% to low 90% range for the first three quarters and low to mid-90% range for the fourth quarter. During 2018, inland black oil tank barge utilization was in the mid-90% range, and increased into the mid-to high 90% range during 2019. Coastal black oil tank barge utilization declined from the 90% to 95% range for the majority of 2015 to the low 80% range by the end of 2016, the low 60% to low 80% range during 2017 and low to mid-80% range during 2018 and the low 90% range during 2019, partly attributable to the decrease in the movements of crude oil and natural gas condensate and to the continued industry-wide oversupply of smaller tank barges in the coastal industry. Inland and coastal asphalt shipments are generally seasonal, with higher volumes shipped during April through November, months when weather allows for efficient road construction. The Company saw seasonally normal cessation of most operations in Alaska in the 2017, 2018 and 2019 first and fourth quarters.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Refined petroleum product volumes are driven by United States gasoline and diesel fuel consumption, principally vehicle usage, air travel and weather conditions. Volumes can also relate to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Gulf Coast customers. In the coastal trade, tank barges are frequently used regionally to transport refined petroleum products from a coastal refinery or terminals served by pipelines to the end markets. Many coastal areas have access to refined petroleum products only by using marine transportation as the last link in the distribution chain. Coastal refined petroleum products tank barge utilization declined from the 90% to 95% range for the majority of 2015 to the low-to-mid 80% range for the majority of 2016, and declined throughout 2017 from a low 80% range in first quarter to the low 60% range in the fourth quarter, all predominately from the industry-wide oversupply of coastal tank barge capacity. In 2018 and 2019, utilization increased into the 80% range primarily due to the retirement of out-of-service coastal barges during the 2017 fourth quarter and improved customer demand resulting in higher utilization of spot market capacity in 2019.</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marine transportation segment operates a fleet of 1,053 inland tank barges and 299 inland towboats, as well as 49 coastal tank barges and 47 coastal tugboats. The segment also operates four offshore dry-bulk cargo barges, four offshore tugboats and one docking tugboat transporting dry-bulk commodities in United States coastal trade.</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Inland Operations. </w:t>
      </w:r>
      <w:r>
        <w:rPr>
          <w:rFonts w:ascii="Arial" w:cs="Arial" w:eastAsia="Arial" w:hAnsi="Arial"/>
          <w:sz w:val="18"/>
          <w:szCs w:val="18"/>
          <w:color w:val="auto"/>
        </w:rPr>
        <w:t>The segment’s inland operations are conducted through a wholly owned subsidiary, Kirby Inland Marine, LP (“Kirby Inland</w:t>
      </w:r>
      <w:r>
        <w:rPr>
          <w:rFonts w:ascii="Arial" w:cs="Arial" w:eastAsia="Arial" w:hAnsi="Arial"/>
          <w:sz w:val="18"/>
          <w:szCs w:val="18"/>
          <w:i w:val="1"/>
          <w:iCs w:val="1"/>
          <w:color w:val="auto"/>
        </w:rPr>
        <w:t xml:space="preserve"> </w:t>
      </w:r>
      <w:r>
        <w:rPr>
          <w:rFonts w:ascii="Arial" w:cs="Arial" w:eastAsia="Arial" w:hAnsi="Arial"/>
          <w:sz w:val="18"/>
          <w:szCs w:val="18"/>
          <w:color w:val="auto"/>
        </w:rPr>
        <w:t>Marine”). Kirby Inland Marine’s operations consist of the Canal, Linehaul and River fleets, as well as barge fleeting services.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Barges are dropped off and picked up going up and down river.</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1,053 inland tank barges currently operated, 828 are petrochemical and refined petroleum products barges, 145 are black oil barges, 70 are pressure barges and 10 are refrigerated anhydrous ammonia barges. Of the 1,053 inland tank barges, 1,029 are owned by the Company and 24 are leased.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fleet of 299 inland towboats ranges from 800 to 6,100 horsepower. Of the 299 inland towboats, 224 are owned by the Company and 75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Marine transportation services for inland movements are conducted under term or spot contracts with customers with whom the Company has traditionally had long-standing relationships. Typically, term contracts range from one to three years, some of which have renewal options. During all of 2017, approximately 75% of inland marine transportation revenues were under term contracts and 25% were spot contract revenues. During 2018 and 2019, approximately 65% of inland marine transportation revenues were under term contracts and 35% were spot contract revenues.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the Company’s inland tank barges used in the transportation of bulk liquid products are of double hull construction and are capable of controlling vapor emissions during loading and discharging operations in compliance with occupational safety and health regulations and air quality regulations.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one of the few inland tank barge operators with the ability to offer to its customers distribution capabilities throughout the Mississippi River System and the Gulf Intracoastal Waterway. Such capabilities offer economies of scale resulting from the ability to match tank barges, towboats, products and destinations more efficiently to meet its customers’ requirements.</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the Company’s proprietary vessel management computer system, the fleet of barges and towboats is dispatched from a centralized dispatch at the corporate office. The towboats are equipped with satellite positioning and communication systems that automatically transmit the location of the towboat to the Company’s customer service department located in its corporate office. Electronic orders are communicated to vessel personnel with reports of towing activities communicated electronically back to the customer service department. The electronic interface between the customer service department and the vessel enables more effective matching of customer needs to barge capabilities, thereby maximizing utilization of the tank barge and towboat fleet. The Company’s customers are able to access information concerning the movement of their cargoes, including barge locations, through the Company’s website.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Kirby Inland Marine operates the largest commercial tank barge fleeting service (temporary barge storage facilities) in numerous ports, including Houston, Corpus Christi, Freeport and Orange, Texas, Baton Rouge, Covington, Lake Charles and New Orleans, Louisiana, Mobile, Alabama and Greenville, Mississippi. Included in the fleeting service is a shifting operation and fleeting service for dry cargo barges and tank barges on the Houston Ship Channel and in Freeport, Texas. Kirby Inland Marine provides service for its own barges, as well as outside customers, transferring barges within the areas noted, as well as fleeting barges.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San Jac Marine, LLC (“San Jac”), a subsidiary of Kirby Inland Marine, owns and operates a shipyard in Channelview, Texas used to build marine vessels for both inland and coastal applications, and provide maintenance and repair services. Kirby Inland Marine is also building inland towboats and performing routine maintenance and repairs at the shipyard.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owns a two-thirds interest in Osprey, which transports project cargoes and cargo containers by barge on the United States inland waterway system.</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Coastal Operations. </w:t>
      </w:r>
      <w:r>
        <w:rPr>
          <w:rFonts w:ascii="Arial" w:cs="Arial" w:eastAsia="Arial" w:hAnsi="Arial"/>
          <w:sz w:val="18"/>
          <w:szCs w:val="18"/>
          <w:color w:val="auto"/>
        </w:rPr>
        <w:t>The segment’s coastal operations are conducted through wholly owned subsidiaries, Kirby Offshore Marine, LLC (“Kirby</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Marine”) and Kirby Ocean Transport Company (“Kirby Ocean Transport”).</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Offshore Marine provides marine transportation of refined petroleum products, petrochemicals and black oil in coastal regions of the United States. The coastal operations consist of the Atlantic and Pacific Divisions.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Atlantic Division primarily operates along the eastern seaboard of the United States and along the Gulf Coast. The Atlantic Division vessels call on various coastal ports from Maine to Texas, servicing refineries, storage terminals and power plants. The Atlantic Division also operates equipment, to a lesser extent, in the Eastern Canadian provinces. The tank barges operating in the Atlantic Division are in the 10,000 to 194,000 barrel capacity range and coastal tugboats in the 2,400 to 10,000 horsepower range, transporting primarily refined petroleum products, petrochemicals and black oil.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Pacific Division primarily operates along the Pacific Coast of the United States, servicing refineries and storage terminals from Southern California to Washington State, throughout Alaska, including Dutch Harbor, Cook Inlet and the Alaska River Systems, and from California to Hawaii. The Pacific Division’s fleet consists of tank barges in the 52,000 to 194,000 barrel capacity range and tugboats in the 1,000 to 11,000 horsepower range, transporting primarily refined petroleum products.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Pacific Division also services local petroleum retailers and oil companies distributing refined petroleum products and black oil between the Hawaiian Islands and provides other services to the local maritime community. The Hawaii fleet consists of tank barges in the 53,000 to 86,000 barrel capacity range and tugboats in the 1,000 to 5,000 horsepower range, transporting refined petroleum products for local and regional customers, black oil to power generation customers and delivering bunker fuel to ships. The Hawaii fleet also provides service docking, standby tug assistance and line handling to vessels using the single point mooring installation at Barbers Point, Oahu, Hawaii, a facility for large tankers to safely load and discharge their cargos through an offshore buoy and submerged pipeline without entering the port.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coastal transportation of refined petroleum products and black oil is impacted by seasonality, partially dependent on the area of operations. Operations along the West Coast of the United States and in Alaska have been subject to more seasonal variations in demand than the operations along the East Coast and Gulf Coast regions of the United States. Seasonality generally does not impact the Hawaiian market. Movements of refined petroleum products such as various blends of gasoline are strongest during the summer driving season while heating oil generally increases during the winter months.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coastal fleet consists of 49 tank barges with 4.7 million barrels of capacity, primarily transporting refined petroleum products, black oil and petrochemicals. The Company owns 47 of the coastal tank barges and two are leased. Of the 49 coastal tank barges currently operating, 33 are refined petroleum products and petrochemical barges and 16 are black oil barges. The Company operates 47 coastal tugboats ranging from 1,000 to 11,000 horsepower, of which 42 are owned by the Company and five are chartered.</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Coastal marine transportation services are conducted under long-term contracts, primarily one year or longer, some of which have renewal options, for customers with which the Company has traditionally had long-standing relationships, as well as under spot contracts. During 2017, 2018 and 2019, approximately 80% of the coastal marine transportation revenues were under term contracts and 20% were spot contract revenues.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Offshore Marine also operates a fleet of two offshore dry-bulk barge and tugboat units involved in the transportation of sugar and other dry products between Florida and East Coast ports. These vessels primarily operate under long-term contracts of affreightment.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Kirby Ocean Transport owns and operates a fleet of two offshore dry-bulk barges, two offshore tugboats and one docking tugboat. Kirby Ocean Transport operates primarily under term contracts of affreightment, including a contract that expires in 2020 with Duke Energy Florida (“DEF”) to transport coal across the Gulf of Mexico to DEF’s power generation facility at Crystal River, Florida.</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Ocean Transport is also engaged in the transportation of coal, fertilizer, sugar and other bulk cargoes on a short-term basis between domestic ports and occasionally the transportation of grain from domestic ports to ports primarily in the Caribbean Basin.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Customers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Marine transportation inland and coastal services are conducted under term or spot contracts for customers with whom the Company has traditionally had long-standing relationships. Typically, term contracts range from one to three years, some of which have renewal options. The majority of the marine transportation contracts with its customers are for terms of one year. Most have been customers of the Company’s marine transportation segment for many years and management anticipates continued relationships; however, there is no assurance that any individual contract will be renewed.</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term contract is an agreement with a specific customer to transport cargo from a designated origin to a designated destination at a set rate (affreightment) or at a daily rate (time charter). The rate may or may not include escalation provisions to recover changes in specific costs such as fuel. Time charters, which insulate the Company from revenue fluctuations caused by weather and navigational delays and temporary market declines, represented approximately 62% of the marine transportation’s inland revenues under term contracts during 2019, 59% of revenue under term contracts during 2018 and 49% of the revenue under term contracts during 2017.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provide the Company with a more predictable revenue stream while maintaining spot market exposure to take advantage of new business opportunities and existing customers’ peak demands. During 2017, approximately 75% of inland marine transportation revenues were under term contracts and 25% were spot contract revenues. During 2018 and 2019, approximately 65% of inland marine transportation revenues were under term contracts and 35% were spot contract revenues. Coastal time charters represented approximately 85% of the marine transportation coastal revenues under term contracts in 2019, 2018 and 2017.</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single customer of the marine transportation segment accounted for 10% or more of the Company’s revenues in 2019, 2018 and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marine transportation segment has approximately 3,350 employees, of which approximately 2,650 are vessel crew members. None of the segment’s inland operations are subject to collective bargaining agreements. The segment’s coastal operations include approximately 675 vessel employees some of which are subject to collective bargaining agreements in certain geographic areas. Approximately 250 Kirby Offshore Marine vessel crew members employed in the Atlantic Division are subject to a collective bargaining agreement with the Richmond Terrace Bargaining Unit in effect through August 31, 2022. In addition, approximately 150 vessel crew members of Penn Maritime Inc., a wholly owned subsidiary of Kirby Offshore Marine, are represented by the Seafarers International Union under a collective bargaining agreement in effect through April 30,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principal offices of Kirby Inland Marine, Kirby Offshore Marine, Kirby Ocean Transport and Osprey are located in Houston, Texas, in three facilities under leases that expire in July 2021, December 2025 and December 2027. Kirby Inland Marine’s operating locations are on the Mississippi River at Baton Rouge and New Orleans, Louisiana, and Greenville, Mississippi, three locations in Houston, Texas, on or near the Houston Ship Channel, one in Mobile, Alabama, one in Miami, Florida, one in Covington, Louisiana, one in Lake Charles, Louisiana, one in Corpus Christi, Texas, and one in Orange, Texas. The New Orleans, Houston and Orange facilities are owned by the Company, and the Baton Rouge, Corpus Christi, Covington, Lake Charles, Greenville, Miami and Mobile facilities are leased. Kirby Offshore Marine’s operating facilities are located in Staten Island, New York, Seattle, Washington and Honolulu, Hawaii. All of Kirby Offshore Marine’s operating facilities are leased, including piers and wharf facilities and office and warehouse space. San Jac’s operating location is near the Houston Ship Channel.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marine transportation operations are subject to regulation by the USCG, federal laws, state laws and certain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conventions. The agencies establish safety requirements and standards and are authorized to investigate incidents.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are phased in following the July 20, 2018 effective date through July 19, 2022.</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of the Company’s coastal tugboats and coastal tank and dry-bulk barges are built to American Bureau of Shipping (“ABS”) classification standards and are inspected periodically by ABS to maintain the vessels in class. The crews employed by the Company aboard inland and coastal vessels, including captains, pilots, engineers, tankermen and ordinary seamen, are licensed by the USCG.</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is of the opinion that the Company’s 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that additional security and environmental related regulations could be imposed on the marine industry in the form of contingency planning requirements. Generally, the Company endorses the anticipated additional regulations and believes it is currently operating to standards at least equal to anticipated additional regulations.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Jones Act. </w:t>
      </w:r>
      <w:r>
        <w:rPr>
          <w:rFonts w:ascii="Arial" w:cs="Arial" w:eastAsia="Arial" w:hAnsi="Arial"/>
          <w:sz w:val="18"/>
          <w:szCs w:val="18"/>
          <w:color w:val="auto"/>
        </w:rPr>
        <w:t>The Jones Act is a federal cabotage law that restricts domestic marine transportation in the United States to vessels built and registered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manned, owned and operated by United States citizens. For a corporation to qualify as United States citizens for the purpose of domestic trade, it is to be 75% owned and controlled by United States citizens within the meaning of the Jones Act. The Company monitors citizenship and meets the requirements of the Jones Act for its owned and operated vessels.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User Taxes. </w:t>
      </w:r>
      <w:r>
        <w:rPr>
          <w:rFonts w:ascii="Arial" w:cs="Arial" w:eastAsia="Arial" w:hAnsi="Arial"/>
          <w:sz w:val="18"/>
          <w:szCs w:val="18"/>
          <w:color w:val="auto"/>
        </w:rPr>
        <w:t>Federal legislation requires that inland marine transportation companies pay a user tax based on propulsion fuel used by vessels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presently pays a federal fuel user tax of 29.1 cents per gallon consisting of a 0.1 cent per gallon leaking underground storage tank tax and 29 cents per gallon waterways user tax.</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Security Requirements. </w:t>
      </w:r>
      <w:r>
        <w:rPr>
          <w:rFonts w:ascii="Arial" w:cs="Arial" w:eastAsia="Arial" w:hAnsi="Arial"/>
          <w:sz w:val="18"/>
          <w:szCs w:val="18"/>
          <w:color w:val="auto"/>
        </w:rPr>
        <w:t>The Maritime Transportation Security Act of 2002 requires, among other things, submission to and approval by the USCG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 and waterfront facility security plans (“VSP” and “FSP”, respectively). The Company maintains approved VSP and FSP and is operating in compliance with the plans for all of its vessels and facilities that are subject to the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Government regulations require the Company to obtain permits, licenses and certificates for the operation of its vessels. Failure to maintain necessary permits or approvals could require the Company to incur costs or temporarily suspend operation of one or more of its vessels. Violations of these laws may result in civil and criminal penalties, fines, or other sanctions.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Water Pollution Regulations. </w:t>
      </w:r>
      <w:r>
        <w:rPr>
          <w:rFonts w:ascii="Arial" w:cs="Arial" w:eastAsia="Arial" w:hAnsi="Arial"/>
          <w:sz w:val="18"/>
          <w:szCs w:val="18"/>
          <w:color w:val="auto"/>
        </w:rPr>
        <w:t>The Federal Water Pollution Control Act of 1972, as amended by the Clean Water Act of 1977 (“Clean Water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most important requirements under the OPA was that all newly constructed tank barges engaged in the transportation of oil and petroleum in the United States be double hulled, and all existing single hull tank barges be either retrofitted with double hulls or phased out of domestic service by December 31, 2014.</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Clean Water Act establishes the National Pollutant Discharge Elimination System (“NPDES”) permitting program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regulates discharges into navigable waters of the United States. The United States Environmental Protection Agency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these obligations.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in order to comply with the BWMS regulations.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Financial Responsibility Requirement. </w:t>
      </w:r>
      <w:r>
        <w:rPr>
          <w:rFonts w:ascii="Arial" w:cs="Arial" w:eastAsia="Arial" w:hAnsi="Arial"/>
          <w:sz w:val="17"/>
          <w:szCs w:val="17"/>
          <w:color w:val="auto"/>
        </w:rPr>
        <w:t>Commencing with the Federal Water Pollution Control Act of 1972, as amended, vessels over 300 gross tons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Company does not foresee any current or future difficulty in maintaining the COFR certificates under current rules.</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Clean Air Regulations. </w:t>
      </w:r>
      <w:r>
        <w:rPr>
          <w:rFonts w:ascii="Arial" w:cs="Arial" w:eastAsia="Arial" w:hAnsi="Arial"/>
          <w:sz w:val="16"/>
          <w:szCs w:val="16"/>
          <w:color w:val="auto"/>
        </w:rPr>
        <w:t>The Federal Clean Air Act of 1979 (“CAA”) requires states to draft State Implementation Plans (“SIPs”) under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Ambient Air Quality Standards designed to reduce atmospheric pollution to levels mandated by this act. Several SIPs provide for the regulation of barge loading and discharging emissions at waterfront facilities.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Contingency Plan Requirement. </w:t>
      </w:r>
      <w:r>
        <w:rPr>
          <w:rFonts w:ascii="Arial" w:cs="Arial" w:eastAsia="Arial" w:hAnsi="Arial"/>
          <w:sz w:val="17"/>
          <w:szCs w:val="17"/>
          <w:color w:val="auto"/>
        </w:rPr>
        <w:t>The OPA and several state statutes of similar intent require the majority of the vessels and terminals operated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Occupational Health Regulations. </w:t>
      </w:r>
      <w:r>
        <w:rPr>
          <w:rFonts w:ascii="Arial" w:cs="Arial" w:eastAsia="Arial" w:hAnsi="Arial"/>
          <w:sz w:val="18"/>
          <w:szCs w:val="18"/>
          <w:color w:val="auto"/>
        </w:rPr>
        <w:t>The Company’s inspected vessel operations are primarily regulated by the USCG for occupational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Uninspected vessel operations and the Company’s shore personnel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Company’s marine transportation operations are subject to the hazards associated with operating vessels carrying large volumes of</w:t>
      </w:r>
      <w:r>
        <w:rPr>
          <w:rFonts w:ascii="Arial" w:cs="Arial" w:eastAsia="Arial" w:hAnsi="Arial"/>
          <w:sz w:val="16"/>
          <w:szCs w:val="16"/>
          <w:i w:val="1"/>
          <w:iCs w:val="1"/>
          <w:color w:val="auto"/>
        </w:rPr>
        <w:t xml:space="preserve"> </w:t>
      </w:r>
      <w:r>
        <w:rPr>
          <w:rFonts w:ascii="Arial" w:cs="Arial" w:eastAsia="Arial" w:hAnsi="Arial"/>
          <w:sz w:val="16"/>
          <w:szCs w:val="16"/>
          <w:color w:val="auto"/>
        </w:rPr>
        <w:t>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For shipyard operations, the Company has ship repairer’s liability and builder’s risk insurance. The Company also maintains insurance in the commercial insurance market to address commercial liabilities arising in connection with its distribution and services segment.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Protection. </w:t>
      </w:r>
      <w:r>
        <w:rPr>
          <w:rFonts w:ascii="Arial" w:cs="Arial" w:eastAsia="Arial" w:hAnsi="Arial"/>
          <w:sz w:val="18"/>
          <w:szCs w:val="18"/>
          <w:color w:val="auto"/>
        </w:rPr>
        <w:t>The Company has a number of programs that were implemented to further its commitment to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in its operations. In addition to internal environmental audits, one such program is environmental audits of barge cleaning vendors principally directed at management of cargo residues and barge cleaning wastes. Another is the participation by the Company in the American Waterways Operators Responsible Carrier program which is oriented towards continuously reducing the barge industry’s impact on the environment, including the distribution services area.</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Safety. </w:t>
      </w:r>
      <w:r>
        <w:rPr>
          <w:rFonts w:ascii="Arial" w:cs="Arial" w:eastAsia="Arial" w:hAnsi="Arial"/>
          <w:sz w:val="17"/>
          <w:szCs w:val="17"/>
          <w:color w:val="auto"/>
        </w:rPr>
        <w:t>The Company manages its exposure to the hazards associated with its business through safety, training and preventive maintenance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emphasizes its safety commitment through a program oriented toward extensive monitoring of safety performance for the purpose of identifying trends and initiating corrective action, and for continuously improving employee safety behavior and performance.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Training. </w:t>
      </w:r>
      <w:r>
        <w:rPr>
          <w:rFonts w:ascii="Arial" w:cs="Arial" w:eastAsia="Arial" w:hAnsi="Arial"/>
          <w:sz w:val="18"/>
          <w:szCs w:val="18"/>
          <w:color w:val="auto"/>
        </w:rPr>
        <w:t>The Company believes that among the major elements of a successful and productive work force are effective training programs.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The Company has developed and instituted effective training programs.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Centralized training is provided through the Operations Personnel and Training Department, which is charged with developing, conducting and maintaining training programs for the benefit of all of the Company’s operating entities. It is also responsible for ensuring that training programs are both consistent and effective. The Company’s training facility includes state-of-the-art equipment and instruction aids, including a full bridge wheelhouse simulator, a working towboat, two tank barges and a tank barge simulator for tankermen training. During 2019, approximately 1,800 certificates were issued for the completion of courses at the training facility, of which approximately 675 were USCG approved classes and the balance was employee development and Company required classes, including leadership, communication and navigation courses. The Company uses the Seaman’s Church Institute as an additional training resource for its wheelhouse crewmembers.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Quality. </w:t>
      </w:r>
      <w:r>
        <w:rPr>
          <w:rFonts w:ascii="Arial" w:cs="Arial" w:eastAsia="Arial" w:hAnsi="Arial"/>
          <w:sz w:val="18"/>
          <w:szCs w:val="18"/>
          <w:color w:val="auto"/>
        </w:rPr>
        <w:t>Kirby Inland Marine has made a substantial commitment to the implementation, maintenance and improvement of Quality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 compliance with the International Quality Standard, ISO 9001. 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through its wholly owned subsidiary Kirby Distribution &amp; Services, Inc. and its wholly owned subsidiaries Kirby Engine Systems LLC, (“Kirby Engine Systems”), Stewart &amp; Stevenson LLC (“S&amp;S”) and United Holdings LLC (“United”), and through Kirby Engine Systems’ wholly owned subsidiaries Marine Systems, Inc. (“Marine Systems”) and Engine Systems, Inc. (“Engine Systems”), serves two markets, oil and gas, and commercial and industrial. The Company sells genuine replacement parts, provides service mechanics to overhaul and repair engines, transmissions, reduction gears and related oilfield service equipment, rebuilds component parts or entire diesel engines, transmissions and reduction gears, and related equipment used in oilfield services, marine, power generation, on-highway, and other commercial and industrial applications. The Company manufactures and remanufactures oilfield service equipment, including pressure pumping units, for North American as well international oilfield service companies, and oil and gas operator and producer markets. The Company also sells engines, transmissions, power generation systems, and rents equipment including generators, industrial compressors, railcar movers, and high capacity lift trucks for use in a variety of commercial and industrial markets.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oil and gas market, the Company sells Original Equipment Manufacturers (“OEM”) replacement parts, sells and services diesel engines, pumps and transmissions, manufactures and remanufactures pressure pumping units, and manufactures cementing and pumping equipment, coil tubing and well intervention equipment, and gas compression equipment. Customers include oilfield service companies, and oil and gas operators and producers.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commercial and industrial market, the Company sells OEM replacement parts and new diesel engines, provides service mechanics and maintains facilities to overhaul and repair diesel engines and ancillary products for marine and on-highway transportation companies,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generators, industrial compressors, railcar movers, and high capacity lift trucks for use in a variety of industrial markets.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single customer of the distribution and services segment accounted for 10% or more of the Company’s revenues in 2019, 2018 or 2017. The distribution and services segment also provides service to the Company’s marine transportation segment, which accounted for approximately 2% of the distribution and services segment’s 2019, 2018, and 2017 revenues. Such revenues are eliminated in consolidation and not included in the table below.</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revenues for the distribution and services segment for the three years ended December 31, 2019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Service and parts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687,848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Manufacturing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428,284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202,464</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1,251,317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1,487,554</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890,312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engaged in the distribution and service of high-speed diesel engines, pumps and transmissions, and the manufacture and remanufacture of oilfield service equipment. The oil and gas operations represented approximately 53% of the segment’s 2019 revenues. The Company offers custom fabricated oilfield service equipment, fully tested and field ready. The Company manufactures and remanufactures oilfield service equipment, including pressure pumping units, nitrogen pumping units, cementers, hydration equipment, mud pumps and blenders, coil tubing, well intervention equipment and gas compression equipment. The Company sells OEM replacement parts, and sells and services diesel engines, pumps and transmissions, and offers in-house and in-field service capabilities. The Company is the largest off-highway distributor for Allison Transmission and a major distributor for MTU in North America.</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manufacturing and remanufacturing facilities and service facilities are based in Houston, Texas and Oklahoma City, Oklahoma, key oil and gas producing regions.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Customers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Competitive Conditions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primary competitors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serves the marine, on-highway, power generation, and other commercial and industrial markets primarily in the United States. The commercial and industrial operations represented approximately 47% of the segment’s 2019 revenues.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has marine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and Harvey, Louisiana, Houston, Texas, Chesapeake, Virginia, 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and Harvey, Louisiana and Houston, Texas operations concentrate on the inland and offshore barge and oilfield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high-speed marine operations are located in Houston, Texas, Houma, Baton Rouge, Belle Chasse and New Iberia, Louisiana, Paducah, Kentucky, Mobile, Alabama, Lodi and Thorofare, New Jersey, and 10 locations in Florida. The Company serves as a factory-authorized marine dealer for Caterpillar diesel engines in multiple states. The Company also operates factory-authorized full service marine distributorships/dealerships for Cummins, Detroit Diesel, John Deere, MTU and Volvo Penta diesel engines, as well as Falk, Lufkin and Twin Disc marine gears. High-speed diesel engines provide the main propulsion for a significant amount of the United States flag commercial vessels and large pleasure craft vessels, other marine applications, including engines for power generators and barge pumps.</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haul trucks and personnel carriers, as well as equipment rental.</w:t>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Baker Hughes Company (“Baker Hughes”)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 non-exclusive distributor of Ingersoll Rand air start equipment to the nuclear industry worldwide.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sells pre-packaged and fabricated power generation systems for emergency, standby and auxiliary power for commercial and industrial applications. The Company also offers rental generator systems from MTU, Atlas Copco, and Multiquip from 50 to 2,000 kilowatts of power to a broad range of customers. The Company also is engaged in the rental of generators, industrial compressors, railcar movers and high capacity lift trucks.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Customers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major marine customers include inland and offshore barge operators, oilfield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 there is no assurance that its present gross revenues can be maintained in the future. The results of the distribution and services industry are largely tied to the industries it serves and, therefore, are influenced by the cycles of such industries.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rental customers are primarily commercial and industrial companies, and residential customers with short-term rental requirements.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Competitive Conditions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one of a limited number of authorized resellers of EMD, Caterpillar, Cummins, Detroit Diesel, John Deere, MTU and Volvo Penta parts. The Company is also the marine distributor for Falk, Lufkin and Twin Disc reduction gears throughout the United States.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the Company is the exclusive worldwide distributor of EMD, Baker Hughes,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distribution and services segment has approximately 2,200 employees. None of the United Holdings and Kirby Engine Systems operations are subject to collective bargaining agreements. Approximately 60 S&amp;S employees in New Jersey are subject to a collective bargaining agreement with the Local 15C, International Union of Operating Engineers, AFL-CIO that expires in October 2023. The remaining S&amp;S employees are not subject to collective bargaining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office of the distribution and services segment is located in Houston, Texas. There are 63 active facilities in the distribution and services segment, of which 27 facilities are owned and 36 facilities are leased.</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oil and gas operation’s principal manufacturing facilities are located in Houston, Texas and Oklahoma City, Oklahoma, with both facilities owned by the Company. The oil and gas focused operations have 19 parts and service facilities, with one in Arkansas, two in Colorado, four in Louisiana, one in New Mexico, one in Oklahoma, nine in Texas and one in Wyoming, with many of these facilities shared with the commercial and industrial operations.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commercial and industrial businesses operate 42 parts and service facilities, with one facility in Alabama, one in Connecticut, one in Colorado, 11 in Florida, one in Kentucky, two in Louisiana, one in Massachusetts, one in Oklahoma, three in New Jersey, one in New York, one in North Carolina, 11 in Texas, one in Virginia, one in Washington and five facilities located in Colombia, South America.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380" w:type="dxa"/>
            <w:vAlign w:val="bottom"/>
            <w:gridSpan w:val="2"/>
          </w:tcPr>
          <w:p>
            <w:pPr>
              <w:ind w:left="240"/>
              <w:spacing w:after="0"/>
              <w:rPr>
                <w:sz w:val="20"/>
                <w:szCs w:val="20"/>
                <w:color w:val="auto"/>
              </w:rPr>
            </w:pPr>
            <w:r>
              <w:rPr>
                <w:rFonts w:ascii="Arial" w:cs="Arial" w:eastAsia="Arial" w:hAnsi="Arial"/>
                <w:sz w:val="18"/>
                <w:szCs w:val="18"/>
                <w:b w:val="1"/>
                <w:bCs w:val="1"/>
                <w:color w:val="auto"/>
              </w:rPr>
              <w:t>Positions and Offices</w:t>
            </w:r>
          </w:p>
        </w:tc>
      </w:tr>
      <w:tr>
        <w:trPr>
          <w:trHeight w:val="216"/>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W. Grzebinski</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40" w:type="dxa"/>
            <w:vAlign w:val="bottom"/>
            <w:tcBorders>
              <w:top w:val="single" w:sz="8" w:color="CCEEFF"/>
            </w:tcBorders>
            <w:shd w:val="clear" w:color="auto" w:fill="CCEEFF"/>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William G. Harvey</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G. O’Neil</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 Kirby Inland Marine, Kirby Offshore Marine, and San Jac Marine, LLC</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Joseph H. Reniers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President – Kirby Distribution &amp; Services, Inc.</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Dorman L. Strahan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7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 Kirby Engine Systems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Kim B. Clarke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Vice President and Chief Human Resources Officer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A. Dragg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Controller and Assistant Secretary</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Eric S. Holcomb</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Vice President – Investor Relations</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D. Husted</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7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Scott P. Miller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Vice President and Chief Information Officer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A. Niemietz</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William M. Woodruff</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380" w:type="dxa"/>
            <w:vAlign w:val="bottom"/>
            <w:gridSpan w:val="2"/>
          </w:tcPr>
          <w:p>
            <w:pPr>
              <w:ind w:left="240"/>
              <w:spacing w:after="0"/>
              <w:rPr>
                <w:sz w:val="20"/>
                <w:szCs w:val="20"/>
                <w:color w:val="auto"/>
              </w:rPr>
            </w:pPr>
            <w:r>
              <w:rPr>
                <w:rFonts w:ascii="Arial" w:cs="Arial" w:eastAsia="Arial" w:hAnsi="Arial"/>
                <w:sz w:val="18"/>
                <w:szCs w:val="18"/>
                <w:color w:val="auto"/>
              </w:rPr>
              <w:t>Vice President – Public and Governmental Affairs</w:t>
            </w:r>
          </w:p>
        </w:tc>
      </w:tr>
    </w:tbl>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William G. Harvey is a Chartered Financial Analyst and holds a Master of Business Administration degree from the University of Toronto and a degree in mechanical engineering from Queens University. He has served as Executive Vice President and Chief Financial Officer since February 2018. He served as Executive Vice President – Finance from January 2018 to February 2018. Prior to joining the Company, Mr. Harvey served as Executive Vice President and Chief Financial Officer of Walter Energy, Inc. from 2012 to 2017, Senior Vice President and Chief Financial Officer of Resolute Forest Products Inc. (“Resolute”) from 2008 to 2011, and as Executive Vice President and Chief Financial Officer of Bowater Inc., a predecessor company of Resolute, from 2004 to 2008.</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and as President of San Jac Marine, LLC since October 2018.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Joseph H. Reniers holds a Master of Business Administration degree from the University of Chicago Booth School of Business and a degree in mechanical engineering from the United States Naval Academy. He has served the Company as President – Kirby Distribution &amp; Services, Inc. since September 2017. He served as Executive Vice President – Diesel Engine Services and Supply Chain from May 2016 to September 2017, Senior Vice President – Diesel Engine Services and Marine Facility Operations from February 2015 to May 2016, Vice President – Strategy and Operational Service from April 2014 to February 2015, Vice President – Supply Chain from April 2012 to April 2014 and Vice President – Human Resources from March 2010 to April 2012. Prior to joining the Company, he was a management consultant with McKinsey &amp; Company serving a wide variety of industrial clients. Prior to joining McKinsey, he served as a nuclear power officer in the Navy.</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Kim B. Clarke holds a Bachelor of Science degree from the University of Houston. She has served as Vice President and Chief Human Resources Officer since October 2017. She served as Vice President – Human Resources from December 2016 to October 2017. Prior to joining the Company, she served in senior leadership roles in human resources, safety, information technology and business development as Senior Vice President and Chief Administration Officer for Key Energy Services, Inc. from 2004 to March 2016.</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Ronald A. Dragg is a Certified Public Accountant and holds a Master of Science in Accountancy degree from the University of Houston and a degree in finance from Texas A&amp;M University. He has served the Company as Vice President, Controller and Assistant Secretary since April 2014. He also served as Vice President and Controller from January 2007 to April 2014,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Eric S. Holcomb is a Certified Public Accountant and holds a Bachelor of Business Administration degree in accounting from Southern Methodist University. He has served the Company as Vice President – Investor Relations since December 2017. Prior to joining the Company, he was employed by Baker Hughes Incorporated from 2003 to December 2017 serving in various roles including Investor Relations Director, Finance Director for North America Land, Finance Director for North America Offshore and Finance Director for Canada.</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Amy D. Husted holds a doctorate of jurisprudence from South Texas College of Law and a Bachelor of Science degree in political science from the University of Houston. She has served the Company as Vice President, General Counsel and Secretary since April 2019. She also served as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Kurt A. Niemietz holds a Master of Business Administration degree from St. Mary’s University and a degree in accounting from the University of Texas at San Antonio. He has served as Vice President and Treasurer since April 2019. Prior to joining the Company, he was employed by Pacific Drilling from 2013 to 2019, serving in various roles of increasing responsibility, including Treasurer from 2017 to 2019, and in various financial positions with FMC, from 2006 to 2013. Prior to joining FMC, he was employed by Austin, Calvert &amp; Flavin as a buy-side equity analyst.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Inland Waterway infrastructure is aging and may result in increased costs and disruptions to the Company’s marine transportation segment. </w:t>
      </w:r>
      <w:r>
        <w:rPr>
          <w:rFonts w:ascii="Arial" w:cs="Arial" w:eastAsia="Arial" w:hAnsi="Arial"/>
          <w:sz w:val="17"/>
          <w:szCs w:val="17"/>
          <w:color w:val="auto"/>
        </w:rPr>
        <w:t>Maintenance of the United States inland 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One-half of the cost of new construction and major rehabilitation of locks and dams is paid by marine transportation companies through a 29 cent per gallon diesel fuel tax and the remaining 50%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The Company is subject to adverse weather conditions in its marine transportation and distribution and services segments. </w:t>
      </w:r>
      <w:r>
        <w:rPr>
          <w:rFonts w:ascii="Arial" w:cs="Arial" w:eastAsia="Arial" w:hAnsi="Arial"/>
          <w:sz w:val="17"/>
          <w:szCs w:val="17"/>
          <w:color w:val="auto"/>
        </w:rPr>
        <w:t>The Company’s marine</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segment is subject to weather condition volatility.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In addition, adverse water and weather conditions can negatively affect a towing vessel’s performance, tow size, loading drafts, fleet efficiency, limit navigation periods and dictate horsepower requirements. The Company’s distribution and services segment is subject to tropical storms and hurricanes impacting its coastal locations and tornadoes impacting its Oklahoma facilities.</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The Company could be adversely impacted by a marine accident or spill event. </w:t>
      </w:r>
      <w:r>
        <w:rPr>
          <w:rFonts w:ascii="Arial" w:cs="Arial" w:eastAsia="Arial" w:hAnsi="Arial"/>
          <w:sz w:val="16"/>
          <w:szCs w:val="16"/>
          <w:color w:val="auto"/>
        </w:rPr>
        <w:t>A marine accident or spill event could close a portion of the inland</w:t>
      </w:r>
      <w:r>
        <w:rPr>
          <w:rFonts w:ascii="Arial" w:cs="Arial" w:eastAsia="Arial" w:hAnsi="Arial"/>
          <w:sz w:val="16"/>
          <w:szCs w:val="16"/>
          <w:i w:val="1"/>
          <w:iCs w:val="1"/>
          <w:color w:val="auto"/>
        </w:rPr>
        <w:t xml:space="preserve"> </w:t>
      </w:r>
      <w:r>
        <w:rPr>
          <w:rFonts w:ascii="Arial" w:cs="Arial" w:eastAsia="Arial" w:hAnsi="Arial"/>
          <w:sz w:val="16"/>
          <w:szCs w:val="16"/>
          <w:color w:val="auto"/>
        </w:rPr>
        <w:t>waterway system or a coastal area of the United States for an extended period of time. Although statistically marine transportation is the safest means of surface transportation of bulk commodities, accidents do occur, both involving Company equipment and equipment owned by other marine carriers.</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transports a wide variety of petrochemicals, black oil, refined petroleum products and agricultural chemicals throughout the Mississippi River System, on the Gulf Intracoastal Waterway, coastwise along all three United States coasts and in Alaska and Hawaii. The Company manages its exposure to losses from potential unauthorized discharges of pollutants through the use of well-maintained and equipped tank barges and towing vessels, through safety, training and environmental programs, and through the Company’s insurance program, but a discharge of pollutants by the Company could have an adverse effect on the Company. Risks may arise for which the Company may not be insured. Claims covered by insurance are subject to deductibles, the aggregate amount of which could be material, and certain policies impose limitations on coverage. Existing insurance coverage may not be able to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The Company’s marine transportation segment is dependent on its ability to adequately crew its towing vessels. </w:t>
      </w:r>
      <w:r>
        <w:rPr>
          <w:rFonts w:ascii="Arial" w:cs="Arial" w:eastAsia="Arial" w:hAnsi="Arial"/>
          <w:sz w:val="18"/>
          <w:szCs w:val="18"/>
          <w:color w:val="auto"/>
        </w:rPr>
        <w:t>The Company’s vessels are crewed</w:t>
      </w:r>
      <w:r>
        <w:rPr>
          <w:rFonts w:ascii="Arial" w:cs="Arial" w:eastAsia="Arial" w:hAnsi="Arial"/>
          <w:sz w:val="18"/>
          <w:szCs w:val="18"/>
          <w:i w:val="1"/>
          <w:iCs w:val="1"/>
          <w:color w:val="auto"/>
        </w:rPr>
        <w:t xml:space="preserve"> </w:t>
      </w:r>
      <w:r>
        <w:rPr>
          <w:rFonts w:ascii="Arial" w:cs="Arial" w:eastAsia="Arial" w:hAnsi="Arial"/>
          <w:sz w:val="18"/>
          <w:szCs w:val="18"/>
          <w:color w:val="auto"/>
        </w:rPr>
        <w:t>with employees who are licensed or certified by the USCG, including its captains, pilots, engineers and tankermen. The success of the Company’s marine transportation segment is dependent on the Company’s ability to adequately crew its vessels. As a result, the Company invests significant resources in training its crews and providing crew members an opportunity to advance from a deckhand to the captain of a Company towboat or tugboat. Inland crew members generally work a 20 days on, 10 days off rotation, or a 30 days on, 15 days off rotation. For the coastal fleet, crew members are generally required to work a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competitive labor pressure in the marine transportation segment, the Company continues to monitor and implement market competitive pay practices. The Company also utilizes an internal development program to train Maritime Academy graduates for vessel leadership positions.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marine transportation segment has approximately 3,350 employees, of which approximately 2,650 are vessel crew members. None of the segment’s inland operations are subject to collective bargaining agreements. The segment’s coastal operations include approximately 675 vessel employees, of whom approximately 400 are subject to collective bargaining agreements in certain geographic areas. Any work stoppages or labor disputes could adversely affect coastal operations in those areas.</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The Company may be unable to make attractive acquisitions or successfully integrate acquired businesses, and any inability to do so may adversely affect the Company’s business and hinder its ability to grow</w:t>
      </w:r>
      <w:r>
        <w:rPr>
          <w:rFonts w:ascii="Arial" w:cs="Arial" w:eastAsia="Arial" w:hAnsi="Arial"/>
          <w:sz w:val="17"/>
          <w:szCs w:val="17"/>
          <w:color w:val="auto"/>
        </w:rPr>
        <w:t>. The Company has made asset and business acquisitions in the past and may continue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integrate successfully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The Company’s failure to comply with the Foreign Corrupt Practices Act (“FCPA”), or similar local applicable anti-bribery laws, could have a negative impact on its ongoing operations</w:t>
      </w:r>
      <w:r>
        <w:rPr>
          <w:rFonts w:ascii="Arial" w:cs="Arial" w:eastAsia="Arial" w:hAnsi="Arial"/>
          <w:sz w:val="17"/>
          <w:szCs w:val="17"/>
          <w:color w:val="auto"/>
        </w:rPr>
        <w:t>. The Company’s operations outside the United States require the Company to comply with both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international regulations. For example, in addition to any similar applicable local anti-bribery laws, its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The Company’s marine transportation segment is subject to the Jones Act. </w:t>
      </w:r>
      <w:r>
        <w:rPr>
          <w:rFonts w:ascii="Arial" w:cs="Arial" w:eastAsia="Arial" w:hAnsi="Arial"/>
          <w:sz w:val="16"/>
          <w:szCs w:val="16"/>
          <w:color w:val="auto"/>
        </w:rPr>
        <w:t>The Company’s marine transportation segment competes principally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subject to the Jones Act, a federal cabotage law that restricts domestic marine transportation in the United States to vessels built and registered in the United States, and manned, owned and operated by United States citizens. The Company presently meets all of the requirements of the Jones Act for its owned and operated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 vessels when compared with comparable foreign flag vessels. The Company’s business could be adversely affected if the Jones Act or international trade agreements or laws were to be modified or waived as to permit foreign flag vessels to operate in the United States as these vessels are not subject to the same United States government imposed regulations, laws, and restrictions. Since the events of September 11, 2001, the United States government has taken steps to increase security of United States ports, coastal waters and inland waterways. The Company believes that it is unlikely that the current cabotage provisions of the Jones Act would be eliminated or significantly modified in a way that has a material adverse impact on the Company in the foreseeable future.</w:t>
      </w:r>
    </w:p>
    <w:p>
      <w:pPr>
        <w:sectPr>
          <w:pgSz w:w="11900" w:h="16838" w:orient="portrait"/>
          <w:cols w:equalWidth="0" w:num="1">
            <w:col w:w="11420"/>
          </w:cols>
          <w:pgMar w:left="240" w:top="121"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Waivers of the Jones Act, whether in response to natural disasters or otherwise, could result in increased competition from foreign tank vessel operators, which could negatively impact the marine transportation segment.</w:t>
      </w:r>
    </w:p>
    <w:p>
      <w:pPr>
        <w:spacing w:after="0" w:line="2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The Company’s marine transportation segment is subject to extensive regulation by the USCG, federal laws, other federal agencies, various state laws and certain international conventions, as well as numerous environmental regulations. </w:t>
      </w:r>
      <w:r>
        <w:rPr>
          <w:rFonts w:ascii="Arial" w:cs="Arial" w:eastAsia="Arial" w:hAnsi="Arial"/>
          <w:sz w:val="17"/>
          <w:szCs w:val="17"/>
          <w:color w:val="auto"/>
        </w:rPr>
        <w:t>The majority of the Company’s vessels are subject to inspection</w:t>
      </w:r>
      <w:r>
        <w:rPr>
          <w:rFonts w:ascii="Arial" w:cs="Arial" w:eastAsia="Arial" w:hAnsi="Arial"/>
          <w:sz w:val="17"/>
          <w:szCs w:val="17"/>
          <w:i w:val="1"/>
          <w:iCs w:val="1"/>
          <w:color w:val="auto"/>
        </w:rPr>
        <w:t xml:space="preserve"> </w:t>
      </w:r>
      <w:r>
        <w:rPr>
          <w:rFonts w:ascii="Arial" w:cs="Arial" w:eastAsia="Arial" w:hAnsi="Arial"/>
          <w:sz w:val="17"/>
          <w:szCs w:val="17"/>
          <w:color w:val="auto"/>
        </w:rPr>
        <w:t>by the USCG and carry certificates of inspection. The crews employed by the Company aboard vessels are licensed or certified by the USCG.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The Company is subject to risks associated with possible climate change legislation, regulation and international accords. </w:t>
      </w:r>
      <w:r>
        <w:rPr>
          <w:rFonts w:ascii="Arial" w:cs="Arial" w:eastAsia="Arial" w:hAnsi="Arial"/>
          <w:sz w:val="17"/>
          <w:szCs w:val="17"/>
          <w:color w:val="auto"/>
        </w:rPr>
        <w:t>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including carbon emissions or energy use, have increasingly become the subject of a large amount of international, national, regional, state and local attention. Pursuant to an April 2007 decision of the United States Supreme Court, the EPA was required to consider if carbon dioxide was a pollutant that endangers public health. On December 7, 2009, the EPA issued its “endangerment finding” regarding greenhouse gasses under the CAA. The EPA found that the emission of six greenhouse gases, including carbon dioxide (which is emitted from the combustion of fossil fuels), may reasonably be anticipated to endanger public health and welfare. Based on this finding, the EPA defined the mix of these six greenhouse gases to be “air pollution” subject to regulation under the CAA. Although the EPA has stated a preference that greenhouse gas regulation be based on new federal legislation rather than the existing CAA, many sources of greenhouse gas emissions may be regulated without the need for further legislation.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United States Congress has considered in the past legislation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Company’s marine transportation segment is subject to volatility in the United States production of petrochemicals. </w:t>
      </w:r>
      <w:r>
        <w:rPr>
          <w:rFonts w:ascii="Arial" w:cs="Arial" w:eastAsia="Arial" w:hAnsi="Arial"/>
          <w:sz w:val="17"/>
          <w:szCs w:val="17"/>
          <w:color w:val="auto"/>
        </w:rPr>
        <w:t>For 2019, 54% of the marine</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segment’s revenues were from the movement of petrochemicals, including the movement of raw materials and feedstocks from one refinery or petrochemical plant to another, as well as the movement of more finished products to end users and terminals for export. During 2019, petrochemical volumes increased relative to 2018 and 2017, primarily as a result of new petrochemical capacity which came online in recent years.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approximately 20 new United States petrochemical projects, including expansion of existing plants or new plants, are scheduled to be completed during 2020 and 2021, which should provide additional movements for the marine transportation segment. Higher natural gas prices and other factors could negatively impact the United States petrochemical industry and its production volumes, which would negatively impact the Company.</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The Company’s marine transportation segment could be adversely impacted by the construction of tank barges by its competitors. </w:t>
      </w:r>
      <w:r>
        <w:rPr>
          <w:rFonts w:ascii="Arial" w:cs="Arial" w:eastAsia="Arial" w:hAnsi="Arial"/>
          <w:sz w:val="17"/>
          <w:szCs w:val="17"/>
          <w:color w:val="auto"/>
        </w:rPr>
        <w:t>At the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there are an estimated 3,850 inland tank barges in the United States, of which the Company operates 1,053, or 27%. The number of tank barges peaked at an estimated 4,200 in 1982, slowly declined to 2,750 by 2003, and then gradually increased to an estimated 3,850 by the end of 2015 and 2016 and remained relatively flat since 2015. The Company estimates that industry-wide 75 tank barges were placed in service during 2017, of which five were by the Company, and 100 tank barges were retired, 54 of which were by the Company. For 2018, the Company estimated that industry-wide 75 tank barges were placed in service, of which one was by the Company, and 100 tank barges were retired, 48 of which were by the Company. For 2019, the Company estimated that industry-wide 150 new tank barges were placed in service, of which none were by the Company, and 100 tank barges were retired, 17 of which were by the Company. The increase for 2015 reflected the improved demand for inland petrochemical, refined petroleum products and black oil barges experienced in 2014 and federal tax incentives on new equipment. The decrease in the number of tank barges at the end of 2017 and 2018 was primarily due to continued industry-wide tank barge retirements and minimal new tank barge construction. The Company estimates that approximately 130 tank barges have been ordered during 2019 for delivery throughout 2020 and expects many older tank barges, including an expected four by the Company, will be retired, dependent on 2020 market conditions.</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long-term risk of an oversupply of inland tank barges may be mitigated by the fact that the inland tank barge industry has approximately 350 tank barges that are over 30 years old and approximately 240 of those over 40 years old. Given the age profile of the industry inland tank barge fleet, the expectation is that older tank barges will continue to be removed from service and replaced by new tank barges as needed, given extensive customer vetting standards,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2017, 2018, and 2019, a decline in industry-wide demand for the movement of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2017, 2018 and 2019 with additional new capacity coming on-line in 2020. Much of this new capacity is replacement capacity for older vessels anticipated to be retired.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there are approximately 280 tank barges operating in the 195,000 barrel or less coastal industry fleet, the sector of the market in which the Company operates, and approximately 20 of those are over 25 years old. In June 2018, the Company purchased a 155,000 barrel coastal ATB under construction from another operator that was delivered to the Company in the 2018 fourth quarter. The Company is aware of seven coastal tank barge and tugboat units placed in service in 2017, three in 2018, and two in 2019 by competitors. There are currently four announced coastal tank barge and tugboat units under construction by competitors for delivery in 2020 and 2021. Two of these coastal ATB units under construction are greater than 195,000 barrels.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Higher fuel prices could increase operating expenses and fuel price volatility could reduce profitability. </w:t>
      </w:r>
      <w:r>
        <w:rPr>
          <w:rFonts w:ascii="Arial" w:cs="Arial" w:eastAsia="Arial" w:hAnsi="Arial"/>
          <w:sz w:val="18"/>
          <w:szCs w:val="18"/>
          <w:color w:val="auto"/>
        </w:rPr>
        <w:t>The cost of fuel during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 of marine transportation revenue. All of the Company’s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Loss of a large customer or other significant business relationship could adversely affect the Company. </w:t>
      </w:r>
      <w:r>
        <w:rPr>
          <w:rFonts w:ascii="Arial" w:cs="Arial" w:eastAsia="Arial" w:hAnsi="Arial"/>
          <w:sz w:val="18"/>
          <w:szCs w:val="18"/>
          <w:color w:val="auto"/>
        </w:rPr>
        <w:t>Five marine transportation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approximately 19% of the Company’s 2019, 18% of 2018 and 23% of 2017 revenue. The Company has contracts with these customers expiring in 2020 through 2027. Three distribution and services customers accounted for approximately 12% of the Company’s 2019 revenue, 13% of 2018 revenue, and 14% of 2017 revenue. Although the Company considers its relationships with these companies to be strong, the loss of any of these customers could have an adverse effect on the Company.</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distribution and services segment has had a relationship with EMD, the largest manufacturer of medium-speed diesel engines, for over 50 years. The Company, through Kirby Engine Systems, serves as both an EMD distributor and service center for select markets and locations for both service and parts. With the acquisition of S&amp;S in September 2017, the Company added additional EMD exclusive distributorship rights in key states, primarily through the Central, South and Eastern areas of the United States. With the S&amp;S acquisition, the Company became the United States distributor for EMD marine and power generation applications. Sales and service of EMD products account for approximately 4% of the Company’s revenues for 2019. Although the Company considers its relationship with EMD to be strong, the loss of the EMD distributorship and service rights, or a disruption of the supply of EMD parts, could have a negative impact on the Company’s ability to service its customers.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 for parts, service and warranty on Daimler truck engines and related equipment in multiple states. Sales and service of MTU and Allison products accounted for approximately 17% of the Company’s revenues during 2019. Although the Company considers its relationships with MTU and Allison to be strong, the loss of MTU, Allison or Daimler distributorships and service rights, or a disruption of the supply of MTU or Allison parts, could have a negative impact on the Company’s ability to service its customers.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The Company is subject to competition in both its marine transportation and distribution and services segments. </w:t>
      </w:r>
      <w:r>
        <w:rPr>
          <w:rFonts w:ascii="Arial" w:cs="Arial" w:eastAsia="Arial" w:hAnsi="Arial"/>
          <w:sz w:val="18"/>
          <w:szCs w:val="18"/>
          <w:color w:val="auto"/>
        </w:rPr>
        <w:t>The inland and coastal tank barge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remains very fragmented and competitive. The Company’s 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 In addition, the Company’s failure to adhere to its safety, reliability and performance standards may impact its ability to retain current customers or attract new customers.</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distribution and services industry is also very competitive. The segment’s oil and gas market’s 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Significant increases in the construction cost of tank barges and towing vessels may limit the Company’s ability to earn an adequate return on its investment in new tank barges and towing vessels</w:t>
      </w:r>
      <w:r>
        <w:rPr>
          <w:rFonts w:ascii="Arial" w:cs="Arial" w:eastAsia="Arial" w:hAnsi="Arial"/>
          <w:sz w:val="17"/>
          <w:szCs w:val="17"/>
          <w:color w:val="auto"/>
        </w:rPr>
        <w:t>. The price of steel, economic conditions, and supply and demand dynamics can significantly impact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 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In 2018 and 2019, increases in steel costs and improvement in supply and demand dynamics resulted in construction prices for a new 30,000 barrel tank barge increasing compared to prices in 2017 when there was an industry-wide over-capacity of inland tank barges in the market.</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Company’s marine transportation segment could be adversely impacted by the failure of the Company’s shipyard vendors to deliver new vessels according to contractually agreed delivery schedules and terms. </w:t>
      </w:r>
      <w:r>
        <w:rPr>
          <w:rFonts w:ascii="Arial" w:cs="Arial" w:eastAsia="Arial" w:hAnsi="Arial"/>
          <w:sz w:val="17"/>
          <w:szCs w:val="17"/>
          <w:color w:val="auto"/>
        </w:rPr>
        <w:t>The Company contracts with shipyards to build new vessels and currently has many vessels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The Company’s distribution and services segment could be adversely impacted by future legislation or additional regulation of hydraulic fracturing practices. </w:t>
      </w:r>
      <w:r>
        <w:rPr>
          <w:rFonts w:ascii="Arial" w:cs="Arial" w:eastAsia="Arial" w:hAnsi="Arial"/>
          <w:sz w:val="16"/>
          <w:szCs w:val="16"/>
          <w:color w:val="auto"/>
        </w:rPr>
        <w:t>The Company, through its United and S&amp;S subsidiaries, is a distributor and service provider of engine and transmission related products for the oil</w:t>
      </w:r>
      <w:r>
        <w:rPr>
          <w:rFonts w:ascii="Arial" w:cs="Arial" w:eastAsia="Arial" w:hAnsi="Arial"/>
          <w:sz w:val="16"/>
          <w:szCs w:val="16"/>
          <w:i w:val="1"/>
          <w:iCs w:val="1"/>
          <w:color w:val="auto"/>
        </w:rPr>
        <w:t xml:space="preserve"> </w:t>
      </w:r>
      <w:r>
        <w:rPr>
          <w:rFonts w:ascii="Arial" w:cs="Arial" w:eastAsia="Arial" w:hAnsi="Arial"/>
          <w:sz w:val="16"/>
          <w:szCs w:val="16"/>
          <w:color w:val="auto"/>
        </w:rPr>
        <w:t>and gas services, power generation and transportation industries, and a manufacturer of oilfield service equipment, including pressure pumping units. The EPA is studying hydraulic fracturing practices, and legislation may be introduced in Congress that would authorize the EPA to impose additional regulations on hydraulic fracturing. In addition, a number of states have adopted or are evaluating the adoption of legislation or regulations governing hydraulic fracturing or byproducts of the fracturing process. Such federal or state legislation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the Company’s distribution and services segment.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The Company relies on critical information systems for the operation of its businesses, and the failure of any critical information system, including a cyber-security breach, may adversely impact its businesses. </w:t>
      </w:r>
      <w:r>
        <w:rPr>
          <w:rFonts w:ascii="Arial" w:cs="Arial" w:eastAsia="Arial" w:hAnsi="Arial"/>
          <w:sz w:val="18"/>
          <w:szCs w:val="18"/>
          <w:color w:val="auto"/>
        </w:rPr>
        <w:t>The Company is dependent on its technology infrastructure and must maintain and rely upon</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information systems for the effective and safe operation of its businesses. These information systems include software applications and hardware equipment, as well as data networks and telecommunications.</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information systems, including the Company’s proprietary vessel management computer system, are subject to damage or interruption from a number of potential sources, including but not limited to, natural disasters, software viruses, power failures and cyber-attacks. The Company has implemented measures such as emergency recovery processes, virus protection software, intrusion detection systems and annual attack and penetration audits to mitigate these risks. However, the Company cannot guarantee that its information systems cannot be damaged or compromised.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damage or compromise of its data security or its inability to use or access these critical information systems could adversely impact the efficient and safe operation of its businesses, or result in the failure to maintain the confidentiality of data of its customers or its employees and could subject the Company to increased operating expenses or legal action, which could have an adverse effect on the Company.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Prevailing natural gas and crude oil prices, as well as the volatility of their prices, could have an adverse effect on the Company’s businesses. </w:t>
      </w:r>
      <w:r>
        <w:rPr>
          <w:rFonts w:ascii="Arial" w:cs="Arial" w:eastAsia="Arial" w:hAnsi="Arial"/>
          <w:sz w:val="18"/>
          <w:szCs w:val="18"/>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At the end of 2016, the Company estimated that approximately 140 inland tank barges and approximately 10 coastal tank barges in the 195,000 barrel or less category were transporting such products, a reduction of approximately 410 inland tank barges and 25 coastal tank barges that moved into other markets. At the end of 2017, the Company estimated that approximately 250 inland tank barges and approximately three coastal tank barges were transporting crude and natural gas condensate. At the end of 2018, the Company estimates that approximately 375 inland tank barges and approximately three coastal tank barges were transporting crude and natural gas condensate. As of the end of 2019, the Company estimates that approximately 335 inland tank barges and approximately five coastal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the Company’s marine transportation segment.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Lower energy prices generally result in a decrease in the number of oil and gas wells being drilled. Oilfield service companies reduce their capital spending, resulting in decreased demand for new parts and equipment, including pressure pumping units, provided by the Company’s distribution and services segment.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 in difficulties in the Company’s ability to ramp up and ramp down production on a timely basis and, therefore, could result in an adverse impact on the Company’s distribution and services segment.</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The Company’s distribution and services segment could be adversely impacted by the construction of pressure pumping units by its competitors.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2015, an estimated 21.0 million horsepower of pressure pumping units were working, or available to work, in North America. By late 2016, the working horsepower in North America had declined to an estimated 6.0 million, with an estimated 2.0 million horsepower scrapped, an estimated 2.0 million horsepower available for work and an estimated 12.5 million horsepower stacked, the large majority of which would require major service before being placed back in service. A significant drop in demand due to the low price of crude oil resulted in an oversupply in the pressure pumping market and negatively impacted the Company’s 2015 and 2016 results of operations. During 2017 and 2018, with the stabilization of crude oil prices in the $40 to $70 per barrel range, the United States land rig count improved and service intensity in the well completion business increased. As a result, the Company experienced a healthy rebound in service demand during 2018, particularly with pressure pumping unit remanufacturing and transmission overhauls, and with the acquisition of S&amp;S in September 2017, the manufacture of oilfield service equipment, including pressure pumping units, and the sale of transmissions. At the end of 2019, an estimated 15.0 million horsepower of pressure pumping units were working in North America, with an estimated 6.0 million horsepower available to work, and 3.0 million horsepower stacked and in need of major repair. Increased expansion of, or additions to, facilities or equipment by the Company’s competitors could have a negative impact on the Company’s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information appearing in Item 1 under “Marine Transportation– Properties” and “Distribution and Services– Properties” is incorporated herein by reference. The Company believes that its facilities are adequate for its needs and additional facilities would be available if required.</w:t>
      </w:r>
    </w:p>
    <w:p>
      <w:pPr>
        <w:spacing w:after="0" w:line="1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2009, the Company was named by the EPA as a Potentially Responsible Party (“PRP”) in addition to a group of approximately 250 named PRPs under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February 20, 2015, the Company was served as a defendant in a Complaint originally filed on August 14, 2014 in the U.S. District Court of the Southern District of Texas - Houston Division, </w:t>
      </w:r>
      <w:r>
        <w:rPr>
          <w:rFonts w:ascii="Arial" w:cs="Arial" w:eastAsia="Arial" w:hAnsi="Arial"/>
          <w:sz w:val="17"/>
          <w:szCs w:val="17"/>
          <w:i w:val="1"/>
          <w:iCs w:val="1"/>
          <w:color w:val="auto"/>
        </w:rPr>
        <w:t>USOR Site PRP Group vs. A&amp;M Contractors, USES, Inc. et al.</w:t>
      </w:r>
      <w:r>
        <w:rPr>
          <w:rFonts w:ascii="Arial" w:cs="Arial" w:eastAsia="Arial" w:hAnsi="Arial"/>
          <w:sz w:val="17"/>
          <w:szCs w:val="17"/>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13, 2016, the Company, as a successor to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Marine, Inc. and its affiliated companies (“Higman”) was named as a PRP in connection with its activities at the Site. Higman is not a participant in the PRP Group Companies.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10, 2019, two tank barges and a towboat, the M/V Voyager, owned and operated by Kirby Inland Marine, were struck by the LPG tanker, the Genesis River, in the Houston Ship Channel. The bow of the Genesis River penetrated the Kirby 30015T and capsized the MMI 3014. The collision penetrated the hull of the Kirby 30015T causing its cargo, reformate, to be discharged into the water. The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 Galveston Division seeking limitation of liability and asserting the Genesis River and her owner/manager are at fault for damages including removal costs and claims under OPA and maritime law. Multiple claimants have filed claims in the limitation seeking damages under the OPA. The Company has various insurance policies covering liabilities including pollution, marine and general liability and believes that it has satisfactory insurance coverage for the potential liabilities arising from the incident. The Company believes it has accrued adequate reserves for the incident and does not expect the incident to have a material adverse effect on its business or financial condition.</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13, 2016, the tug Nathan E. Stewart and barge DBL 55, an ATB owned and operated by Kirby Offshore Marine,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of Canada limitation action as of July 26, 2019 and it is expected that the Federal Court of Canada will decide all claims against the Company. The Company is unable to estimate the potential exposure in the civil proceeding. On July 16, 2019, the Company and the Canadian government settled the charges against the subsidiary of the Company. The subsidiary of the Company agreed to pay the Canadian government a fine of approximately $2,900,000 Canadian dollars ($2,200,000 U.S. dollars) for violations of the Canadian Fisheries Act, the Migratory Birds Convention Act, the Pilotage Act and the Shipping Act of 2001.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While all legal action to date involving the Company has been resolved,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common stock is traded on the New York Stock Exchange under the symbol KEX.</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20, 2020, the Company had 59,984,000 outstanding shares held by approximately 570 stockholders of record; however, the Company believes the number of beneficial owners of common stock exceeds this number.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comparative selected financial data of the Company and consolidated subsidiaries is presented for the five years ended December 31, 2019. The information should be read in conjunction with Management’s Discussion and Analysis of Financial Condition and Results of Operations of the Company in Item 7 and the Financial Statements included under Item 8 (selected financial data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1,587,082</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1,483,143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1,471,893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1,251,317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890,312</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298,780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484,442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2,838,399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2,970,697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142,347</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78,452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313,187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141,406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per share attributable to Kirby common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55,308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59,909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55,361</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53,512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54,826</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3,777,110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3,539,802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6,079,097</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5,127,427</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4,140,558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1,369,767</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1,410,188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992,406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722,802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equity</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3,371,592</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3,216,301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3,114,223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2,412,867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2,279,196</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Statements contained in this Form 10-K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Management’s Discussion, all net earnings per share attributable to Kirby common stockholders are “diluted earnings per share.” The weighted average number of common shares outstanding applicable to diluted earnings per share for 2019, 2018 and 2017 were 59,909,000, 59,689,000 and 55,361,000, respectively. The increase in the weighted average number of common shares for 2019 compared with 2018 primarily reflects the issuance of restricted stock and restricted stock units (“RSUs”) and the exercise of stock options. The increase in the weighted average number of common shares for 2018 compared with 2017 primarily reflects the issuance of 5,696,259 shares of common stock associated with the acquisition of S&amp;S on September 13, 2017 and the issuance of restricted stock and RSUs and the exercise of stock options.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2019, the Company operated a fleet of 1,053 inland tank barges with 23.4 million barrels of capacity, and operated an average of 299 inland towboats during 2019. The Company’s coastal fleet consisted of 49 tank barges with 4.7 million barrels of capacity and 47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2019, net earnings attributable to Kirby were $142,347,000, or $2.37 per share, on revenues of $2,838,399,000, compared with 2018 net earnings attributable to Kirby of $78,452,000, or $1.31 per share, on revenues of $2,970,697,000. The 2019 fourth quarter included $35,525,000 before taxes, $27,978,000 after taxes, or $0.47 per share, non-cash inventory write-downs and $4,757,000 before taxes, $3,747,000 after taxes, or $0.06 per share, severance and early retirement expense. The 2018 year reflected the integration of Targa Resources Corp.’s (“Targa”) pressure barge fleet, acquired on May 10, 2018, and the integration of Higman, acquired on February 14, 2018. The 2018 fourth quarter included $85,108,000 before taxes, $67,235,000 after taxes, or $1.12 per share, non-cash impairment of long-lived assets and lease cancellation costs and $2,702,000 before taxes, $2,135,000 after taxes, or $0.04 per share, non-cash impairment of goodwill. The 2018 second quarter included a one-time non-deductible expense of $18,057,000, or $0.30 per share, related to the retirement of Joseph H. Pyne as executive Chairman of the Board of Directors, effective April 30,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2019, 56% of the Company’s revenues were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marine transportation segment’s revenues for 2019 increased 7% when compared with 2018 and operating income increased 46%, when compared with 2018. The increase was primarily due to the addition of the Higman fleet acquired on February 14, 2018, the Targa pressure barge fleet acquired on May 10, 2018, the CGBM 100, LLC (“CGBM”) inland tank barges acquired on December 14, 2018, and the Cenac Marine Services LLC (“Cenac”) fleet acquired on March 14, 2019, as well as improved barge utilization in the coastal market and higher spot and term contract pricing in the inland and coastal markets. Partially offsetting these increases during 2019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and fourth quarters. Operating income for 2018 was impacted by the Higman transaction costs and severance and retirement costs which were each incurred in the 2018 first quarter and are discussed above. For 2019 and 2018, the inland tank barge fleet contributed 77% and 76%, respectively, and the coastal fleet contributed 23% and 24%, respectively, of marine transportation revenues.</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Tank barge utilization levels in the Company’s inland marine transportation markets averaged in the mid-90% range during the 2019 first and second quarters and the low 90% range during the 2019 third quarter and fourth quarters. For 2018, utilization ranged from the mid-90% range during the first quarter, high 80% to low 90% during the second quarter, and the low to mid-90% range during the third and fourth quarters. Strong demand from petrochemicals, black oil, refined petroleum products and agricultural chemicals customers, along with extensive delay days due to poor operating conditions which slowed the transport of customer cargoes, contributed to increased utilization during the 2019 first and second quarters. Better weather during the 2019 third quarter and receding flood waters on the Mississippi River System resulted in fewer delay days and contributed to modestly lower utilization during the 2019 third quarter. In the 2019 fourth quarter, weather conditions seasonally deteriorated, however, reduced refinery and chemical plant utilization for many of the Company’s major customers resulted in tank barge utilization remaining in the low 90% range for the quarter.</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Coastal tank barge utilization levels averaged in the low 80% range during the 2019 first quarter and the mid-80% range during the 2019 second, third and fourth quarters. In 2018, utilization improved from the high 70% range during the 2018 first quarter to the 80% range by end of 2018. The improvement in utilization in 2019 and throughout 2018 primarily reflected improved customer demand resulting in higher utilization of spot market capacity. Utilization in the coastal marine fleet continued to be impacted by the oversupply of smaller tank barges in the coastal industry.</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2019 and 2018, approximately 65% of the inland marine transportation revenues were under term contracts and 35% were spot contract revenues. These allocations provide the operations with a more predictable revenue stream. Inland time charters, which insulate the Company from revenue fluctuations caused by weather and navigational delays and temporary market declines, represented 62% of the inland revenues under term contracts during 2019 compared with 59% during 2018. Rates on inland term contracts renewed in the 2019 first quarter increased in the 4% to 6% average range compared with term contracts renewed in the 2018 first quarter. Rates on inland term contracts renewed in the 2019 second quarter increased in the 5% to 8% average range compared with term contracts renewed in the 2018 second quarter. Rates on inland term contracts renewed in the 2019 third quarter increased in the 3% to 4% average range compared with term contracts renewed in the 2018 third quarter. Rates on inland term contracts renewed in the 2019 fourth quarter increased in the 2% to 4% average range compared with term contracts renewed in the 2018 fourth quarter. Spot contract rates, which include the cost of fuel, increased approximately 20% in the 2019 first quarter compared with the 2018 first quarter. In both the 2019 second and third quarters, spot contract rates increased approximately 15% compared to the 2018 second and third quarters. In the 2019 fourth quarter, spot contract rates increased approximately 5% compared with the 2018 fourth quarter. Effective January 1, 2019, annual escalators for labor and the producer price index on a number of inland multi-year contracts resulted in rate increases on those contracts of approximately 1.7%, excluding fuel.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2019 and 2018, approximately 80% of the coastal revenues were under term contracts and 20% were spot contract revenues. Coastal time charters represented approximately 85% of coastal revenues under term contracts during 2019 and 2018. Spot and term contract pricing in the coastal market are contingent on various factors including geographic location, vessel capacity, vessel type and product serviced. Rates on coastal term contract renewed in each of the 2019 first, second, and third quarters increased in the 4% to 6% average range compared with term contracts renewed in the 2018 first, second, and third quarters. Rates on coastal term contracts renewed in the 2019 fourth quarter increased in the 5% to 15% average range compared with term contracts renewed in the 2018 fourth quarter. Spot contract rates in both the 2019 first and second quarters increased in the 10% to 15% average range compared to the 2018 first and second quarters. In the 2019 third quarter, spot contract rates increased approximately 20% compared to the 2018 third quarter. In the 2019 fourth quarter, spot contract rates increased approximately 10% compared to the 2018 fourth quarter.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2019 marine transportation operating margin was 13.6% compared with 9.9% for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2019, the distribution and services segment generated 44% of the Company’s revenues, of which 75% was generated from service and parts and 25%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Distribution and services revenues for 2019 decreased 16% when compared to 2018 and operating income decreased 48% when compared with 2018. The decrease was primarily attributable to reduced activity in the oilfield as a result of oil price volatility in late 2018 and early 2019, an oversupply of pressure pumping equipment in North America, and reduced spending and enhanced cash flow discipline for the Company’s major oilfield customers. During the first half of 2019, although oilfield activity levels and new orders for the Company’s oilfield related products and services declined as compared to the same period in 2018, the segment benefited from a significant backlog of manufacturing orders for new and remanufactured pressure pumping equipment received in the 2018 third and fourth quarters. Most of these orders were completed in the 2019 first and second quarters as oilfield activity levels further declined for many of the Company’s customers. As a result, customer demand and incremental orders for new and remanufactured pressure pumping equipment declined significantly for the duration of 2019, and sales of new and overhauled transmissions and related parts and service were minimal during the 2019 third and fourth quarters. For 2019, the oil and gas market represented approximately 53% of distribution and services revenues.</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commercial and industrial market, which contributed 47% of distribution and services revenues for 2019, saw increased service levels and new engine sales in the marine repair business for much of the year, although activity levels in the inland market declined during the 2019 third quarter as many customers reduced maintenance activities following months of river flooding conditions and during the summer harvest season. The commercial and industrial market also experienced increased demand for power generation equipment compared to 2018, including the sale and installation of significant back-up power systems for major data centers in the 2019 first and second quarters. Activity levels for the Company’s specialty rental units, back-up power systems, and refrigeration equipment seasonally increased in anticipation of and as a result of summer storms and warm weather conditions in the 2019 second and third quarters. Demand in the nuclear power generation market was stable compared to 2018.</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distribution and services operating margin for 2019 was 5.4% compared with 8.7% for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continued to generate favorable operating cash flow during 2019 with net cash provided by operating activities of $511,813,000 compared with $346,999,000 of net cash provided by operating activities for 2018, a 47% increase. The improvement was driven by increased revenues and operating income in the marine transportation segment driven by the Higman acquisition in February 2018, the Targa acquisition in May 2018, the CGBM acquisition in December 2018, and the Cenac acquisition in March 2019, as well as improved coastal barge utilization and improved inland and coastal pricing. The improvement was also due to a net increase in cash flows from the change in operating assets and liabilities of $153,953,000, primarily due to a decrease in inventories reflecting reduced business activity levels in the distribution and services segment in 2019 compared to an increase in 2018. The inventory decrease in 2019 was primarily due to reduced business activity levels in the oil and gas market as compared to higher inventory levels in 2018 required to support higher business activity levels. In addition, during 2019 and 2018, the Company generated cash of $57,657,000 and $53,392,000, respectively, from proceeds from the disposition of assets, and $5,743,000 and $13,264,000, respectively, from proceeds from the exercise of stock options.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2019, cash generated and borrowings under the Company’s Revolving Credit Facility were used for capital expenditures of $248,164,000, including $22,008,000 for inland towboat construction, $18,433,000 for progress payments on three 5000 horsepower coastal ATB tugboats, $2,294,000 for final costs on a 155,000 barrel coastal ATB under construction purchased from another operator that was delivered to the Company in the 2018 fourth quarter, and $205,429,000 primarily for upgrading existing marine equipment and marine transportation and distribution and services facilities. The Company also used $262,491,000 for acquisitions of businesses and marine equipment.</w:t>
      </w:r>
    </w:p>
    <w:p>
      <w:pPr>
        <w:spacing w:after="0" w:line="2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debt-to-capitalization ratio decreased to 28.9% at December 31, 2019 from 30.5% at December 31, 2018, primarily due to the increase in total equity from net earnings attributable to Kirby for 2019 of $142,347,000, the exercise of stock options, the amortization of unearned equity compensation, and reduced borrowings. As of December 31, 2019, the Company had no borrowings outstanding under its Revolving Credit Facility, $375,000,000 outstanding under the Term Loan, $500,000,000 of Senior Notes Series A and Series B, and $500,000,000 under the 2028 Notes (each debt agreement as defined under “</w:t>
      </w:r>
      <w:r>
        <w:rPr>
          <w:rFonts w:ascii="Arial" w:cs="Arial" w:eastAsia="Arial" w:hAnsi="Arial"/>
          <w:sz w:val="16"/>
          <w:szCs w:val="16"/>
          <w:i w:val="1"/>
          <w:iCs w:val="1"/>
          <w:color w:val="auto"/>
        </w:rPr>
        <w:t>Long-Term Financing</w:t>
      </w:r>
      <w:r>
        <w:rPr>
          <w:rFonts w:ascii="Arial" w:cs="Arial" w:eastAsia="Arial" w:hAnsi="Arial"/>
          <w:sz w:val="16"/>
          <w:szCs w:val="16"/>
          <w:color w:val="auto"/>
        </w:rPr>
        <w:t>” below) outstanding, offset by $7,899,000 in unamortized debt discount and issuance costs (of which $2,650,000 attributable to the Revolving Credit Facility is included in other assets on the balance sheet at December 31, 2019).</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2019, the Company acquired 63 inland tank barges from Cenac with a total capacity of approximately 1,833,000 barrels, retired 17 inland tank barges, sold six inland tank barges, brought back into service eight inland tank barges, and chartered two inland tank barges, decreasing its capacity by approximately 271,000 barrels. The net result was an increase of 50 inland tank barges and approximately 1,562,000 barrels of capacity during 2019.</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projects that capital expenditures for 2020 will be in the $155,000,000 to $175,000,000 range. The 2020 construction program will consist of $25,000,000 to $30,000,000 in progress payments on the construction of six inland towboats to be placed in service in 2020. Approximately $110,000,000 to $120,000,000 is primarily capital upgrades and improvements to existing marine equipment and facilities. The balance of $20,000,000 to $25,000,000 will be for new machinery and equipment, facilities improvements and information technology projects in the distribution and services segment and corporate.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inland marine transportation market, the Company anticipates favorable market dynamics with continued growth in customer demand during 2020, driven by continued growth in U.S. GDP and growth in petrochemicals as new plants come on-line. These factors, combined with only modest inland barge additions, are expected to result in inland barge utilization rates in the low to mid-90% range during the year. Together with a full year of contribution from the acquisition in March 2019 of Cenac’s fleet and anticipated contributions from the acquisition of Savage Inland Marine, LLC (“Savage”), inland revenues and operating income are expected to increase during 2020.</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2019, the Company estimated there were approximately 3,850 inland tank barges in the industry fleet, of which approximately 350 were over 30 years old and approximately 240 of those over 40 years old. The Company estimates that approximately 130 tank barges were ordered during 2019 for delivery throughout 2020 and many older tank barges, including an expected four by the Company, will be retired, dependent on 2020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coastal marine transportation market, the Company expects revenues and operating income to be flat to slightly up compared to 2019, with coastal tank barge utilization in the mid-to high 80% range for 2020 driven by strong customer demand and tight industry capacity. Improving market conditions are expected to be driven by improving customer demand and expected additional industry retirements of aging barges due to BWMS regulations. During 2020, the Company expects to retire four aging coastal ATBs, three of which are large capacity vessels that would have required uneconomic BWMS at their next shipyard date. These retirements are expected to have a negative impact on coastal revenue and operating income during 2020. The Company also expects volumes in its coal transportation business to decline compared to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2019, the Company estimated there were approximately 280 tank barges operating in the 195,000 barrel or less coastal industry fleet, the sector of the market in which the Company operates, and approximately 20 of those were over 25 years old. The Company is aware of two announced coastal tank barge and tugboat units in the 195,000 barrel or less category under construction by competitors for delivery in 2020 and 2021.</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the distribution and services segment are largely influenced by the economic cycles of the land-based oilfield service and oil and gas operator and producer markets, marine, power generation, on-highway and other industrial markets.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Recent oilfield activity declines and crude oil price volatility have created some uncertainty for the Company’s oil and gas market and are expected to result in lower sales of new pressure pumping equipment, maintenance on existing pressure pumping units, transmission overhauls, and parts sales. Based on current activity levels, orders and deliveries of new pressure pumping equipment are expected to remain low throughout 2020, and maintenance activities are expected to be minimal. Transmission overhauls and parts sales are also expected to decline compared to 2019, but increase relative to 2019 fourth quarter levels as the year progresses. As a result, revenues and operating income for the Company’s oil and gas market are expected to decline in 2020 as compared to 2019.</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distribution and services commercial and industrial market, the Company anticipates revenues and operating income in 2020 to be higher compared to 2019 with growth in on-highway and industrial markets. Activity in the power generation market and the commercial marine markets are expected to be stable in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The Company extends credit to its customers in the normal course of business. The Company regularly reviews its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 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Property, Maintenance and Repairs. </w:t>
      </w:r>
      <w:r>
        <w:rPr>
          <w:rFonts w:ascii="Arial" w:cs="Arial" w:eastAsia="Arial" w:hAnsi="Arial"/>
          <w:sz w:val="17"/>
          <w:szCs w:val="17"/>
          <w:color w:val="auto"/>
        </w:rPr>
        <w:t>Property is recorded at cost. Improvements and betterments are capitalized as incurred. Depreciation is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or improves the operating capacity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Routine repairs and maintenance on ocean-going vessels are expensed as incurred. Interest is capitalized on the construction of new ocean-going vessels.</w:t>
      </w:r>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reviews long-lived assets for impairment by vessel class whenever events or changes in circumstances indicate that the carrying amount of the assets may not be recoverable. Recoverability of the assets is measured by a comparison of the carrying amount of the assets to future net cash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The excess of the purchase price over the fair value of identifiable net assets acquired in transactions accounted for as a purchase 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Accrued Insurance. </w:t>
      </w:r>
      <w:r>
        <w:rPr>
          <w:rFonts w:ascii="Arial" w:cs="Arial" w:eastAsia="Arial" w:hAnsi="Arial"/>
          <w:sz w:val="17"/>
          <w:szCs w:val="17"/>
          <w:color w:val="auto"/>
        </w:rPr>
        <w:t>The Company is subject to property damage and casualty risks associated with operating vessels carrying large volumes of bulk</w:t>
      </w:r>
      <w:r>
        <w:rPr>
          <w:rFonts w:ascii="Arial" w:cs="Arial" w:eastAsia="Arial" w:hAnsi="Arial"/>
          <w:sz w:val="17"/>
          <w:szCs w:val="17"/>
          <w:i w:val="1"/>
          <w:iCs w:val="1"/>
          <w:color w:val="auto"/>
        </w:rPr>
        <w:t xml:space="preserve"> </w:t>
      </w:r>
      <w:r>
        <w:rPr>
          <w:rFonts w:ascii="Arial" w:cs="Arial" w:eastAsia="Arial" w:hAnsi="Arial"/>
          <w:sz w:val="17"/>
          <w:szCs w:val="17"/>
          <w:color w:val="auto"/>
        </w:rPr>
        <w:t>liquid and dry cargo 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or are not yet fully developed. The Company uses historic experience and actuarial analysis by outside consultants to estimate an appropriate level of reserves. If the actual number of claims and magnitude were substantially greater than assumed, the required level of reserves for claims incurred but not reported or fully developed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29, 2020, the Company signed a definitive agreement to acquire the inland tank barge fleet of Savage for approximately $278,000,000 in cash, subject to certain closing adjustments. Savage’s tank barge fleet consists of 90 inland tank barges with approximately 2.5 million barrels of capacity and 46 inland towboats. Savage primarily moves petrochemicals, refined products, and crude oil on the Mississippi River, its tributaries, and the Gulf Intracoastal Waterway. Savage also operates a significant ship bunkering business as well as barge fleeting services along the Gulf Coast. The closing of the acquisition is expected to occur late in the first quarter of 2020 and is subject to customary closing conditions, including regulatory approvals under the Hart-Scott-Rodino Act. The purchase will be financed through additional borrowings.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3, 2020, the Company completed the acquisition of substantially all the assets of Convoy Servicing Company and Agility Fleet Services, LLC (collectively “Convoy”) for approximately $40,000,000 in cash, before post-closing adjustments. Convoy is an authorized dealer for Thermo King refrigeration systems for trucks, railroad cars and other land transportation markets for North and East Texas as well as in Colorado. Financing of the acquisition was through borrowings under the Company’s Revolving Credit Facility.</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year ended December 31, 2019, the Company purchased, from various counterparties, a barge fleeting operation in Lake Charles, Louisiana and nine inland tank barges from leasing companies for an aggregate of $17,991,000 in cash. The Company had been leasing the barges prior to the purchases. Financing of these acquisitions was through borrowings under the Company’s Revolving Credit Facility.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14, 2019, the Company completed the acquisition of the marine transportation fleet of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 Financing of the acquisition was through borrowings under the Company’s Revolving Credit Facility.</w:t>
      </w:r>
    </w:p>
    <w:p>
      <w:pPr>
        <w:spacing w:after="0" w:line="19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December 28, 2018, the Company purchased three inland tank barges from a leasing company for $3,120,000 in cash. The Company had been leasing the barges prior to the purchase. Financing of the equipment acquisition was through borrowings under the Company’s Revolving Credit Facility.</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14, 2018, the Company purchased 27 inland tank barges with a barrel capacity of 306,000 barrels from CGBM for $28,500,000 in cash. The 27 tank barges transport petrochemicals and refined products on the Mississippi River System and the Gulf Intracoastal Waterway. The average age of the barges was eight years. Financing of the equipment acquisition was through borrowings under the Company’s Revolving Credit Facility.</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November 30, 2018, the Company purchased an inland towboat from a leasing company for $3,050,000 in cash. The Company had been leasing the towboat prior to the purchase. Financing of the equipment acquisition was through borrowings under the Company’s Revolving Credit Facility.</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10, 2018, the Company completed the purchase of Targa’s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Financing of the business acquisition was through borrowings under the Company’s Revolving Credit Facility.</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March 15, 2018, the Company purchased two inland pressure tank barges from a competitor for $10,400,000 in cash. The average age of the two tank barges was five years. Financing of the equipment acquisition was through borrowings under the Company’s Revolving Credit Facility.</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14, 2018, the Company completed the acquisition of Higman for $421,922,000 in cash. Higman’s fleet consisted of 163 inland tank barges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the 2028 Notes. The 2028 Notes were issued on February 12, 2018 in preparation for closing of the acquisition.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20, 2017, San Jac, a subsidiary of the Company, purchased certain assets of Sneed Shipbuilding, Inc. for $14,852,000 in cash including its Channelview, Texas shipyard. San Jac is a builder of marine vessels for both inland and offshore applications and a provider of repair and maintenance services. The Company intends to build towboats at the shipyard and use the facilities for routine maintenance. Financing of the acquisition was through borrowings under the Company’s Revolving Credit Facility.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total value of the transaction was $758,213,000 consisting of cash consideration of $377,935,000, the assumption of $13,724,000 of debt and $366,554,000 through the issuance of 5,696,259 shares of Company common stock valued at $64.35 per share, the Company’s closing share price on September 13, 2017. The debt assumed consisted of $12,135,000 of term debt and $1,589,000 of short-term secured loans related to the Company’s South American operations. The term debt was paid off without penalty in the 2017 fourth quarter. Financing of the acquisition was through a combination of the Company’s Revolving Credit Facility and the issuance of Company common stock.</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S&amp;S is a distributor in certain geographic areas for Allison Transmission, MTU, Detroit Diesel, EMD, Deutz and several other manufacturers. S&amp;S’ principal customers are oilfield service companies, oil and gas operators and producers, and companies in the marine, mining, power generation, on-highway and other commercial and industrial applications.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Financing of the equipment acquisition was through borrowings under the Company’s Revolving Credit Facility.</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 The Company had been leasing the barges prior to the purchase. Financing of the acquisitions was through the Company’s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reported 2019 net earnings attributable to Kirby of $142,347,000, or $2.37 per share, on revenues of $2,838,399,000, compared with 2018 net earnings attributable to Kirby of $78,452,000, or $1.31 per share, on revenues of $2,970,697,000, and 2017 net earnings attributable to Kirby of $313,187,000, or $5.62 per share, on revenues of $2,214,418,000.</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Marine transportation revenues for 2019 were $1,587,082,000, or 56% of total revenues, compared with $1,483,143,000, or 50% of total revenues for 2018, and $1,324,106,000, or 60% of total revenues for 2017. Distribution and services revenues for 2019 were $1,251,317,000, or 44% of total revenues, compared with $1,487,554,000, or 50% of total revenues for 2018, and $890,312,000, or 40% of total revenues for 2017.</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2019 fourth quarter included $35,525,000 before taxes, $27,978,000 after taxes, or $0.47 per share, non-cash inventory write-downs and $4,757,000 before taxes, $3,747,000 after taxes, or $0.06 per share, severance and early retirement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2018 fourth quarter included $85,108,000 before taxes, $67,235,000 after taxes, or $1.12 per share, non-cash impairment of long-lived assets and lease cancellation costs and $2,702,000 before taxes, $2,135,000 after taxes, or $0.04 per share, non-cash impairment of goodwill. The 2018 second quarter included a one-time non-deductible expense of $18,057,000, or $0.30 per share, related to the retirement of Joseph H. Pyne as executive Chairman of the Board of Directors, effective April 30,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2017 year included $269,472,000 after taxes, or $4.83 per share, of deferred tax benefit, the result of recent federal tax reform legislation that resulted in the remeasurement of the Company’s United States deferred tax assets and liabilities. This was partially offset by $105,712,000 before taxes, $66,975,000 after taxes, or $1.20 per share, non-cash impairment of long-lived assets and $5,449,000 before taxes, $3,389,000 after taxes, or $0.06 per share, charge for severance and early workforce retirements.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2017 results reflect the acquisition of S&amp;S on September 13, 2017. The 2017 results were negatively impacted by S&amp;S acquisition related costs of $2,119,000, or $0.02 per share. The 2017 third quarter also included an estimated net $0.03 per share negative impact of Hurricane Harvey, which made landfall along the Texas Gulf Coast in late August 2017, impacting the marine transportation and distribution and services operations, and Hurricane Irma, which disrupted the coastal marine transportation and distribution and services operations along the East Coast.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2019, the Company operated 1,053 inland tank barges, including 24 leased barges, with a total capacity of 23.4 million barrels. This compares with 1,003 inland tank barges operated as of December 31, 2018, including 31 leased barges, with a total capacity of 21.8 million barrels. The Company operated an average of 299 inland towboats during 2019, of which an average of 75 were chartered, compared with 278 during 2018, of which an average of 77 were chartered.</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coastal tank barge fleet as of December 31, 2019 consisted of 49 tank barges, including two of which were leased, with 4.7 million barrels of capacity, and 47 coastal tugboats, five of which were chartered. This compares with 53 coastal tank barges operated as of December 31, 2018, four of which were leased, with 5.1 million barrels of capacity, and 50 coastal tugboats, four of which were chartered. As of December 31, 2019 and 2018, the Company owned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which transports project cargoes and cargo containers by barge.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years ended December 31, 2019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 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2018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2017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1,587,082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1,483,143</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1,034,758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997,979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867,069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122,421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116,827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33,020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25,765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182,307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178,898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1,371,240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1,335,727</w:t>
            </w:r>
          </w:p>
        </w:tc>
        <w:tc>
          <w:tcPr>
            <w:tcW w:w="28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1,188,559</w:t>
            </w: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215,842</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147,416</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135,547</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2019,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Distribution</w:t>
            </w:r>
          </w:p>
        </w:tc>
        <w:tc>
          <w:tcPr>
            <w:tcW w:w="4100" w:type="dxa"/>
            <w:vAlign w:val="bottom"/>
            <w:gridSpan w:val="2"/>
          </w:tcPr>
          <w:p>
            <w:pPr>
              <w:ind w:left="1320"/>
              <w:spacing w:after="0"/>
              <w:rPr>
                <w:sz w:val="20"/>
                <w:szCs w:val="20"/>
                <w:color w:val="auto"/>
              </w:rPr>
            </w:pPr>
            <w:r>
              <w:rPr>
                <w:rFonts w:ascii="Arial" w:cs="Arial" w:eastAsia="Arial" w:hAnsi="Arial"/>
                <w:sz w:val="18"/>
                <w:szCs w:val="18"/>
                <w:b w:val="1"/>
                <w:bCs w:val="1"/>
                <w:color w:val="auto"/>
              </w:rPr>
              <w:t>Products Moved</w:t>
            </w:r>
          </w:p>
        </w:tc>
        <w:tc>
          <w:tcPr>
            <w:tcW w:w="3160" w:type="dxa"/>
            <w:vAlign w:val="bottom"/>
          </w:tcPr>
          <w:p>
            <w:pPr>
              <w:ind w:left="130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54%</w:t>
            </w:r>
          </w:p>
        </w:tc>
        <w:tc>
          <w:tcPr>
            <w:tcW w:w="200" w:type="dxa"/>
            <w:vAlign w:val="bottom"/>
            <w:tcBorders>
              <w:top w:val="single" w:sz="8" w:color="CCEEFF"/>
            </w:tcBorders>
            <w:shd w:val="clear" w:color="auto" w:fill="CCEEFF"/>
          </w:tcPr>
          <w:p>
            <w:pPr>
              <w:spacing w:after="0"/>
              <w:rPr>
                <w:sz w:val="17"/>
                <w:szCs w:val="17"/>
                <w:color w:val="auto"/>
              </w:rPr>
            </w:pPr>
          </w:p>
        </w:tc>
        <w:tc>
          <w:tcPr>
            <w:tcW w:w="3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Benzene, Styrene, Methanol, Acrylonitrile, Xylene,</w:t>
            </w:r>
          </w:p>
        </w:tc>
        <w:tc>
          <w:tcPr>
            <w:tcW w:w="18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0"/>
              </w:rPr>
              <w:t>Consumer non-durables — 70% Consumer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Naphtha, Caustic Soda, Butadiene, Propylene</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durables —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23%</w:t>
            </w:r>
          </w:p>
        </w:tc>
        <w:tc>
          <w:tcPr>
            <w:tcW w:w="20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Residual Fuel Oil, Coker Feedstock, Vacuum Gas Oil,</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Fuel for Power Plants and Ships, Feedstock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Asphalt, Carbon Black Feedstock, Crude Oil, Natural</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 Refineries, Road Construction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 Condensate, Ship Bunkers</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19%</w:t>
            </w:r>
          </w:p>
        </w:tc>
        <w:tc>
          <w:tcPr>
            <w:tcW w:w="20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Gasoline, No. 2 Oil, Jet Fuel, Heating Oil, Diesel</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Ethanol</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20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Anhydrous Ammonia, Nitrogen-Based Liquid</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 Production,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with 2018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Marine transportation revenues for 2019 increased 7% when compared with 2018. The increase was primarily due to the addition of the Higman fleet acquired on February 14, 2018, the Targa pressure barge fleet acquired on May 10, 2018, the CGBM inland tank barges acquired on December 14, 2018, and the Cenac fleet acquired on March 14, 2019, as well as improved barge utilization in the coastal market and higher spot and term contract pricing in the inland and coastal markets. Partially offsetting the increase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and fourth quarters. For 2019 and 2018, the inland tank barge fleet contributed 77% and 76%, respectively, and the coastal fleet 23% and 24%, respectively, of marine transportation revenues. The Cenac fleet was quickly integrated into the Company’s own fleet and the Cenac equipment began to operate on the Company’s contracts soon after the acquisition and Cenac barges worked with the Company’s towboats and vice versa resulting in differences in vessel utilization and pricing among individual assets and the consolidated fleet. Due to this quick integration, it is not practical to provide a specific amount of revenues for Cenac but the acquisition in March 2019 was one of the factors that drove increases in marine transportation revenues in 2019 as compared to 2018.</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Tank barge utilization levels in the Company’s inland marine transportation markets averaged the mid-90% range during the 2019 first and second quarters and low 90% range during the 2019 third and fourth quarters. Strong demand from petrochemicals, black oil, refined petroleum products and agricultural chemicals customers, along with extensive delay days due to poor operating conditions which slowed the transport of customer cargoes, contributed to increased utilization during the 2019 first and second quarters. Better weather during the 2019 third quarter and receding flood waters on the Mississippi River System resulted in fewer delay days and contributed to modestly lower utilization during the 2019 third quarter. In the 2019 fourth quarter, weather conditions seasonally deteriorated, however, reduced refinery and chemical plant utilization for many of the Company’s major customers resulted in tank barge utilization remaining in the low 90% range for the quarter.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Coastal tank barge utilization levels averaged in the low 80% range during the 2019 first quarter and mid-80% range during the 2019 second, third and fourth quarters. The improvement in utilization in 2019 primarily reflected improved customer demand resulting in higher utilization of spot market capacity. Utilization in the coastal marine fleet continued to be impacted by the oversupply of smaller tank barges in the coastal industry.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petrochemical market, the Company’s largest market, contributed 54% of marine transportation revenues for 2019, reflecting continued stable volumes from Gulf Coast petrochemical plants for both domestic consumption and to terminals for export destinations, the addition of the Targa pressure barge fleet in May 2018.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in 2018 and 2019 benefited the market.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black oil market, which contributed 23% of marine transportation revenues for 2019, reflected strong demand from steady refinery production levels and the export of refined petroleum products and fuel oils. The Company continued to transport crude oil and natural gas condensate produced from the Eagle Ford and Permian Basin shale formations in Texas, both along the Gulf Intracoastal Waterway with inland vessels and in the Gulf of Mexico with coastal vessels. Additionally, the Company transported increased volumes of Utica natural gas condensate downriver from the Mid-Atlantic to the Gulf Coast and Canadian and Bakken crude downriver from the Midwest to the Gulf Coast.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refined petroleum products market, which contributed 19% of marine transportation revenues for 2019, reflected increased volumes in the inland market, due in part to the acquisition of Cenac, and stable volumes in coastal.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2019, saw typical seasonal demand for transportation of both domestically produced and imported products during 2019.</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2019, the inland operations incurred 13,259 delay days, 32% more than the 10,046 delay days that occurred during 2018. Delay days measure the lost time incurred by a tow (towboat and one or more tank barges) during transit when the tow is stopped due to weather, lock conditions or other navigational factors. The increase in delay days reflected unusually poor operating conditions during 2019 due to heavy fog along the Gulf Coast, extended periods of ice on the Illinois River, near record high water conditions on the Mississippi River System, closures of key waterways as a result of lock maintenance projects and extended delays in the Houston Ship Channel. Flood waters on the Mississippi River System receded in the beginning of August 2019.</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2019 and 2018, approximately 65% of marine transportation inland revenues were under term contracts and 35% were spot contract revenues. Inland time charters, which insulate the Company from revenue fluctuations caused by weather and navigational delays and temporary market declines, represented 62% of inland revenues under term contracts during 2019 compared with 59% during 2018.</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Rates on inland term contracts renewed in the 2019 first quarter increased in the 4% to 6% average range compared with term contracts renewed in the 2018 first quarter. Rates on inland term contracts renewed in the 2019 second quarter increased in the 5% to 8% average range compared with term contracts renewed in the 2018 second quarter. Rates on inland term contracts renewed in the 2019 third quarter increased in the 3% to 4% average range compared with term contracts renewed in the 2018 third quarter. Rates on inland term contracts renewed in the 2019 fourth quarter increased in the 2% to 4% average range compared with term contracts renewed in the 2018 fourth quarter. Spot contract rates, which include the cost of fuel, increased approximately 20% in the 2019 first quarter compared with the 2018 first quarter. In both the 2019 second and third quarters, spot contract rates increased approximately 15% compared with the 2018 second and third quarters. In the 2019 fourth quarter, spot contract rates increased approximately 5% compared with the 2018 fourth quarter. Effective January 1, 2019, annual escalators for labor and the producer price index on a number of inland multi-year contracts resulted in rate increases on those contracts of approximately 1.7%, excluding fuel.</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2019 and 2018, approximately 80% of the coastal revenues were under term contracts and 20% were spot contract revenues. Coastal time charters which insulate the Company from revenue fluctuations caused by weather and navigational delays and temporary market declines, represented approximately 85% of coastal revenues under term contracts during 2019 and 2018. Spot and term contract pricing in the coastal market are contingent on various factors including geographic location, vessel capacity, vessel type and product serviced. Spot market rates in the 2019 first and second quarters increased in the 10% to 15% average range compared to the 2018 first and second quarters. In the 2019 third quarter, spot market rates increased approximately 20% compared to the 2018 third quarter. In the 2019 fourth quarter, spot market rates increased approximately 10% compared to the 2018 fourth quarter. Rates on coastal term contracts renewed in each of the 2019 first, second, and third quarters increased in the 4% to 6% average range compared with term contracts renewed in the 2018 first, second, and third quarters. Rates on coastal term contracts renewed in the 2019 fourth quarter increased in the 5% to 15% average range compared with term contracts renewed in the 2018 fourth quarter.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Costs and expenses for 2019 increased 3% when compared with 2018. Costs of sales and operating expenses for 2019 increased 4% compared with 2018, primarily due to the addition of the Higman fleet in February 2018 and the Cenac fleet in March 2019, partially offset by lower fuel costs.</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inland marine transportation fleet operated an average of 299 towboats during 2019, of which an average of 75 were chartered, compared with 278 during 2018, of which an average of 77 were chartered. The increase was primarily due to the addition of inland towboats with the Cenac acquisition on March 14, 2019.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2019, the inland operations consumed 50.0 million gallons of diesel fuel compared to 49.3 million gallons consumed during 2018. The average price per gallon of diesel fuel consumed during 2019 was $2.06 per gallon compared with $2.20 per gallon for 2018.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expenses for 2019 was consistent with 2018. The 2019 fourth quarter included $1,447,000 related to severance and early retirement expense. The 2019 year also included costs due to Cenac acquisition related costs of $442,000 and salaries as well as the related costs of personnel acquired in the Higman acquisition. In 2018, there were transaction costs of $3,261,000, consisting primarily of legal, audit and other professional fees associated with the Higman acquisition and severance charges of $2,591,000 associated with the integration of Higman into the Company and further reduction in headcount in the coastal sector in order to manage costs, both of which were incurred in the 2018 first quarter.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Taxes, other than on income for 2019 increased 5% compared with 2018, mainly due to higher property taxes on marine transportation equipment, including the Higman, Targa, CGBM, and Cenac fleets.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Marine transportation operating income for 2019 increased 46% compared with 2018. The operating margin was 13.6% for 2019 compared with 9.9% for 2018. The operating income increase in 2019 compared to 2018 was primarily due to the acquisitions of Higman, Targa’s pressure barge fleet, CGBM’s inland tank barges, and Cenac’s fleet as well as improved barge utilization in the coastal market and higher spot and term contract pricing in the inland and coastal markets, partially offset by significant weather and navigational challenges in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Marine transportation revenues for 2018 increased 12% when compared with 2017 primarily due to the addition of the Higman inland tank barges acquired on February 14, 2018 and the Targa pressure barge fleet acquired on May 10, 2018, and improved barge utilization and spot contract pricing in the inland market. Partially offsetting the increase were lower term and spot contract pricing in the coastal market, poor seasonal weather conditions in the first four months and fourth quarter of 2018, lock closures in the 2018 second half and fewer coastal tank barges available with the retirement of 12 tank barges in the 2017 fourth quarter. Demand in the coastal markets continued to be impacted by the oversupply of tank barges in the coastal industry. For 2018 and 2017, the inland tank barge fleet contributed 76% and 70%, respectively, and the coastal fleet 24% and 30%, respectively, of marine transportation revenues. The Higman fleet was quickly integrated into the Company’s own fleet. The Higman equipment began to operate on the Company’s contracts soon after the acquisition and Higman barges worked with the Company’s towboats and vice versa resulting in differences in vessel utilization and pricing among individual assets and the consolidated fleet. Due to this quick integration, it is not practical to provide a specific amount of revenues for Higman but the acquisition in February 2018 was one of the primary factors that drove increases in marine transportation revenues in 2018 as compared to 2017.</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Tank barge utilization levels in the Company’s inland marine transportation markets were in the mid-90% range during the 2018 first quarter, high 80% to low 90% during the second quarter, and the low to mid-90% range during the third and fourth quarters. Increased customer demand and poor seasonal operating conditions contributed to a tight market across the entire inland tank barge industry during 2018. Operating conditions were adversely impacted by high water conditions on the Mississippi River early in the 2018 second quarter, however, weather conditions improved in May and June, enhancing operating efficiency but driving seasonally lower utilization compared to the 2018 first quarter. Increasing volumes from petrochemical and black oil customers, lock infrastructure projects in Louisiana as well as on the Ohio River, and refinery turnarounds contributed to increased utilization during the 2018 second half compared to the 2018 first half.</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Coastal tank barge utilization levels improved throughout 2018 from the high 70% range during the 2018 first quarter to the 80% range by end of 2018. The improvement in utilization primarily reflected the retirement of 12 out-of-service coastal barges during the 2017 fourth quarter.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petrochemical market, the Company’s largest market, contributed 56% of marine transportation revenues for 2018, reflecting continued stable volumes from Gulf Coast petrochemical plants for both domestic consumption and to terminals for export destinations, the addition of the Targa pressure barge fleet in May 2018 and the addition of inland tank barges acquired in July 2017 from an undisclosed competitor.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in 2017 and 2018 benefited the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black oil market, which contributed 21% of marine transportation revenues for 2018, reflected higher revenues in the inland market primarily due to the addition of the Higman fleet.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Revenues for the transportation of black oil products in the coastal market during 2018 were lower compared with 2017 due to the continued industry-wide over supply of tank barges in the coastal industry.</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refined petroleum products market, which contributed 19% of marine transportation revenues for 2018, reflected stronger volumes in the inland market primarily due to the addition of the Higman fleet, partially offset by lower utilization in the coastal market, primarily a result of the oversupply of coastal tank barge capacity.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2018, saw typical seasonal demand for transportation of both domestically produced and imported products during 2018.</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2018, the inland operations incurred 10,046 delay days, 33% more than the 7,577 delay days that occurred during 2017. Delay days measure the lost time incurred by a tow (towboat and one or more tank barges) during transit when the tow is stopped due to weather, lock conditions or other navigational factors. The increase in delay days reflected the lock infrastructure projects in the 2018 third quarter and the challenging operating conditions in the 2018 first quarter due to ice on the Illinois River, infrastructure issues on the Ohio River, seasonal fog and high winds, as well as lock delays along the Gulf Intracoastal Waterway. High water conditions on the Ohio and Mississippi Rivers in the first four months of 2018 also increased delay days.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2018, approximately 65% of marine transportation inland revenues were under term contracts and 35% were spot contract revenues. For 2017, approximately 75% of inland revenues were under term contracts and 25% were spot contract revenues. These allocations provide the operations with a more predictable revenue stream. Inland time charters, which insulate the Company from revenue fluctuations caused by weather and navigational delay and temporary market declines, represented 59% of inland revenues under term contracts during 2018 compared with 49% for 2017.</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and 2017, approximately 80% of the coastal marine transportation revenues were under term contracts and 20% were spot contract revenues. Coastal time charters, which insulate the Company from revenue fluctuations caused by weather and navigational delays and temporary market declines, represented approximately 85% of the coastal revenues under term contracts in 2018 and 2017.</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Rates on inland term contracts renewed in the 2018 first quarter decreased in the 4% to 6% average range compared with term contracts renewed in the first quarter of 2017. Rates on inland term contracts renewed in the 2018 second quarter increased in the 1% to 3% average range compared with term contracts renewed in the second quarter of 2017. In the 2018 third quarter, rates on inland term contracts renewed increased in the 3% to 5% average range compared with term contracts renewed in the third quarter of 2017. In the 2018 fourth quarter, rates on inland term contracts were generally higher in the 1% to 3% average range, though some multi-year contracts did renew lower, compared with term contracts renewed in the fourth quarter of 2017. Spot contract rates, which include the cost of fuel, increased in the 10% to 15% range in the 2018 first and second quarters compared with the 2017 first and second quarters. In the 2018 third and fourth quarters, spot contract rates increased in the 20% to 25% range compared with the 2017 third and fourth quarters. Effective January 1, 2018, annual escalators for labor and the producer price index on a number of inland multi-year contracts resulted in rate increases on those contracts of approximately 1.0%, excluding fuel.</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2018 and 2017, approximately 80% of the coastal revenues were under term contracts and 20% were spot contract revenues. Coastal time charters represented approximately 85% of coastal revenues under term contracts during 2018 and 2017. Spot and term contract pricing, which are contingent on various factors including geographic location, vessel capacity, vessel type and product serviced, were stable throughout the 2018 first and second quarters compared with pricing in the 2017 fourth quarter, and moved modestly higher in the 2018 third and fourth quarters. In the 2018 first and second quarters, both term and spot contract pricing declined in the 10% to 15% range compared to the 2017 first and second quarters. Compared to the 2017 third quarter, spot market pricing in the 2018 third quarter was similar but term contract pricing increased modestly. Compared to the 2017 fourth quarter, spot market pricing in the 2018 fourth quarter was approximately 10% higher and term contract pricing increased modestly.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Costs and expenses for 2018 increased 12% when compared with 2017. Costs of sales and operating expenses for 2018 increased 15% compared with 2017, primarily due to the addition of the Higman fleet of inland tank barges and towboats in February 2018 and higher fuel costs.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inland marine transportation fleet operated an average of 278 towboats during 2018, of which an average of 77 were chartered, compared with 224 during 2017, of which an average of 70 were chartered. The increase was primarily due to the addition of inland towboats with the Higman acquisition on February 14, 2018.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one-third of its horsepower requirements.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2018, the inland operations consumed 49.3 million gallons of diesel fuel compared to 40.4 million gallons consumed during 2017, driven by the Higman acquisition. The average price per gallon of diesel fuel consumed during 2018 was $2.20 per gallon compared with $1.79 per gallon for 2017. Fuel escalation and de-escalation clauses on term contracts are designed to rebate fuel costs when prices decline and recover additional fuel costs when fuel prices rise; however, there is generally a 30 to 90 day delay before the contracts are adjusted. The Company’s spot contracts do not have escalators for fuel.</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Selling, general and administrative expenses for 2018 increased 5% compared with 2017, primarily due to the addition of Higman personnel and related expenses plus higher incentive compensation accruals. The increase included $3,261,000 of transaction costs, consisting primarily of legal, audit and other professional fees associated with the Higman acquisition, severance charges of $2,591,000 associated with the integration of Higman into the Company and further reduction in headcount in the coastal sector in order to manage costs, and $2,378,000 of non-cash expenses related to the amendment of the employee stock award plan; all of which were incurred in the 2018 first quarter.</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Taxes, other than on income for 2018 increased 28% compared with 2017, mainly due to higher property taxes on marine transportation equipment, including the Higman and Targa fleets, and higher waterway use taxes due to higher business activity levels, mainly due to the Higman acquisition.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Marine transportation operating income for 2018 increased 9% compared with 2017. The operating margin was 9.9% for 2018 compared with 10.2% for 2017. The operating income increase in 2018 compared to 2017 was primarily due to the acquisitions of Higman and Targa’s pressure barge fleet, improved term and spot contract pricing in the inland market, and improved barge utilization in the inland market, partially offset by lower coastal term and spot contract pricing, poor seasonal weather conditions in the first four months and fourth quarter of 2018 and lock closures in the 2018 second half. Higman transaction costs, severance and retirement charges, and expenses related to the amendment of the employee stock award plan also negatively impacted the 2018 first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for the three years ended December 31, 2019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6"/>
              </w:rPr>
              <w:t>2018 to</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2017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1,251,317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1,487,554</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890,312</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995,288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1,162,967</w:t>
            </w:r>
          </w:p>
        </w:tc>
        <w:tc>
          <w:tcPr>
            <w:tcW w:w="26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691,029</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149,756</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89,060</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6,177</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3,357</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35,998</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39,349</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1,184,116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1,358,249</w:t>
            </w:r>
          </w:p>
        </w:tc>
        <w:tc>
          <w:tcPr>
            <w:tcW w:w="260" w:type="dxa"/>
            <w:vAlign w:val="bottom"/>
          </w:tcPr>
          <w:p>
            <w:pPr>
              <w:spacing w:after="0"/>
              <w:rPr>
                <w:sz w:val="19"/>
                <w:szCs w:val="19"/>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803,833</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67,201</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129,305</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86,479</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markets serviced by the Company, the revenue distribution for 2019, and the customers for each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5880" w:type="dxa"/>
            <w:vAlign w:val="bottom"/>
          </w:tcPr>
          <w:p>
            <w:pPr>
              <w:ind w:left="252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 and Gas</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53%</w:t>
            </w:r>
          </w:p>
        </w:tc>
        <w:tc>
          <w:tcPr>
            <w:tcW w:w="22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47%</w:t>
            </w:r>
          </w:p>
        </w:tc>
        <w:tc>
          <w:tcPr>
            <w:tcW w:w="61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Inland River Carriers — Dry and Liquid, Offshore Towing — Dry and Liquid,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Offshore Oilfield Services — Drilling Rigs &amp; Supply Boats, Harbor Towing,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Dredging, Great Lakes Ore Carriers, Pleasure Crafts, On and Off-Highway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Transportation, Power Generation, Standby Power Generation, Pumping Stations</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with 2018</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Distribution and services revenues for 2019 decreased 16% when compared to 2018. The decrease was primarily attributable to reduced activity in the oilfield as a result of oil price volatility in late 2018 and early 2019, an oversupply of pressure pumping equipment in North America, and reduced spending and enhanced cash flow discipline for the Company’s major oilfield customers. During the first half of 2019, although oilfield activity levels and new orders for the Company’s oilfield related products and services declined as compared to the same period in 2018, the segment benefited from a significant backlog of manufacturing orders for new and remanufactured pressure pumping equipment received in the 2018 third and fourth quarters. Most of these orders were completed in the 2019 first and second quarters as oilfield activity levels further declined for many of the Company’s customers. As a result, customer demand and incremental orders for new and remanufactured pressure pumping equipment declined significantly for the duration of 2019, and sales of new and overhauled transmissions and related parts and service were minimal during the 2019 third and fourth quarters. For 2019, the oil and gas market represented approximately 53% of distribution and services revenues.</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commercial and industrial market, which contributed 47% of distribution and services revenues for 2019, saw increased service levels and new engine sales in the marine repair business for much of the year, although activity levels in the inland market declined during the 2019 third quarter as many customers reduced maintenance activities following months of river flooding conditions and during the summer harvest season. The commercial and industrial market also experienced increased demand for power generation equipment compared to 2018, including the sale and installation of significant back-up power systems for major data centers in the 2019 first and second quarters. Activity levels for the Company’s specialty rental units, back-up power systems, and refrigeration equipment seasonally increased in anticipation of and as a result of summer storms and warm weather conditions in the 2019 second and third quarters. Demand in the nuclear power generation market was stable compared to 2018.</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Costs and expenses for 2019 decreased 13%, compared with 2018. Costs of sales and operating expenses for 2019 decreased 14% compared with 2018, reflecting lower demand for new and remanufactured pressure pumping equipment and reduced demand for new and overhauled transmissions and related parts and service in the oil and gas market.</w:t>
      </w:r>
    </w:p>
    <w:p>
      <w:pPr>
        <w:sectPr>
          <w:pgSz w:w="11900" w:h="16838" w:orient="portrait"/>
          <w:cols w:equalWidth="0" w:num="1">
            <w:col w:w="11420"/>
          </w:cols>
          <w:pgMar w:left="240" w:top="122"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Selling, general and administrative expenses for 2019 decreased 3%, compared with 2018, primarily due to lower incentive compensation and professional fees, partially offset by $3,310,000 related to severance and early retirement expense incurred in the 2019 fourth quarter.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for 2019 decreased 9%, compared to 2018 primarily due to sales of distribution and services facilities resulting in lower depreciation.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income for the distribution and services segment for 2019 decreased 48% compared to 2018. The operating margin for 2019 was 5.4% compared with 8.7% for 2018. The results primarily reflected decreased sales in higher margin oil and gas related revenue and increased sales of lower margin power generation equipment.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Distribution and services revenues for 2018 increased 67% when compared with 2017. The higher revenues were primarily attributable to the acquisition of S&amp;S, completed on September 13, 2017, as well as increased demand in the oil and gas market for the manufacturing of oilfield service equipment, including new pressure pumping units, the sale and distribution of engines and related parts, and improving market conditions in the commercial marine diesel engine repair business, partially offset by lower demand in the 2018 second half for new and overhauled transmissions and related parts and remanufactured pressure pumping units from some key oilfield customers.</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2018, the oil and gas market contributed approximately 68% of the distribution and services revenues. The increased demand challenged the Company’s vendor supply chain in 2018 and created delays for the delivery of new engines, transmissions and parts required for the completion of both new and remanufactured oilfield service equipment, including pressure pumping units, and impacted the recognition of revenue. However, the supply chain issues were largely resolved during the 2018 fourth quarter resulting in a sequential increase in the number of new and remanufactured pressure pumping units delivered in the fourth quarter. In the commercial and industrial market, approximately 32% of the distribution and services revenues for 2018, the marine sector experienced higher service levels for diesel engine service and related parts sales throughout 2018. The power generation sector saw increased demand from commercial customers for specialty rental units and back-up power systems in the 2018 second and third quarters in anticipation of and as a result of summer storms. Demand for standby-by power generation equipment declined in the 2018 fourth quarter compared to the 2017 fourth quarter which had experienced higher levels of activity during the 2017 hurricane season. Demand in the nuclear power generation market was stable compared to 2017.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and expenses for 2018 increased 69%, compared with 2017. Costs of sales and operating expenses for 2018 increased 68% compared with 2017, reflecting the acquisition of S&amp;S on September 13, 2017, as well as increased demand for the remanufacture of pressure pumping units and transmission overhauls, improvement in the manufacturing of oilfield service equipment, including pressure pumping units, and an increase in demand for the sale and distribution of engines, transmissions and related parts in the oil and gas market.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for 2018 increased 68%, compared with 2017, primarily due to the S&amp;S acquisition, as well as increased activity in the oil and gas market. The 2018 year included a $171,000 severance charge incurred in the 2018 first quarter associated with the integration of S&amp;S into the Company and $1,168,000 of non-cash expenses, also incurred in the 2018 first quarter, related to the amendment of the employee stock award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Operating income for the distribution and services segment for 2018 increased 50% compared to 2017. The operating margin for 2018 was 8.7% compared with 9.7% for 2017. The results primarily reflected the earnings contribution of S&amp;S and continued strong demand for the remanufacture of pressure pumping units and transmission overhauls, the manufacturing of oilfield service equipment, and the sale of new transmissions and related parts.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 corporate expenses for 2019, 2018 and 2017 were $13,643,000, $35,590,000 and $18,202,000, respectively. The general corporate expenses for 2018 are higher when compared to both 2019 and 2017 primarily due to a one-time non-deductible expense of $18,057,000 in the 2018 second quarter related to the retirement of the Company’s executive Chairman, effective April 30, 2018, and higher incentive compensation accruals.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reported a net gain on disposition of assets of $8,152,000 in 2019 compared to $1,968,000 in 2018 and a net loss on disposition of assets of $4,487,000 in 2017. The net gains in 2019 and 2018 were predominantly from the sales or retirements of marine equipment and distribution and services facilities. The 2017 loss was primarily from the retirement and sale of older and less efficient inland towboats during the 2017 fourth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inventory write-down, impairment of long-lived assets, impairment of goodwill, lease cancellation costs, equity in earnings of affiliates, other income, noncontrolling interests and interest expense for the three years ended December 31, 2019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2018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2017 to</w:t>
            </w: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write-down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(82,705)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(105,712)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Lease cancellation costs</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(2,403)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3,408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5,371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(55,994)</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(46,856)</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(21,472)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58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Inventory Write-down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fourth quarter of 2019, the Company recorded a $35,525,000 non-cash pre-tax write-down of oilfield and pressure pumping related inventory in the distribution and services segment. The after-tax effect of the charge was $27,978,000 or $0.47 per share.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the fourth quarter of 2018, the Company recorded a $82,705,000 non-cash pre-tax impairment charge. The after-tax effect of the charge was $65,337,000 or $1.09 per share. The USCG adopted regulations on BWMS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BWMS. The USCG has approved manufacturers’ systems that met the regulatory discharge standard equivalent to the International Maritime Organization’s D-2 standard. The phase-in schedule for those existing vessels requiring a system to install BWMS equipment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to comply with the BWMS regulations.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advanced age of four of the Company’s older ATBs and the high cost of installation of BWMS, the Company will retire the ATBs at their next scheduled shipyard dates which range between 2020 and 2023 instead of installing the expensive BWMS equipment required to operate the vessels past their next required shipyard dates. A pre-tax impairment charge of $78,835,000 was incurred in the fourth quarter of 2018 to reduce the ATBs to a fair value of $13,247,000 due to reduced estimated cash flows resulting from reduced lives on these four older ATBs. The reduced estimated useful lives are due to the assessment of the impact of the new regulations by USCG that require the installation of BWMS. The fair value of the four ATBs of $13,247,000 is presented in marine transportation equipment at December 31, 2018.</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impairment charge also included a pre-tax charge of $3,870,000 as the Company reduced the carrying value of its improvements in a leased barge to its scrap value of $220,000. As part of a lease termination, the Company agreed to terminate the lease, purchase the barge and then scrap the barge which resulted in the Company committing to put the barge up for sale in December 2018. The barge was scrapped in January 2019. The fair market value of the barge was $220,000 at December 31, 2018, and was presented in prepaid expenses and other current assets. In addition, the Company incurred $2,403,000 in lease cancellation costs in December 2018 related to the leased barge.</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BWMS installations required in the next few years on some of the coastal tank barges. Retiring some of the older coastal marine vessels reduces the fleet’s age profile and improves the efficiency of the fleet. The fair market value of the vessels was $12,550,000 at December 31, 2017, and was presented in prepaid expenses and other current assets.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fourth quarter of 2018, the Company took a $2,702,000 charge for the impairment of the remaining goodwill recorded for Osprey. The impairment reflected the reduced profitability outlook of the container-on-barge operations due to the current economic environment.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in earnings of affiliates primarily consisted of the Company’s 50% ownership of a barge fleeting operation.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for 2019, 2018 and 2017 includes income of $3,454,000, $4,517,000 and $621,000, respectively, for all components of net benefit costs except the service cost component related to the Company’s defined benefit plans.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expense for 2019, 2018 and 2017 was $55,994,000, $46,856,000, and $21,472,000, respectively. The increase in 2019 compared to 2018 and 2017 was primarily due to borrowings to finance the Higman acquisition in February 2018, the acquisition of Targa’s pressure barge fleet in May 2018, the purchase of the 155,000 barrel coastal ATB under construction in June 2018, the acquisition of CGBM’s tank barges in December 2018, and the acquisition of Cenac’s fleet in March 2019. During 2019, 2018 and 2017, the average debt and average interest rate (excluding capitalized interest expense) were $1,502,044,000 and 3.7%, $1,370,905,000 and 3.5%, and $774,058,000 and 3.0%, respectively. Interest expense for 2019, 2018 and 2017 excludes capitalized interest of $1,003,000, $2,206,000 and $1,731,000,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Total assets at December 31, 2019 were $6,079,097,000 compared with $5,871,594,000 at December 31, 2018 and $5,127,427,000 at December 31, 2017. The December 31, 2019 total assets reflect the Cenac acquisition in March 2019 for $244,500,000. The December 31, 2018 total assets reflect the Higman acquisition in February 2018 for $421,922,000, the purchase of Targa’s inland tank barge business in May 2018 for $69,250,000 and the purchase in December 2018 of inland tank barges from CGBM for $28,500,000, all more fully described under Acquisitions above. The following table sets forth the significant components of the balance sheet as of December 31, 2019 compared with 2018 and 2018 compared with 2017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 Change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2018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2017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917,579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1,096,489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957,082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3,777,110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3,539,802</w:t>
            </w:r>
          </w:p>
        </w:tc>
        <w:tc>
          <w:tcPr>
            <w:tcW w:w="2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2,959,265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2,495</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953,826</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935,135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224,197</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232,808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54,785</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41,247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6,079,097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5,871,594</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5,127,427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46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514,115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607,782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Long-term debt, net — less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1,410,169</w:t>
            </w:r>
          </w:p>
        </w:tc>
        <w:tc>
          <w:tcPr>
            <w:tcW w:w="2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992,403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542,785</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468,451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94,557</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3,371,592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3,216,301</w:t>
            </w:r>
          </w:p>
        </w:tc>
        <w:tc>
          <w:tcPr>
            <w:tcW w:w="2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3,114,223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 assets as of December 31, 2019 decreased 16% compared with December 31, 2018. Trade accounts receivable decreased 9% mainly due to decreased activities in the distribution and services oil and gas market, partially offset by increased activities in the inland marine transportation market. Inventories, net, decreased 31%, primarily reflecting lower inventory levels due to reduced business activity levels in the oil and gas market and write-downs of oilfield and pressure pumping related inventory of $35,525,000.</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and equipment, net of accumulated depreciation, at December 31, 2019 increased 7% compared with December 31, 2018. The increase reflected $234,289,000 of capital expenditures for 2019, more fully described under Capital Expenditures Reflected on the Balance Sheet below, the fair value of the property and equipment acquired in the Cenac acquisition of $247,122,000, and the nine inland tank barges purchased during 2019 for $13,040,000, less $204,592,000 of depreciation expense and $52,150,000 of property disposals during 2019.</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lease right-of-use assets increased due to the adoption of Accounting Standard Update (“ASU”) 2016-02 “Leases (Topic 842)” (“ASU 2016-02”) on January 1,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intangibles, net, as of December 31, 2019 decreased 6% compared with December 31, 2018, primarily due to amortization of intangibles other than goodwill.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assets at December 31, 2019 increased 6% compared with December 31, 2018 primarily due to the reclassification of unamortized debt issuance costs of $2,650,000 attributable to the Revolving Credit Facility to other assets.</w:t>
      </w:r>
    </w:p>
    <w:p>
      <w:pPr>
        <w:spacing w:after="0" w:line="197"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Current liabilities as of December 31, 2019 decreased 15% compared with December 31, 2018. Accounts payable decreased 26%, primarily due to reduced business activity levels in the distribution and services oil and gas market. Accrued liabilities decreased 4% primarily due to lower accrued employee incentive compensation during 2019. Current portion of operating lease liabilities increased due to the adoption of ASU 2016-02 on January 1, 2019. Deferred revenues decreased 46%, primarily reflecting reduced business activity levels in the distribution and services oil and gas market.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Long-term debt, net — less current portion, as of December 31, 2019 decreased 3% compared with December 31, 2018, primarily reflecting payments of $417,373,000 on the amended and restated Revolving Credit Facility offset by the addition of the five-year Term Loan on March 27, 2019 with $375,000,000 outstanding as of December 31, 2019. Net debt discount and deferred issuance costs were $7,899,000 (of which $2,650,000 attributable to the Revolving Credit Facility is included in other assets on the balance sheet) and $7,204,000 as of December 31, 2019 and December 31, 2018, respectively.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as of December 31, 2019 increased 8% compared with December 31, 2018, primarily reflecting the 2019 deferred tax provision of $46,839,000.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liabilities increased due to the adoption of ASU 2016-02 on January 1, 2019.</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long-term liabilities as of December 31, 2019 increased 2% compared with December 31, 2018. The increase was primarily due to accrued pension liabilities, offset by a decrease due to the adoption of ASU 2016-02 on January 1, 2019 and the resulting reclassification of unfavorable leases to operating lease right-of-use assets and the reclassification of deferred rent liabilities to long-term operating lease liabilities and contributions of $3,064,000 to the Higman pension plan during 2019.</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equity as of December 31, 2019 increased 5% compared with December 31, 2018. The increase was primarily the result of $142,347,000 of net earnings attributable to Kirby for 2019, and an increase in additional paid-in capital of $12,552,000, primarily due to employee stock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 assets as of December 31, 2018 increased 15% compared with December 31, 2017. Inventories, net, increased 61%, primarily reflecting higher inventories, including work in process, in the distribution and services oil and gas market due to the adoption of ASU 2014-09, “Revenue from Contracts with Customers (ASC Topic 606) (“ASU 2014-09”) and to meet current business activity levels. Prepaid expenses and other current assets decreased 5% primarily due the sale of marine vessels in 2018 that were classified as assets held for sale in the 2017 fourth quarter. Trade accounts receivable decreased 8%, primarily reflecting decreased business activity levels in the distribution and services oil and gas market and lower revenue recognized due to the adoption of ASU 2014-09.</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net of accumulated depreciation, at December 31, 2018 increased 20% compared with December 31, 2017. The increase reflected $318,302,000 of capital expenditures for 2018, more fully described under Capital Expenditures Reflected on the Balance Sheet below, the fair value of the property and equipment acquired in acquisitions of $585,155,000, less $208,212,000 of depreciation expense and $46,083,000 of property disposals during 2018. In addition, during 2018, the Company took an impairment charge, more fully described under Impairment of Long-lived Assets above, that reduced the carrying value of marine transportation equipment by $76,779,000.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as of December 31, 2018 increased 2% compared with December 31, 2017, predominantly reflecting the goodwill recorded in the Higman and Targa acquisitions.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intangibles, net, as of December 31, 2018 decreased 4% compared with December 31, 2017, reflecting amortization of $19,613,000, partially offset by intangible assets other than goodwill recorded in the Targa acquisition.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assets at December 31, 2018 increased 33% compared with December 31, 2017 primarily due to the addition of deferred major maintenance drydock expenditures on ocean-going vessels, net of amortization.</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Current liabilities as of December 31, 2018 increased 27% compared with December 31, 2017. Accounts payable increased 25%, primarily due to increased business activity levels in the distribution and services segment, the acquisition of Higman and higher shipyard accruals. Accrued liabilities increased 18% primarily due to accrued liabilities assumed in the Higman acquisition including an increase in taxes other than on income, primarily waterway use taxes and property taxes, and an increase in employee incentive compensation. Deferred revenues increased 66%, primarily in the distribution and services segment, reflecting changes in revenue recognition with the adoption of ASU 2014-09.</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debt, less current portion, as of December 31, 2018 increased 42% compared with December 31, 2017, primarily reflecting the issuance on February 12, 2018 of $500,000,000 under the 2028 Notes to fund the acquisition of Higman, partially offset by payments of $78,455,000 on the revolving credit facilities during 2018. Net debt discount and deferred issuance costs were $7,204,000 and $3,442,000 at December 31, 2018 and December 31, 2017,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as of December 31, 2018 increased 16% compared with December 31, 2017, primarily reflecting $40,524,000 of deferred income taxes recorded with the Higman acquisition and the 2018 deferred tax provision of $34,881,000.</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Other long-term liabilities as of December 31, 2018 increased 31% compared with December 31, 2017. The increase was primarily due to $11,100,000 of intangible liabilities related to unfavorable contracts of the Higman acquisition and the pension plan liability assumed with the Higman acquisition of $33,116,000, partially offset by contributions of $8,102,000 to the Higman pension plan during 2018.</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Total equity as of December 31, 2018 increased 3% compared with December 31, 2017. The increase was primarily the result of $78,452,000 of net earnings attributable to Kirby for 2018, an increase in additional paid-in capital of $20,386,000, primarily due to the employee stock award plan amendment which resulted in shorter expense accrual periods on stock options and RSUs granted after February 19, 2018 to employees who are nearing retirement and meet certain years of service and age requirements, a $6,432,000 decrease in treasury stock and a $9,722,000 decrease in the opening balance of retained earnings with the adoption of ASU 2014-09. The decrease in treasury stock was mainly due to the issuance of restricted stock and the exercise of stock options in connection with stock award plans, partially offset by purchases during 2018 of $776,000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 was made in 2019, 2018 or 2017 for the 2019, 2018 and 2017 plan years. The fair value of plan assets was $319,176,000 and $269,403,000 at December 31, 2019 and December 31, 2018,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contributions to the Higman pension plan of $1,615,000 in 2019 for the 2018 plan year, $1,449,000 in 2019 for the 2019 plan year, $6,717,000 in 2018 for the 2016 and 2017 plan years and $1,385,000 in 2018 for the 2018 year. The fair value of plan assets was $39,021,000 and $33,748,000 at December 31, 2019 and 2018, respectively.</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3.5% and 4.4% in 2019 and 2018, respectively, in determining its benefit obligations. The Company estimates that every 0.1% decrease in the discount rate results in an increase in the accumulated benefit obligation (“ABO”) of approximately $6,582,000. The Company assumed that plan assets would generate a long-term rate of return of 7.0% in both 2019 and 2018.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March 27, 2019, the Company entered into an amended and restated credit agreement (the “Credit Agreement”) with a group of commercial banks, with JPMorgan Chase Bank, N.A. as the administrative agent bank, that extended the term of the Company’s existing $850,000,000 revolving credit facility (“Revolving Credit Facility”) to March 27, 2024 and added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originally scheduled to commence June 30, 2020, in increasing percentages of the original principal amount of the loan, with the remaining unpaid balance payable of 65% of the initial amount due on March 27, 2024. During 2019, the Company repaid $125,000,000 under the Term Loan prior to the scheduled installments. As a result, no repayments are required until September 30, 2023.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December 31, 2019, the Company was in compliance with all Credit Agreement covenants and had no outstanding borrowings under the Revolving Credit Facility and $375,000,000 outstanding under the Term Loan. The Revolving Credit Facility includes a $25,000,000 commitment which may be used for standby letters of credit. Outstanding letters of credit under the Revolving Credit Facility were $5,258,000 as of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12, 2018, the Company issued $500,000,000 of 4.2% senior unsecured notes due March 1, 2028 (the “2028 Notes”) with U.S. Bank National Association, as trustee. Interest payments of $10,500,000 are due semi-annually on March 1 and September 1 of each year. The Company received cash proceeds of $495,019,000, net of the original issue discount of $705,000 and debt issuance costs of $4,276,000.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 As of December 31, 2019, the Company was in compliance with all the 2028 Notes covenants and had $500,000,000 outstanding under the 2028 Notes.</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December 31, 2019, the Company was in compliance with all Senior Notes Series A and Series B covenants and had $150,000,000 of Senior Notes Series A outstanding and $350,000,000 of Senior Notes Series B outstanding. The Senior Notes Series A are excluded from short term liabilities because the Company has the ability and the intent to repay the amount due using borrowings under the Revolving Credit Facility.</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2021. The Credit Line allows the Company to borrow at an interest rate agreed to by Bank of America and the Company at the time each borrowing is made or continued. The Company had no borrowings outstanding under the Credit Line as of December 31, 2019. Outstanding letters of credit under the Credit Line were $1,171,000 as of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expenditures for 2019 were $234,289,000, including $22,008,000 for inland towboat construction, $18,433,000 for progress payments on three 5000 horsepower coastal ATB tugboats, $2,294,000 for final costs on a 155,000 barrel coastal ATB under construction purchased from another operator that was delivered to the Company in the 2018 fourth quarter, and $191,554,000 primarily for upgrading existing marine equipment and marine transportation and distribution and services facilities.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expenditures for 2018 were $318,302,000, including $26,172,000 for inland tank barge and towboat construction, $41,653,000 for progress payments on six 5000 horsepower coastal ATB tugboats, $71,660,000 for a 155,000 barrel coastal ATB under construction purchased from another operator that was delivered to the Company in the 2018 fourth quarter, and $178,817,000 primarily for upgrading existing marine equipment and marine transportation and distribution and services facilities.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Financing of the construction of the inland tank barges and towboats and coastal tank barges and tugboats plus upgrades of existing equipment and marine transportation and distribution and services facilities was through operating cash flows and available credit under the Company’s Revolving Credit Facility.</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2019, the Company acquired 63 inland tank barges from Cenac with a total capacity of approximately 1,833,000 barrels, retired 17 inland tank barges, sold six inland tank barges, brought back into service eight inland tank barges, and chartered two inland tank barges, decreasing its capacity by approximately 271,000 barrels. The net result was an increase of 50 inland tank barges and approximately 1,562,000 barrels of capacity during 2019.</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projects that capital expenditures for 2020 will be in the $155,000,000 to $175,000,000 range. The 2020 construction program will consist of $25,000,000 to $30,000,000 in progress payments on the construction of six inland towboats to be placed in service in 2020. Approximately $110,000,000 to $120,000,000 is primarily capital upgrades and improvements to existing marine equipment and facilities. The balance of $20,000,000 to $25,000,000 will be for new machinery and equipment, facilities improvements and information technology projects in the distribution and services segment and corporate.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did not purchase any treasury stock during 2019. During 2018, the Company purchased 11,000 shares of its common stock for $776,000, for an average price of $69.61 per share pursuant to a stock trading plan entered into with a brokerage firm pursuant to Rule 10b5-1 under the Securities Exchange Act of 1934. The Company did not purchase any treasury stock during 2017. As of February 20, 2020, the Company had approximately 1,400,000 shares available under its existing repurchase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generated net cash provided by operating activities of $511,813,000, $346,999,000 and $353,378,000 for the years ended December 31, 2019, 2018 and 2017, respectively. The increase in 2019 was driven by increased revenues and operating income in the marine transportation segment driven by the acquisitions of the Higman fleet in February 2018, the Targa fleet in May 2018, the CGBM barges in December 2018, and the Cenac fleet in March 2019, as well as improved barge utilization in the coastal market and higher spot and term pricing in the inland and coastal markets. The increase was also due to a net increase in cash flows from the change in operating assets and liabilities of $153,953,000, primarily due to a decrease in inventories reflecting reduced business activity levels in the distribution and services segment in 2019 compared to an increase in 2018.</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2018 year experienced a net decrease in cash flows from changes in operating assets and liabilities of $65,436 compared with 2017, primarily due to higher inventories, including work in process, in the distribution and services oil and gas market during 2018, primarily to support the increased business activity levels, partially offset by a decrease in trade receivables due to a decrease in revenues recognized in the distribution and services oil and gas market in the 2018 fourth quarter driven by lower demand for new and overhauled transmissions and related parts and remanufactured pressure pumping units from some key oilfield customers.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February 20, 2020, $844,742,000 under its Revolving Credit Facility and $8,829,000 available under its Credit Line.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pricing grids on its Credit Agreement.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expects to continue to fund expenditures for acquisitions, including Savage,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Revolving Credit Facility’s commitment is in the amount of $850,000,000 and expires March 27, 2024. As of December 31, 2019, the Company had $844,742,000 available under the Revolving Credit Facility. The Senior Notes Series A notes mature on February 27, 2020 and the Company intends to repay the $150,000,000 outstanding using borrowings under the Revolving Credit Facility. The Senior Notes Series B do not mature until February 27, 2023, and require no prepayments. The 2028 Notes do not mature until March 1, 2028 and require no prepayments. The outstanding balance of the Term Loan is subject to quarterly installments, currently beginning September 30, 2023, in increasing percentages of the original principal amount of the loan, with the remaining unpaid balance payable of 65% of the initial amount due on March 27, 2024. The Term Loan is prepayable, in whole or in part, without penalty.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numerous factors that may negatively impact the Company’s cash flow in 2019. For a list of significant risks and uncertainties that could impact cash flows, see Note 15, Contingencies and Commitments in the financial statements, and Item 1A — Risk Factors. Amounts available under the Company’s existing financing arrangements are subject to the Company continuing to meet the covenants of the credit facilities as described in Note 8, Long-Term Debt in the financial statements.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$22,804,000 at December 31, 2019, including $11,240,000 in letters of credit and $11,564,000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the Company’s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obligations of the Company and its subsidiaries at December 31, 2019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2"/>
              </w:rPr>
              <w:t>Less Than</w:t>
            </w:r>
          </w:p>
        </w:tc>
        <w:tc>
          <w:tcPr>
            <w:tcW w:w="220" w:type="dxa"/>
            <w:vAlign w:val="bottom"/>
          </w:tcPr>
          <w:p>
            <w:pPr>
              <w:spacing w:after="0"/>
              <w:rPr>
                <w:sz w:val="17"/>
                <w:szCs w:val="17"/>
                <w:color w:val="auto"/>
              </w:rPr>
            </w:pPr>
          </w:p>
        </w:tc>
        <w:tc>
          <w:tcPr>
            <w:tcW w:w="92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5 Years</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1,375,016</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150,016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Non-cancelable operating leases — barges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4,387</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8,272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 — towing vessels (a)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Non-cancelable operating leases — land, buildings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163,512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21,928</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35,581</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25,016</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80,987</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1,584,882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right="2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Towing vessel payments are determined in accordance with Topic 842, </w:t>
      </w:r>
      <w:r>
        <w:rPr>
          <w:rFonts w:ascii="Arial" w:cs="Arial" w:eastAsia="Arial" w:hAnsi="Arial"/>
          <w:sz w:val="17"/>
          <w:szCs w:val="17"/>
          <w:i w:val="1"/>
          <w:iCs w:val="1"/>
          <w:color w:val="auto"/>
        </w:rPr>
        <w:t>Leases</w:t>
      </w:r>
      <w:r>
        <w:rPr>
          <w:rFonts w:ascii="Arial" w:cs="Arial" w:eastAsia="Arial" w:hAnsi="Arial"/>
          <w:sz w:val="17"/>
          <w:szCs w:val="17"/>
          <w:color w:val="auto"/>
        </w:rPr>
        <w:t>, and exclude non-lease components. The Company estimates that non-lease components comprise approximately 75% of charter rental costs, related to towboat crew costs, maintenance and insurance.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85% of the towboat charter agreements are for terms of one year or less. The Company’s towboat rental agreements provide the Company with the option to terminate most agreements with notice ranging from seven to 90 days.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2019, the Company’s pension plan funding was 86% of the pension plans’ ABO, including the Higman pension plan. The Company made a contribution of $483,000 in January 2020 for the 2019 plan year. The Company expects to make additional pension contributions of $314,000 in 2020 for the 2019 plan year and $1,610,000 for the 2020 plan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recently issued accounting standards, see Note 1, Summary of Significant Accounting Policies.</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2020 interest expense by $206,000 based on balances outstanding at December 31, 2019, and would change the fair value of the Company’s debt by less than 1%.</w:t>
      </w:r>
    </w:p>
    <w:p>
      <w:pPr>
        <w:spacing w:after="0" w:line="21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report (see Item 15, page 105).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December 31, 2019, as required by Rule 13a-15(b) under the Exchange Act. Based on that evaluation, the Chief Executive Officer and the Chief Financial Officer concluded that, as of December 31, 2019,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Management of the Company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2019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management concluded that the Company’s internal control over financial reporting was effective as of December 31, 2019. KPMG LLP, the Company’s independent registered public accounting firm, has audited the Company’s internal control over financial reporting, as stated in their report which is included herein.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Except for remediation of the previously identified material weakness,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Company’s internal control over financial reporting during the quarter ended December 31, 2019 that have materially affected, or are reasonably likely to materially affect, the Company’s internal control over financial reporting.</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previously described in Part II, Item 9A, Controls and Procedures, of the Company’s Annual Report on Form 10-K for the year ended December 31, 2018, the Company began implementing a remediation plan and removed all inappropriate privileged access rights as of March 31, 2019. The Company completed the testing and evaluation of the operating effectiveness of the affected Information Technology operating systems, databases and applications, and based on the results of the testing, the controls are operating effectively as of December 31,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Items 10</w:t>
      </w:r>
      <w:r>
        <w:rPr>
          <w:sz w:val="20"/>
          <w:szCs w:val="20"/>
          <w:color w:val="auto"/>
        </w:rPr>
        <w:tab/>
      </w:r>
      <w:r>
        <w:rPr>
          <w:rFonts w:ascii="Arial" w:cs="Arial" w:eastAsia="Arial" w:hAnsi="Arial"/>
          <w:sz w:val="16"/>
          <w:szCs w:val="16"/>
          <w:b w:val="1"/>
          <w:bCs w:val="1"/>
          <w:color w:val="auto"/>
        </w:rPr>
        <w:t>Through 14.</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for these items is incorporated by reference to the definitive proxy statement to be filed by the Company with the Commission pursuant to Regulation 14A within 120 days of the close of the fiscal year ended December 31, 2019, except for the information regarding executive officers which is provided under Item 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Kirby Corporation and consolidated subsidiaries (the Company) as of December 31, 2019 and 2018, the related consolidated statements of earnings, comprehensive income, stockholders’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21, 2020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As discussed in Note 1 to the consolidated financial statements, the Company has changed its method of accounting for leases as of January 1, 2019 due to the adoption of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related amendments, and its method of accounting for recognizing revenues as of January 1, 2018 due to the adoption of Accounting Standards Update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related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the acquisition-date fair value of property and equipment assets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discussed in Note 4 to the consolidated financial statements, on March 14, 2019, the Company acquired the marine transportation fleet of Cenac Marine Services, LLC (Cenac). Cenac’s fleet consisted of 63 inland tank barges, 34 inland towboats and two offshore tugboats. The acquisition-date fair value for these assets was $247 million.</w:t>
      </w:r>
    </w:p>
    <w:p>
      <w:pPr>
        <w:spacing w:after="0" w:line="20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identified the assessment of the acquisition-date fair value of these assets as a critical audit matter. There was a high degree of subjectivity in applying and evaluating the results of our testing of the approach used to determine the fair value of these assets, which included internally-developed adjustments for which there were limited observable market information. These adjustments included physical depreciation based on normal useful life and estimated salvage value. In addition, the sensitivity of these adjustments to reasonably possible changes resulted in the application of greater auditor judgment</w:t>
      </w:r>
      <w:r>
        <w:rPr>
          <w:rFonts w:ascii="Arial" w:cs="Arial" w:eastAsia="Arial" w:hAnsi="Arial"/>
          <w:sz w:val="18"/>
          <w:szCs w:val="18"/>
          <w:b w:val="1"/>
          <w:bCs w:val="1"/>
          <w:color w:val="auto"/>
        </w:rPr>
        <w:t>.</w:t>
      </w:r>
    </w:p>
    <w:p>
      <w:pPr>
        <w:spacing w:after="0" w:line="21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acquisition-date valuation process, including controls over the development of the adjustments utilized in the determination of fair value of the assets. We involved valuation professionals with specialized skills and knowledge, who assisted in:</w:t>
      </w:r>
    </w:p>
    <w:p>
      <w:pPr>
        <w:spacing w:after="0" w:line="208"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the estimated fair values of the assets,</w:t>
      </w:r>
    </w:p>
    <w:p>
      <w:pPr>
        <w:spacing w:after="0" w:line="23" w:lineRule="exact"/>
        <w:rPr>
          <w:rFonts w:ascii="Arial" w:cs="Arial" w:eastAsia="Arial" w:hAnsi="Arial"/>
          <w:sz w:val="18"/>
          <w:szCs w:val="18"/>
          <w:color w:val="auto"/>
        </w:rPr>
      </w:pPr>
    </w:p>
    <w:p>
      <w:pPr>
        <w:ind w:left="1140" w:hanging="484"/>
        <w:spacing w:after="0" w:line="281"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evaluating the estimated physical depreciation using the normal useful life ranges based on industry standard useful life guidelines published by the American Society of Appraisers and observable third party market information and experience with valuing similar assets, and</w:t>
      </w:r>
    </w:p>
    <w:p>
      <w:pPr>
        <w:spacing w:after="0" w:line="1" w:lineRule="exact"/>
        <w:rPr>
          <w:rFonts w:ascii="Arial" w:cs="Arial" w:eastAsia="Arial" w:hAnsi="Arial"/>
          <w:sz w:val="16"/>
          <w:szCs w:val="16"/>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the salvage values and comparing them to current market prices for scrap metal on a per ton basis.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of potential impairment indicators for offshore vessel classes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discussed in Note 1 to the consolidated financial statements, the Company reviews long-lived assets for impairment by vessel class whenever events or changes in circumstances indicate that the carrying amount of the assets may not be recoverable (triggering events). Recoverability of the vessel classes is measured by a comparison of the carrying amount of the assets to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1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identified the evaluation of potential impairment indicators for offshore vessel classes to be a critical audit matter. Evaluating the Company’s judgments in determining whether a triggering event exists required a high degree of subjective auditor judgment.</w:t>
      </w:r>
    </w:p>
    <w:p>
      <w:pPr>
        <w:spacing w:after="0" w:line="19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process to identify and assess the triggering events that indicate that the carrying amount of an offshore vessel class may not be recoverable. These included controls related to the consideration of forecasted to actual operating results and market conditions in the determination of a triggering event. We evaluated the Company’s identification of triggering events, including future expected revenues from executed contracts with customers. We compared data used by the Company noting that such factors included both internal and external factors to analyst and industry reports. We evaluated responses as to factors considered and evaluated whether the Company omitted any significant internal or external factors in their evaluation. We evaluated the Company’s data and assumptions when we identified information that was contrary to that used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Kirby Corporation and consolidated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earnings, comprehensive income, stockholders’ equity, and cash flows for each of the years in the three-year period ended December 31, 2019, and the related notes (collectively, the consolidated financial statements), and our report dated February 21, 2020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December 31, 2019 and 2018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vMerge w:val="restart"/>
          </w:tcPr>
          <w:p>
            <w:pPr>
              <w:ind w:left="400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 of $8,372 ($10,024 in 2018)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 at lower of average cost or net realizable value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Marine transportation equipment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4,770,213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4,477,718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buildings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5,324,090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(1,546,980)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Property and equipment — net</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3,777,110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3,539,802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intangibles,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6,079,097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Bank notes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premiums and claims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 other than on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 net — less current portion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1,369,751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lease liabilities — less current portion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2,193,390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2,047,511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Contingencies and commitments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stockholders’ equity: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4"/>
              </w:rPr>
              <w:t>Common stock, $0.10 par value per share. Authorized 120,000,000 shares, issued 65,472,000 in 2019 and 2018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Treasury stock — at cost, 5,513,000 shares in 2019 and 5,608,000 shares in 2018</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(301,963)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Kirby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3,371,592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6,079,097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59"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59"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3800" w:type="dxa"/>
            <w:vAlign w:val="bottom"/>
            <w:gridSpan w:val="9"/>
          </w:tcPr>
          <w:p>
            <w:pPr>
              <w:jc w:val="right"/>
              <w:ind w:right="400"/>
              <w:spacing w:after="0"/>
              <w:rPr>
                <w:sz w:val="20"/>
                <w:szCs w:val="20"/>
                <w:color w:val="auto"/>
              </w:rPr>
            </w:pPr>
            <w:r>
              <w:rPr>
                <w:rFonts w:ascii="Arial" w:cs="Arial" w:eastAsia="Arial" w:hAnsi="Arial"/>
                <w:sz w:val="18"/>
                <w:szCs w:val="18"/>
                <w:b w:val="1"/>
                <w:bCs w:val="1"/>
                <w:color w:val="auto"/>
                <w:w w:val="90"/>
              </w:rPr>
              <w:t>($ in thousands, except per share amounts)</w:t>
            </w: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1,483,143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1,251,317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1,487,554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890,312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2,970,697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2,030,046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2,160,946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304,397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41,933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224,972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Lease cancellation costs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disposition of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2,596,372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2,815,408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242,027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in earnings of affiliates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(55,994)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(46,856)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Benefit (provision) for taxes on income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(46,801)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79,078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earnings attributable to Kirby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142,347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78,452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313,187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4"/>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Comprehensive income attributable to Kirby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77,346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4"/>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224,972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(credit) for doubtful accounts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(benefit) for deferred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Loss (gain) on disposition of assets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earnings of affiliates, net of distributions and contributions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Impairment and other charges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85,407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leases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cash flows resulting from changes in: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(144,685)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(38,090)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346,999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(301,861)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(262,491)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(533,897)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 (payments) on bank credit facilities, net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(417,376)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on long-term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debt issue costs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Return of investment to noncontrolling interests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Acquisitions of noncontrolling interest</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7,800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20,102</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55,766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40,772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Operating cash outflow from operating leases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39,376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(16,441)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in acquisition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Cash acquired in acquisition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2,313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assumed in acquisition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376"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376" w:gutter="0" w:footer="0" w:header="0"/>
          <w:type w:val="continuous"/>
        </w:sectPr>
      </w:pPr>
    </w:p>
    <w:bookmarkStart w:id="72" w:name="page73"/>
    <w:bookmarkEnd w:id="72"/>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20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70"/>
              </w:rPr>
              <w:t>(in thousands)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59,776</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5,978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432,459</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2,342,236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(320,348)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2,412,867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Cumulative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effect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adoption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ASU 2016-09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(8,486)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shares in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acquisition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365,985</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11,460</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5"/>
              </w:rPr>
              <w:t>comprehensive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income, net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taxes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18,602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313,187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332,505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Return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investment to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noncontrolling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65,472</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802,961</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2,646,937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(313,220)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3,114,223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Cumulative</w:t>
            </w: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effect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adoption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ASU 2014-09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(9,722)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adoption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ASU 2018-02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2,161</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19,104</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19,104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Treasury stock</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comprehensive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net of</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78,452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77,972</w:t>
            </w: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Return of</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investment to</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noncontrolling</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823,347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$ 2,723,592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(306,788)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3,216,301</w:t>
            </w: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Stock option</w:t>
            </w: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5,796</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13,612</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5"/>
              </w:rPr>
              <w:t>comprehensive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income, net of</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taxes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(4,288)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142,347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138,731</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to</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20" w:type="dxa"/>
            <w:vAlign w:val="bottom"/>
            <w:gridSpan w:val="2"/>
          </w:tcPr>
          <w:p>
            <w:pPr>
              <w:ind w:left="140"/>
              <w:spacing w:after="0"/>
              <w:rPr>
                <w:sz w:val="20"/>
                <w:szCs w:val="20"/>
                <w:color w:val="auto"/>
              </w:rPr>
            </w:pPr>
            <w:r>
              <w:rPr>
                <w:rFonts w:ascii="Arial" w:cs="Arial" w:eastAsia="Arial" w:hAnsi="Arial"/>
                <w:sz w:val="18"/>
                <w:szCs w:val="18"/>
                <w:color w:val="auto"/>
              </w:rPr>
              <w:t>2019</w:t>
            </w:r>
          </w:p>
        </w:tc>
        <w:tc>
          <w:tcPr>
            <w:tcW w:w="780" w:type="dxa"/>
            <w:vAlign w:val="bottom"/>
          </w:tcPr>
          <w:p>
            <w:pPr>
              <w:jc w:val="right"/>
              <w:spacing w:after="0"/>
              <w:rPr>
                <w:sz w:val="20"/>
                <w:szCs w:val="20"/>
                <w:color w:val="auto"/>
              </w:rPr>
            </w:pPr>
            <w:r>
              <w:rPr>
                <w:rFonts w:ascii="Arial" w:cs="Arial" w:eastAsia="Arial" w:hAnsi="Arial"/>
                <w:sz w:val="18"/>
                <w:szCs w:val="18"/>
                <w:color w:val="auto"/>
              </w:rPr>
              <w:t>65,472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6,547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835,899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(37,799)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$ 2,865,939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(301,963)</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2,969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3,371,592</w:t>
            </w: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the accounts of Kirby Corporation and all majority-owned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Cash equivalents consist of all short-term, highly liquid investments with maturities of three months or less at date of purchase.</w:t>
      </w: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In the normal course of business, the Company extends credit to its customers. The Company regularly reviews the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adequate provisions for probable uncollectible balances. It is the Company’s opinion that the accounts have no impairment, other than that for which provisions have been made. Included in accounts receivable-trade as of December 31, 2019 and 2018 were $103,996,000 and $114,159,000, respectively, of accruals for revenues earned which have not been invoiced as of the end of each year.</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marine transportation and distribution and services operations are subject to hazards associated with such businesses. The Company maintains insurance coverage against these hazards with insurance companies. Included in accounts receivable-other as of December 31, 2019 and 2018 were $72,591,000 and $69,624,000, respectively, of receivables from insurance companies to cover claims in excess of the Company’s deductible.</w:t>
      </w:r>
    </w:p>
    <w:p>
      <w:pPr>
        <w:spacing w:after="0" w:line="1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Financial instruments which potentially subject the Company to concentrations of credit risk are primarily trade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Property, Maintenance and Repairs. </w:t>
      </w:r>
      <w:r>
        <w:rPr>
          <w:rFonts w:ascii="Arial" w:cs="Arial" w:eastAsia="Arial" w:hAnsi="Arial"/>
          <w:sz w:val="18"/>
          <w:szCs w:val="18"/>
          <w:color w:val="auto"/>
        </w:rPr>
        <w:t>Property is recorded at cost or acquisition date fair value, Improvements and betterments are capitalized as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is recorded on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or improves the operating capacity of the vessel which results in the costs being capitalized.</w:t>
      </w:r>
    </w:p>
    <w:p>
      <w:pPr>
        <w:spacing w:after="0" w:line="2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Drydocking on Ocean-Going Vessels. </w:t>
      </w:r>
      <w:r>
        <w:rPr>
          <w:rFonts w:ascii="Arial" w:cs="Arial" w:eastAsia="Arial" w:hAnsi="Arial"/>
          <w:sz w:val="17"/>
          <w:szCs w:val="17"/>
          <w:color w:val="auto"/>
        </w:rPr>
        <w:t>The Company’s ocean-going vessels are subject to regulatory drydocking requirements after certain periods of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be inspected, have planned major maintenance performed and be recertified by the American Bureau of Shipping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The Company recognized amortization of major maintenance costs of $23,962,000, $20,760,000 and $21,207,000 for the years ended December 31, 2019, 2018 and 2017, respectively, in costs of sales and operating expenses. Routine repairs and maintenance on ocean-going vessels are expensed as incurred. Interest is capitalized on the construction of new ocean-going vessels. Interest expense excludes capitalized interest of $1,003,000, $2,206,000 and $1,731,000 for the years ending December 31, 2019, 2018 and 2017,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Environmental Liabilities. </w:t>
      </w:r>
      <w:r>
        <w:rPr>
          <w:rFonts w:ascii="Arial" w:cs="Arial" w:eastAsia="Arial" w:hAnsi="Arial"/>
          <w:sz w:val="18"/>
          <w:szCs w:val="18"/>
          <w:color w:val="auto"/>
        </w:rPr>
        <w:t>The Company expenses costs related to environmental events as they are incurred or when a loss is considered probable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estimable.</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The excess of the purchase price over the fair value of identifiable net assets acquired in transactions accounted for as a purchase is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The Company conducted its annual goodwill impairment tests at November 30, 2019, 2018 and 2017. For 2019 and 2017, there was no impairment of goodwill. For 2018, the Company incurred an impairment of goodwill charge of $2,702,000. The Company will continue to conduct goodwill impairment tests as of November 30 of subsequent years, or whenever events or circumstances indicate that interim impairment testing is necessary. The amount of goodwill impairment, if any, is typically measured based on projected discounted future operating cash flows using an appropriate discount rate. The gross carrying value of goodwill at December 31, 2019 and 2018 was $973,995,000, and accumulated amortization at December 31, 2019 and 2018 was $15,566,000. Accumulated impairment losses were $4,603,000 at December 31, 2019 and 2018.</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2018 fourth quarter, the Company took a $2,702,000 charge for the impairment of the remaining goodwill recorded for Osprey Line, L.L.C., a subsidiary that transports project cargoes and cargo containers by barge on the United States inland waterway system. The impairment reflected the reduced profitability outlook of the container-on-barge operations due to the current economic environment. The fair value was determined using a combination of a discounted cash flow methodology and a market based approach utilizing a net earnings before interest expense, taxes on income, depreciation and amortization (EBITDA) multiplier.</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goodwill for the marine transportation segment was $405,575,000 at December 31, 2019 and 2018. Net goodwill for the distribution and services segment was $548,251,000 at December 31, 2019 and 2018.</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Intangibles. </w:t>
      </w:r>
      <w:r>
        <w:rPr>
          <w:rFonts w:ascii="Arial" w:cs="Arial" w:eastAsia="Arial" w:hAnsi="Arial"/>
          <w:sz w:val="17"/>
          <w:szCs w:val="17"/>
          <w:color w:val="auto"/>
        </w:rPr>
        <w:t>Other intangibles include assets for favorable contracts and customer relationships, distributorship and dealership agreements,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and noncompete agreements and liabilities for unfavorable leases and contracts. As of December 31, 2019 and 2018, the gross carrying amounts of other intangible assets were $332,656,000 and $326,984,000, respectively, and the accumulated amortization was $121,974,000 and $102,787,000, respectively, resulting in net carrying amounts of $210,682,000 and $224,197,000, respectively. As of December 31, 2019 and 2018, the gross carrying amounts of other intangible liabilities were $13,860,000 and $18,323,000 respectively, and the accumulated amortization was $7,956,000 and $8,652,000, respectively, resulting in net carrying amounts of $5,904,000 and $9,671,000, respectively. The decrease in intangible liabilities was primarily due to the adoption of Accounting Standard Update (“ASU”) 2016-02 “Leases (Topic 842)” (“ASU 2016-02”) on January 1, 2019 and the resulting reclassification of unfavorable leases to operating lease right-of-use assets.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costs of intangible assets and liabilities are amortized to expense in a systematic and rational manner over their estimated useful lives.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2019, 2018 and 2017, the amortization expense for intangibles was $15,040,000, $16,760,000 and $11,296,000, respectively. Estimated net amortization expense for amortizable intangible assets and liabilities for the next five years (2020 – 2024) is approximately $16,358,000, $17,392,000, $16,989,000, $17,527,000 and $18,092,000, respectively. As of December 31, 2019, the weighted average amortization period for intangible assets and liabilities was approximately 13 years.</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marine transportation revenue is derived from term contracts, ranging from one to three years, some of which have</w:t>
      </w:r>
      <w:r>
        <w:rPr>
          <w:rFonts w:ascii="Arial" w:cs="Arial" w:eastAsia="Arial" w:hAnsi="Arial"/>
          <w:sz w:val="17"/>
          <w:szCs w:val="17"/>
          <w:i w:val="1"/>
          <w:iCs w:val="1"/>
          <w:color w:val="auto"/>
        </w:rPr>
        <w:t xml:space="preserve"> </w:t>
      </w:r>
      <w:r>
        <w:rPr>
          <w:rFonts w:ascii="Arial" w:cs="Arial" w:eastAsia="Arial" w:hAnsi="Arial"/>
          <w:sz w:val="17"/>
          <w:szCs w:val="17"/>
          <w:color w:val="auto"/>
        </w:rPr>
        <w:t>renewal options, and the remainder is from spot market movements. The majority of the term contracts are for terms of one year. The Company is a provider of marine transportation services for its customers and, in almost all cases, does not assume ownership of the products it transports. A term contract is an agreement with a specific customer to transport cargo from a designated origin to a designated destination at a set rate or at a daily rate. The rate may or may not escalate during the term of the contract, however, the base rate generally remains constant and contracts often include escalation provisions to recover changes in specific costs such as fuel. A spot contract is an agreement with a customer to move cargo from a specific origin to a designated destination for a rate negotiated at the time the cargo movement takes place. Spot contract rates are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20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contract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 During 2017, prior to the adoption of ASU 2014-09, “Revenue from Contracts with Customers (ASC Topic 606)” (“ASU 2014-09” or “ASC 606”), distribution and services manufacturing and assembly projects revenue was reported on the percentage of completion method of accounting using measurements of progress towards completion appropriate for the work performed.</w:t>
      </w:r>
    </w:p>
    <w:p>
      <w:pPr>
        <w:spacing w:after="0" w:line="19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The Company has share-based compensation plans covering selected officers and other key employees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Stock-based grants made under the Company’s stock plans are recorded at fair value on the date of the grant and the cost for all grants made under the director plan and for grants made under the employee plan prior to February 19, 2018 is recognized ratably over the vesting period of the stock option or restricted stock.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 Stock option grants are valued at the date of grant as calculated under the Black-Scholes option pricing model. The Company accounts for forfeitures as they occur. The Company’s stock-based compensation plans are more fully described in Note 10, Stock Award Plans.</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Taxes on Income. </w:t>
      </w:r>
      <w:r>
        <w:rPr>
          <w:rFonts w:ascii="Arial" w:cs="Arial" w:eastAsia="Arial" w:hAnsi="Arial"/>
          <w:sz w:val="16"/>
          <w:szCs w:val="16"/>
          <w:color w:val="auto"/>
        </w:rPr>
        <w:t>The Company follows the asset and liability method of accounting for income taxes. Under the asset and liability method,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w:t>
      </w:r>
    </w:p>
    <w:p>
      <w:pPr>
        <w:sectPr>
          <w:pgSz w:w="11900" w:h="16838" w:orient="portrait"/>
          <w:cols w:equalWidth="0" w:num="1">
            <w:col w:w="11420"/>
          </w:cols>
          <w:pgMar w:left="240" w:top="122" w:right="239" w:bottom="0" w:gutter="0" w:footer="0" w:header="0"/>
        </w:sectPr>
      </w:pPr>
    </w:p>
    <w:bookmarkStart w:id="76" w:name="page77"/>
    <w:bookmarkEnd w:id="76"/>
    <w:p>
      <w:pPr>
        <w:jc w:val="both"/>
        <w:ind w:right="20"/>
        <w:spacing w:after="0" w:line="308" w:lineRule="auto"/>
        <w:rPr>
          <w:sz w:val="20"/>
          <w:szCs w:val="20"/>
          <w:color w:val="auto"/>
        </w:rPr>
      </w:pPr>
      <w:r>
        <w:rPr>
          <w:rFonts w:ascii="Arial" w:cs="Arial" w:eastAsia="Arial" w:hAnsi="Arial"/>
          <w:sz w:val="17"/>
          <w:szCs w:val="17"/>
          <w:color w:val="auto"/>
        </w:rPr>
        <w:t>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Accrued Insurance. </w:t>
      </w:r>
      <w:r>
        <w:rPr>
          <w:rFonts w:ascii="Arial" w:cs="Arial" w:eastAsia="Arial" w:hAnsi="Arial"/>
          <w:sz w:val="17"/>
          <w:szCs w:val="17"/>
          <w:color w:val="auto"/>
        </w:rPr>
        <w:t>Accrued insurance liabilities include estimates based on individual incurred claims outstanding and an estimated amount for losses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but not reported (“IBNR”) or fully developed based on past experience. Insurance premiums, IBNR losses and incurred claim losses, in excess of the Company’s deductible for 2019, 2018 and 2017 were $32,372,000, $29,306,000 and $26,195,000,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follows the average cost method of accounting for treasury stock transactions.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Impairment of Long-lived Assets and for Long-lived Assets to Be Disposed Of. </w:t>
      </w:r>
      <w:r>
        <w:rPr>
          <w:rFonts w:ascii="Arial" w:cs="Arial" w:eastAsia="Arial" w:hAnsi="Arial"/>
          <w:sz w:val="18"/>
          <w:szCs w:val="18"/>
          <w:color w:val="auto"/>
        </w:rPr>
        <w:t>The Company reviews long-lived assets and certain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for impairment by vessel class whenever events or changes in circumstances indicate that the carrying amount of the assets may not be recoverable.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 Recoverability of the vessel classes is measured by a comparison of the carrying amount of the assets to future net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the Financial Accounting Standards Board (“FASB”) issued ASU 2019-12, “Income Taxes (Topic 740): Simplifying the Accounting for Income Taxes” which simplifies the accounting for income taxes by removing certain exceptions to the general principles in Topic 740, Income Taxes. The guidance is effective for fiscal years, and interim periods within those fiscal years, beginning after December 15, 2020. Early adoption is permitted. The Company is currently evaluating this guidance to determine the impact on its consolidated financial statements.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requiring recognition of lease assets and lease liabilities on the balance sheet and disclosure of key information about leasing arrangements. The Company adopted ASU 2016-02 on January 1, 2019 under the optional transition method that allows for a cumulative-effect adjustment to the opening balance of retained earnings in the period of adoption and will not restate prior periods. The Company also elected certain practical expedients permitted under the transition guidance which allowed the Company to carryforward its historical lease classification and for the non-recognition of short-term leases. Adoption of ASU 2016-02 resulted in the recognition of operating lease right-of-use assets for operating leases of $168,149,000 and lease liabilities for operating leases of $175,778,000 on the Company’s Condensed Balance Sheets as of January 1, 2019, with no material impact to the Condensed Statements of Earnings or Cash Flows. The Company did not have any financing leases as of January 1, 2019. See Note 2, Leases for additional information.</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May 2014, the FASB issued ASU 2014-09. ASU 2014-09 requires an entity to recognize the amount of revenue to which it expects to be entitled for the transfer of promised goods or services to customers. ASU 2014-09 replaced most existing revenue recognition guidance in United States generally accepted accounting principles and is effective for fiscal years, and interim periods within those years, beginning after December 15, 2017. ASU 2014-09 permits the use of either the retrospective, modified retrospective or prospective with a cumulative catch-up approach. The Company adopted ASU 2014-09 on January 1, 2018 under the modified retrospective approach with a cumulative adjustment that decreased the opening balance of retained earnings by $9,722,000. Prior period amounts were not adjusted and the prior period amounts continue to be reported under the accounting standards in effect for those periods. The cumulative adjustment primarily relates to recognition of revenue on certain contract manufacturing activities, primarily construction of new pressure pumping units in the Company’s distribution and services segment. The Company previously recognized revenue on manufacturing and assembly projects on a percentage of completion method using measurements of progress towards completion appropriate for the work performed. Upon the adoption of ASU 2014-09, the Company recognizes the revenues on contract manufacturing activities upon shipment and transfer of control versus the percentage of completion method.</w:t>
      </w: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financial statement line items within the Company’s condensed consolidated financial statements impacted by ASU 2014-09 for the year ended December 31, 2018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5"/>
              </w:rPr>
              <w:t>Balances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Effect of</w:t>
            </w:r>
          </w:p>
        </w:tc>
      </w:tr>
      <w:tr>
        <w:trPr>
          <w:trHeight w:val="241"/>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Statements of earnings: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1,515,554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Costs of sales and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2,160,946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2,181,046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(20,100)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Earnings before taxes on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114,159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122,059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taxes on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(37,187)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w:t>
            </w:r>
          </w:p>
        </w:tc>
      </w:tr>
    </w:tbl>
    <w:p>
      <w:pPr>
        <w:sectPr>
          <w:pgSz w:w="11900" w:h="16838" w:orient="portrait"/>
          <w:cols w:equalWidth="0" w:num="1">
            <w:col w:w="11420"/>
          </w:cols>
          <w:pgMar w:left="240" w:top="121"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earnings attributable to Kirby</w:t>
            </w:r>
          </w:p>
        </w:tc>
        <w:tc>
          <w:tcPr>
            <w:tcW w:w="3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78,452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84,246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Statements of comprehensive income:</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3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79,078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84,872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Comprehensive income attributable to Kirby</w:t>
            </w:r>
          </w:p>
        </w:tc>
        <w:tc>
          <w:tcPr>
            <w:tcW w:w="3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77,346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83,140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3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79,078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84,872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Provision for deferred income taxes</w:t>
            </w:r>
          </w:p>
        </w:tc>
        <w:tc>
          <w:tcPr>
            <w:tcW w:w="3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34,881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32,775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cash flows resulting from changes in:</w:t>
            </w: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12,511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(71,624)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3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Accrued and other liabilities</w:t>
            </w:r>
          </w:p>
        </w:tc>
        <w:tc>
          <w:tcPr>
            <w:tcW w:w="3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30,712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38,459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40" w:type="dxa"/>
            <w:vAlign w:val="bottom"/>
          </w:tcPr>
          <w:p>
            <w:pPr>
              <w:jc w:val="right"/>
              <w:ind w:right="1872"/>
              <w:spacing w:after="0"/>
              <w:rPr>
                <w:sz w:val="20"/>
                <w:szCs w:val="20"/>
                <w:color w:val="auto"/>
              </w:rPr>
            </w:pPr>
            <w:r>
              <w:rPr>
                <w:rFonts w:ascii="Arial" w:cs="Arial" w:eastAsia="Arial" w:hAnsi="Arial"/>
                <w:sz w:val="14"/>
                <w:szCs w:val="14"/>
                <w:color w:val="auto"/>
              </w:rPr>
              <w:t>76</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the allocation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at December 31, 2019 were as follows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2021</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2023</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(43,085)</w:t>
            </w:r>
          </w:p>
        </w:tc>
      </w:tr>
      <w:tr>
        <w:trPr>
          <w:trHeight w:val="257"/>
        </w:trPr>
        <w:tc>
          <w:tcPr>
            <w:tcW w:w="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future total rentals on the Company’s noncancelable operating leases were $278,602,000 in the aggregate, which consisted of the following: $97,091,000 in 2019; $30,062,000 in 2020; $21,818,000 in 2021; $20,263,000 in 2022; $17,429,000 in 2023; and $91,939,000 thereafter.</w:t>
      </w:r>
    </w:p>
    <w:p>
      <w:pPr>
        <w:sectPr>
          <w:pgSz w:w="11900" w:h="16838" w:orient="portrait"/>
          <w:cols w:equalWidth="0" w:num="1">
            <w:col w:w="11420"/>
          </w:cols>
          <w:pgMar w:left="240" w:top="122" w:right="239" w:bottom="1440" w:gutter="0" w:footer="0" w:header="0"/>
        </w:sectPr>
      </w:pP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lease cost for the year ended December 31, 2019 (in thousands):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Sublease income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643" w:hanging="643"/>
        <w:spacing w:after="0"/>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39,064</w:t>
      </w:r>
    </w:p>
    <w:p>
      <w:pPr>
        <w:spacing w:after="0" w:line="23" w:lineRule="exact"/>
        <w:rPr>
          <w:rFonts w:ascii="Arial" w:cs="Arial" w:eastAsia="Arial" w:hAnsi="Arial"/>
          <w:sz w:val="18"/>
          <w:szCs w:val="18"/>
          <w:color w:val="auto"/>
        </w:rPr>
      </w:pPr>
    </w:p>
    <w:p>
      <w:pPr>
        <w:ind w:left="723"/>
        <w:spacing w:after="0"/>
        <w:rPr>
          <w:rFonts w:ascii="Arial" w:cs="Arial" w:eastAsia="Arial" w:hAnsi="Arial"/>
          <w:sz w:val="18"/>
          <w:szCs w:val="18"/>
          <w:color w:val="auto"/>
        </w:rPr>
      </w:pPr>
      <w:r>
        <w:rPr>
          <w:rFonts w:ascii="Arial" w:cs="Arial" w:eastAsia="Arial" w:hAnsi="Arial"/>
          <w:sz w:val="18"/>
          <w:szCs w:val="18"/>
          <w:color w:val="auto"/>
        </w:rPr>
        <w:t>2,326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31,340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643" w:hanging="643"/>
        <w:spacing w:after="0"/>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72,310</w:t>
      </w:r>
    </w:p>
    <w:p>
      <w:pPr>
        <w:spacing w:after="0" w:line="200" w:lineRule="exact"/>
        <w:rPr>
          <w:sz w:val="20"/>
          <w:szCs w:val="20"/>
          <w:color w:val="auto"/>
        </w:rPr>
      </w:pPr>
    </w:p>
    <w:p>
      <w:pPr>
        <w:sectPr>
          <w:pgSz w:w="11900" w:h="16838" w:orient="portrait"/>
          <w:cols w:equalWidth="0" w:num="2">
            <w:col w:w="9457" w:space="720"/>
            <w:col w:w="1243"/>
          </w:cols>
          <w:pgMar w:left="240" w:top="122" w:right="239" w:bottom="1440" w:gutter="0" w:footer="0" w:header="0"/>
          <w:type w:val="continuous"/>
        </w:sectPr>
      </w:pP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other supplemental information about the Company’s operating leases as of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7180" w:type="dxa"/>
            <w:vAlign w:val="bottom"/>
          </w:tcPr>
          <w:p>
            <w:pPr>
              <w:jc w:val="right"/>
              <w:ind w:right="76"/>
              <w:spacing w:after="0"/>
              <w:rPr>
                <w:sz w:val="20"/>
                <w:szCs w:val="20"/>
                <w:color w:val="auto"/>
              </w:rPr>
            </w:pPr>
            <w:r>
              <w:rPr>
                <w:rFonts w:ascii="Arial" w:cs="Arial" w:eastAsia="Arial" w:hAnsi="Arial"/>
                <w:sz w:val="18"/>
                <w:szCs w:val="18"/>
                <w:color w:val="auto"/>
              </w:rPr>
              <w:t>11 years</w:t>
            </w:r>
          </w:p>
        </w:tc>
      </w:tr>
      <w:tr>
        <w:trPr>
          <w:trHeight w:val="581"/>
        </w:trPr>
        <w:tc>
          <w:tcPr>
            <w:tcW w:w="4240" w:type="dxa"/>
            <w:vAlign w:val="bottom"/>
          </w:tcPr>
          <w:p>
            <w:pPr>
              <w:spacing w:after="0"/>
              <w:rPr>
                <w:sz w:val="24"/>
                <w:szCs w:val="24"/>
                <w:color w:val="auto"/>
              </w:rPr>
            </w:pPr>
          </w:p>
        </w:tc>
        <w:tc>
          <w:tcPr>
            <w:tcW w:w="7180" w:type="dxa"/>
            <w:vAlign w:val="bottom"/>
          </w:tcPr>
          <w:p>
            <w:pPr>
              <w:jc w:val="right"/>
              <w:ind w:right="5556"/>
              <w:spacing w:after="0"/>
              <w:rPr>
                <w:sz w:val="20"/>
                <w:szCs w:val="20"/>
                <w:color w:val="auto"/>
              </w:rPr>
            </w:pPr>
            <w:r>
              <w:rPr>
                <w:rFonts w:ascii="Arial" w:cs="Arial" w:eastAsia="Arial" w:hAnsi="Arial"/>
                <w:sz w:val="14"/>
                <w:szCs w:val="14"/>
                <w:color w:val="auto"/>
              </w:rPr>
              <w:t>77</w:t>
            </w:r>
          </w:p>
        </w:tc>
      </w:tr>
      <w:tr>
        <w:trPr>
          <w:trHeight w:val="46"/>
        </w:trPr>
        <w:tc>
          <w:tcPr>
            <w:tcW w:w="424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Company’s revenues by major source for the years ended December 31, 2019, 2018 and 2017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Marine transportation segment: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Inland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1,119,820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923,916</w:t>
            </w:r>
          </w:p>
        </w:tc>
      </w:tr>
      <w:tr>
        <w:trPr>
          <w:trHeight w:val="223"/>
        </w:trPr>
        <w:tc>
          <w:tcPr>
            <w:tcW w:w="7440" w:type="dxa"/>
            <w:vAlign w:val="bottom"/>
          </w:tcPr>
          <w:p>
            <w:pPr>
              <w:ind w:left="200"/>
              <w:spacing w:after="0"/>
              <w:rPr>
                <w:sz w:val="20"/>
                <w:szCs w:val="20"/>
                <w:color w:val="auto"/>
              </w:rPr>
            </w:pPr>
            <w:r>
              <w:rPr>
                <w:rFonts w:ascii="Arial" w:cs="Arial" w:eastAsia="Arial" w:hAnsi="Arial"/>
                <w:sz w:val="18"/>
                <w:szCs w:val="18"/>
                <w:color w:val="auto"/>
              </w:rPr>
              <w:t>Coastal transportation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366,204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363,323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400,190</w:t>
            </w:r>
          </w:p>
        </w:tc>
      </w:tr>
      <w:tr>
        <w:trPr>
          <w:trHeight w:val="257"/>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744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Oil and gas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1,010,410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614,128</w:t>
            </w:r>
          </w:p>
        </w:tc>
      </w:tr>
      <w:tr>
        <w:trPr>
          <w:trHeight w:val="223"/>
        </w:trPr>
        <w:tc>
          <w:tcPr>
            <w:tcW w:w="744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591,953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276,184</w:t>
            </w:r>
          </w:p>
        </w:tc>
      </w:tr>
      <w:tr>
        <w:trPr>
          <w:trHeight w:val="257"/>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revenue is measured based on consideration specified in its contracts with its customers. The Company recognizes revenue as it satisfies performance obligations in its contracts which occur as the Company delivers a service over time to its customers, or transfers control over a part or product to its customer.</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Contract liabilities represent advance consideration received from customers, and are recognized as revenue over time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performance obligation is satisfied. The amount of revenue recognized in 2019 that was included in the December 31, 2018 contract liability balance was $76,412,000. The Company has recognized all contract liabilities within the deferred revenues financial statement caption on the balance sheet. The Company did not have any contract assets at December 31, 2019 or December 31, 2018.</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The Company applies the practical expedient in ASC 606-10-50-14(a) and does not disclose information about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that have original expected durations of one year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2019, the Company purchased, from various counterparties, a barge fleeting operation in Lake Charles, Louisiana and nine inland tank barges from leasing companies for an aggregate of $17,991,000 in cash. The Company had been leasing the barges prior to the purchases.</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March 14, 2019, the Company completed the acquisition of the marine transportation fleet of Cenac Marine Services, LLC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Cenac to be a natural extension of the current marine transportation segment, expanding the capabilities of the Company’s inland based marine transportation business and lowering the average age of its inland tank barge and towboat fleet.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w w:val="94"/>
              </w:rPr>
              <w:t>The fair values of the assets acquired and liabilities assumed recorded at the acquisition date were as follows (in thousands):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7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w:t>
            </w: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acquired intangible assets with an amortization period of two years and incurred long-term intangible liabilities related to unfavorable contracts with a weighted average amortization period of approximately 1.3 years. Acquisition related costs of $442,000, consisting primarily of legal and other professional fees, were expensed as incurred to selling, general and administrative expense in 2019.</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28, 2018, the Company purchased three inland tank barges from a leasing company for $3,120,000 in cash. The Company had been leasing the barges prior to the purchase.</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14, 2018, the Company purchased 27 inland tank barges with a barrel capacity of 306,000 barrels from CGBM 100, LLC for $28,500,000 in cash. The 27 tank barges transport petrochemicals and refined products on the Mississippi River System and the Gulf Intracoastal Waterway. The average age of the barges was eight years.</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30, 2018, the Company purchased an inland towboat from a leasing company for $3,050,000 in cash. The Company had been leasing the towboat prior to the purchase.</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10, 2018, the Company completed the purchase of Targa Resources Corp.’s (“Targa”)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As a result of the acquisition, the Company recorded $16,116,000 of goodwill and $11,000,000 of intangibles with an average amortization period of 15 years. The Company expects all of the goodwill to be deductible for tax purposes.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15, 2018, the Company purchased two inland pressure tank barges from a competitor for $10,400,000 in cash. The average age of the two tank barges was five years.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14, 2018, the Company completed the acquisition of Higman Marine, Inc. (“Higman”) for $421,922,000 in cash. Higman’s fleet consisted of 163 inland tank barges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the 2028 Notes (as defined in Note 8, Long-Term Debt) issued on February 12, 2018 in preparation for closing of the acquisition.</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Higman to be a natural extension of the current marine transportation segment, expanding the capabilities of the Company’s inland based marine transportation business and lowering the average age of its inland tank barge and towboat fleet.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8"/>
              </w:rPr>
              <w:t>The fair values of the assets acquired and liabilities assumed recorded at the acquisition date were as follows (in thousands):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1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0160" w:type="dxa"/>
            <w:vAlign w:val="bottom"/>
          </w:tcPr>
          <w:p>
            <w:pPr>
              <w:ind w:left="30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421,922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acquisition, the Company recorded $4,657,000 of goodwill of which the majority will be deductible for tax purposes. The Company also incurred $11,100,000 of intangible liabilities related to unfavorable contracts with a weighted average amortization period of approximately 4.9 years. Acquisition related costs of $3,464,000, consisting primarily of legal, audit and other professional fees plus other expenses, were expensed as incurred to selling, general and administrative expense in 2018.</w:t>
      </w:r>
    </w:p>
    <w:p>
      <w:pPr>
        <w:sectPr>
          <w:pgSz w:w="11900" w:h="16838" w:orient="portrait"/>
          <w:cols w:equalWidth="0" w:num="1">
            <w:col w:w="11420"/>
          </w:cols>
          <w:pgMar w:left="240" w:top="121" w:right="239" w:bottom="511"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511"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20, 2017, San Jac Marine, LLC (“San Jac”), a subsidiary of the Company, purchased certain assets of Sneed Shipbuilding, Inc. for $14,852,000 in cash including its Channelview, Texas shipyard. San Jac is a builder of marine vessels for both inland and offshore applications and a provider of repair and maintenance services. The Company intends to build towboats at the shipyard and use the facilities for routine maintenance.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Stewart &amp; Stevenson LLC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value of the transaction was $758,213,000 consisting of cash consideration of $377,935,000, the assumption of $13,724,000 of debt and $366,554,000 through the issuance of 5,696,259 shares of Company common stock valued at $64.35 per share, the Company’s closing share price on September 13, 2017. The debt assumed consisted of $12,135,000 of term debt and $1,589,000 of short-term secured loans related to the Company’s South American operations. The term debt was paid off without penalty in the 2017 fourth quarter.</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S&amp;S is a distributor in certain geographic areas for Allison Transmission, MTU, Detroit Diesel, EMD Power Products (“EMD”), Deutz and several other manufacturers. S&amp;S’ principal customers are oilfield service companies, oil and gas operators and producers, and companies in the marine, mining, power generation, on-highway and other commercial and industrial applications.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As a result of the acquisition, the Company recorded $67,970,000 of property and $30,000 of intangibles with a weighted average amortization period of two years.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 The Company had been leasing the barges prior to the purchase.</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unaudited pro forma results present consolidated information as if the S&amp;S acquisition had been completed as of January 1, 2017. The pro forma results do not include any of the other acquisitions completed in 2017 through 2019 described above as the effect of these acquisitions would not be materially different from the Company’s actual results.</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results include the amortization associated with the acquired intangible assets, interest expense associated with the debt used to fund a portion of the acquisition, the impact of the additional shares issued in connection with the S&amp;S acquisition, and the impact of certain fair value adjustments such as depreciation adjustments related to adjustments to property and equipment. The pro forma results do not include any cost savings or potential synergies related to the acquisition nor any integration costs. The pro forma results should not be considered indicative of the results of operations or financial position of the combined companies had the acquisitions had been consummated as of January 1, 2017 and are not necessarily indicative of results of future operations of the Company.</w:t>
      </w:r>
    </w:p>
    <w:p>
      <w:pPr>
        <w:spacing w:after="0" w:line="2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pro forma revenues and net earnings attributable to Kirby for the year ended December 31, 2017 (unaudited and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2,556,131</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earnings attributable to Kirby</w:t>
            </w:r>
          </w:p>
        </w:tc>
        <w:tc>
          <w:tcPr>
            <w:tcW w:w="63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303,097</w:t>
            </w:r>
          </w:p>
        </w:tc>
      </w:tr>
      <w:tr>
        <w:trPr>
          <w:trHeight w:val="581"/>
        </w:trPr>
        <w:tc>
          <w:tcPr>
            <w:tcW w:w="4040" w:type="dxa"/>
            <w:vAlign w:val="bottom"/>
          </w:tcPr>
          <w:p>
            <w:pPr>
              <w:spacing w:after="0"/>
              <w:rPr>
                <w:sz w:val="24"/>
                <w:szCs w:val="24"/>
                <w:color w:val="auto"/>
              </w:rPr>
            </w:pPr>
          </w:p>
        </w:tc>
        <w:tc>
          <w:tcPr>
            <w:tcW w:w="6380" w:type="dxa"/>
            <w:vAlign w:val="bottom"/>
          </w:tcPr>
          <w:p>
            <w:pPr>
              <w:jc w:val="right"/>
              <w:ind w:right="4556"/>
              <w:spacing w:after="0"/>
              <w:rPr>
                <w:sz w:val="20"/>
                <w:szCs w:val="20"/>
                <w:color w:val="auto"/>
              </w:rPr>
            </w:pPr>
            <w:r>
              <w:rPr>
                <w:rFonts w:ascii="Arial" w:cs="Arial" w:eastAsia="Arial" w:hAnsi="Arial"/>
                <w:sz w:val="14"/>
                <w:szCs w:val="14"/>
                <w:color w:val="auto"/>
              </w:rPr>
              <w:t>80</w:t>
            </w:r>
          </w:p>
        </w:tc>
        <w:tc>
          <w:tcPr>
            <w:tcW w:w="1000" w:type="dxa"/>
            <w:vAlign w:val="bottom"/>
          </w:tcPr>
          <w:p>
            <w:pPr>
              <w:spacing w:after="0"/>
              <w:rPr>
                <w:sz w:val="24"/>
                <w:szCs w:val="24"/>
                <w:color w:val="auto"/>
              </w:rPr>
            </w:pPr>
          </w:p>
        </w:tc>
      </w:tr>
      <w:tr>
        <w:trPr>
          <w:trHeight w:val="46"/>
        </w:trPr>
        <w:tc>
          <w:tcPr>
            <w:tcW w:w="404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Impairment of Long-lived Assets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the fourth quarter of 2018, the Company recorded a $82,705,000 non-cash pre-tax impairment charge. The after-tax effect of the charge was $65,337,000 or $1.09 per share. The USCG adopted regulations on ballast water management systems (“BWMS”)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BWMS. The USCG has approved manufacturers’ systems that met the regulatory discharge standard equivalent to the International Maritime Organization’s D-2 standard. The phase-in schedule for those existing vessels requiring a system to install BWMS equipment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to comply with the BWMS regulations.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Due to the advanced age of four of the Company’s older articulated tank barge and tugboat units (“ATBs”) and the high cost of installation of BWMS, the Company will retire the ATBs at their next scheduled shipyard dates which range between 2020 and 2023 instead of installing the expensive BWMS equipment required to operate the vessels past their next required shipyard dates. A pre-tax impairment charge of $78,835,000 was incurred in the fourth quarter of 2018 to reduce the ATBs to a fair value of $13,247,000 due to reduced estimated cash flows resulting from reduced lives on these four older ATBs. The reduced estimated useful lives are due to the assessment of the impact of the new regulations by USCG that require the installation of BWMS. The fair value of the four ATBs of $13,247,000 is presented in marine transportation equipment at December 31, 2018.</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impairment charge also included a pre-tax charge of $3,870,000 as the Company reduced the carrying value of its improvements in a leased barge to its scrap value of $220,000. As part of a lease termination, the Company agreed to terminate the lease, purchase the barge and then scrap the barge which resulted in the Company committing to put the barge up for sale in December 2018. The barge was scrapped in January 2019. The fair market value of the barge was $220,000 at December 31, 2018, and was presented in prepaid expenses and other current assets. In addition, the Company incurred $2,403,000 in lease cancellation costs in December 2018 related to the leased barge.</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BWMS installations required in the next few years on some of the coastal tank barges. Retiring some of the older coastal marine vessels reduces the fleet’s age profile and improves the efficiency of the fleet. The fair market value of the vessels was $12,550,000 at December 31, 2017, and was presented in prepaid expenses and other current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0"/>
              </w:rPr>
              <w:t>(6)</w:t>
            </w:r>
          </w:p>
        </w:tc>
        <w:tc>
          <w:tcPr>
            <w:tcW w:w="7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240" w:type="dxa"/>
            <w:vAlign w:val="bottom"/>
          </w:tcPr>
          <w:p>
            <w:pPr>
              <w:spacing w:after="0"/>
              <w:rPr>
                <w:sz w:val="24"/>
                <w:szCs w:val="24"/>
                <w:color w:val="auto"/>
              </w:rPr>
            </w:pP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w w:val="92"/>
              </w:rPr>
              <w:t>The following table presents the details of inventories as of December 31, 2019 and 2018 (in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3"/>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406,364</w:t>
            </w:r>
          </w:p>
        </w:tc>
        <w:tc>
          <w:tcPr>
            <w:tcW w:w="8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w w:val="98"/>
              </w:rPr>
              <w:t>101,077</w:t>
            </w:r>
          </w:p>
        </w:tc>
      </w:tr>
      <w:tr>
        <w:trPr>
          <w:trHeight w:val="257"/>
        </w:trPr>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351,401</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507,441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53"/>
        </w:trPr>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0"/>
              </w:rPr>
              <w:t>(7)</w:t>
            </w:r>
          </w:p>
        </w:tc>
        <w:tc>
          <w:tcPr>
            <w:tcW w:w="78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accounting guidance for using fair value to measure certain assets and liabilities establishes a three tier value hierarchy, 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The fair value of the Company’s debt instruments is described in Note 8, Long-Term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Long-term debt at December 31, 2019 and 2018 consisted of the following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82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$850,000,000 revolving credit facility due March 27, 2024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$500,000,000 term loan due March 27,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$150,000,000 senior notes Series A due February 27, 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$350,000,000 senior notes Series B due February 27, 2023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$500,000,000 senior notes due March 1, 2028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$10,000,000 credit line due June 30, 2021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1,417,392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Unamortized debt issuance costs (a)</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(6,550)</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1,369,767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1,410,188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140" w:right="20" w:hanging="132"/>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Unamortized debt issuance costs excludes $2,650,000 attributable to the Revolving Credit Facility (as defined below) included in other assets at December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Arial" w:cs="Arial" w:eastAsia="Arial" w:hAnsi="Arial"/>
                <w:sz w:val="18"/>
                <w:szCs w:val="18"/>
                <w:color w:val="auto"/>
                <w:w w:val="99"/>
              </w:rPr>
              <w:t>The aggregate payments due on the long-term debt in each of the next five years were as follows (in thousands):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March 27, 2019, the Company entered into an amended and restated credit agreement (the “Credit Agreement”) with a group of commercial banks, with JPMorgan Chase Bank, N.A. as the administrative agent bank, that extended the term of the Company’s existing $850,000,000 revolving credit facility (“Revolving Credit Facility”) to March 27, 2024 and added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originally scheduled to commence June 30, 2020, in increasing percentages of the original principal amount of the loan, with the remaining unpaid balance payable of 65% of the initial amount due on March 27, 2024. During 2019, the Company repaid $125,000,000 under the Term Loan prior to the scheduled installments. As a result, no repayments are required until September 30, 2023.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December 31, 2019, the Company was in compliance with all Credit Agreement covenants and had no outstanding borrowings under the Revolving Credit Facility and $375,000,000 outstanding under the Term Loan. The interest rate under the Revolving Credit Facility and Term Loan was 2.9% at December 31, 2019. The Revolving Credit Facility includes a $25,000,000 commitment which may be used for standby letters of credit. Outstanding letters of credit under the Revolving Credit Facility were $5,258,000 as of December 31,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12, 2018, the Company issued $500,000,000 of 4.2% senior unsecured notes due March 1, 2028 (the “2028 Notes”) with U.S. Bank National Association, as trustee. Interest payments of $10,500,000 are due semi-annually on March 1 and September 1 of each year. The Company received cash proceeds of $495,019,000, net of the original issue discount of $705,000 and debt issuance costs of $4,276,000.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 As of December 31, 2019, the Company was in compliance with all the 2028 Notes covenants and had $500,000,000 outstanding under the 2028 Notes.</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December 31, 2019, the Company was in compliance with all Senior Notes Series A and Series B covenants and had $150,000,000 of Senior Notes Series A outstanding and $350,000,000 of Senior Notes Series B outstanding. The Senior Notes Series A are excluded from short term liabilities because the Company has the ability and the intent to repay the amount due using borrowings under the Revolving Credit Facility.</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2021. The Credit Line allows the Company to borrow at an interest rate agreed to by Bank of America and the Company at the time each borrowing is made or continued. The Company had no borrowings outstanding under the Credit Line as of December 31, 2019. Outstanding letters of credit under the Credit Line were $1,171,000 as of December 31, 2019.</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13, 2017, as a result of the S&amp;S acquisition, the Company assumed $12,135,000 of term debt which was paid off without penalty in the 2017 fourth quarter.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also had $16,000 of short-term secured loans outstanding, as of December 31, 2019, related to its South American operations.</w:t>
      </w: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estimated fair value of total debt outstanding at December 31, 2019 and 2018 was $1,421,325,000 and $1,411,628,000, respectively, which differs from the carrying amount of $1,369,767,000 and $1,410,188,000, respectively, included in the consolidated financial statements. The fair value of debt outstanding was determined using a Level 2 fair value measurement.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Taxes on Income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years ended December 31, 2019, 2018 and 2017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taxes on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(258,703)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U.S. State: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(256,263)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provision for taxes on income varied from the statutory federal income tax rate for the years ended December 31, 2019, 2018 and 2017 due to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income tax statutory rate</w:t>
            </w:r>
          </w:p>
        </w:tc>
        <w:tc>
          <w:tcPr>
            <w:tcW w:w="29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Change due to U.S. tax reform</w:t>
            </w:r>
          </w:p>
        </w:tc>
        <w:tc>
          <w:tcPr>
            <w:tcW w:w="29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 net</w:t>
            </w:r>
          </w:p>
        </w:tc>
        <w:tc>
          <w:tcPr>
            <w:tcW w:w="2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(329.9)%</w:t>
            </w:r>
          </w:p>
        </w:tc>
      </w:tr>
      <w:tr>
        <w:trPr>
          <w:trHeight w:val="346"/>
        </w:trPr>
        <w:tc>
          <w:tcPr>
            <w:tcW w:w="2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1419"/>
              <w:spacing w:after="0"/>
              <w:rPr>
                <w:sz w:val="20"/>
                <w:szCs w:val="20"/>
                <w:color w:val="auto"/>
              </w:rPr>
            </w:pPr>
            <w:r>
              <w:rPr>
                <w:rFonts w:ascii="Arial" w:cs="Arial" w:eastAsia="Arial" w:hAnsi="Arial"/>
                <w:sz w:val="14"/>
                <w:szCs w:val="14"/>
                <w:color w:val="auto"/>
              </w:rPr>
              <w:t>84</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non-current deferred tax assets and liabilities at December 31, 2019 and 2018 were as follows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2"/>
        </w:trPr>
        <w:tc>
          <w:tcPr>
            <w:tcW w:w="7920" w:type="dxa"/>
            <w:vAlign w:val="bottom"/>
            <w:gridSpan w:val="2"/>
          </w:tcPr>
          <w:p>
            <w:pPr>
              <w:spacing w:after="0" w:line="201" w:lineRule="exact"/>
              <w:rPr>
                <w:sz w:val="20"/>
                <w:szCs w:val="20"/>
                <w:color w:val="auto"/>
              </w:rPr>
            </w:pPr>
            <w:r>
              <w:rPr>
                <w:rFonts w:ascii="Arial" w:cs="Arial" w:eastAsia="Arial" w:hAnsi="Arial"/>
                <w:sz w:val="18"/>
                <w:szCs w:val="18"/>
                <w:color w:val="auto"/>
              </w:rPr>
              <w:t>Non-current deferred tax assets and liabilities: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accruals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defined benefit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Operating loss carryforwards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81,867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Valuation allowances</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(20,525)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(25,568)</w:t>
            </w:r>
          </w:p>
        </w:tc>
      </w:tr>
      <w:tr>
        <w:trPr>
          <w:trHeight w:val="223"/>
        </w:trPr>
        <w:tc>
          <w:tcPr>
            <w:tcW w:w="20" w:type="dxa"/>
            <w:vAlign w:val="bottom"/>
          </w:tcPr>
          <w:p>
            <w:pPr>
              <w:spacing w:after="0"/>
              <w:rPr>
                <w:sz w:val="19"/>
                <w:szCs w:val="19"/>
                <w:color w:val="auto"/>
              </w:rPr>
            </w:pPr>
          </w:p>
        </w:tc>
        <w:tc>
          <w:tcPr>
            <w:tcW w:w="7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(620,891)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(526,873)</w:t>
            </w: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Deferred state taxes</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(63,640)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(74,638)</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intangibles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(34,235)</w:t>
            </w:r>
          </w:p>
        </w:tc>
      </w:tr>
      <w:tr>
        <w:trPr>
          <w:trHeight w:val="223"/>
        </w:trPr>
        <w:tc>
          <w:tcPr>
            <w:tcW w:w="20" w:type="dxa"/>
            <w:vAlign w:val="bottom"/>
          </w:tcPr>
          <w:p>
            <w:pPr>
              <w:spacing w:after="0"/>
              <w:rPr>
                <w:sz w:val="19"/>
                <w:szCs w:val="19"/>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(14,741)</w:t>
            </w:r>
          </w:p>
        </w:tc>
      </w:tr>
      <w:tr>
        <w:trPr>
          <w:trHeight w:val="223"/>
        </w:trPr>
        <w:tc>
          <w:tcPr>
            <w:tcW w:w="20" w:type="dxa"/>
            <w:vAlign w:val="bottom"/>
          </w:tcPr>
          <w:p>
            <w:pPr>
              <w:spacing w:after="0"/>
              <w:rPr>
                <w:sz w:val="19"/>
                <w:szCs w:val="19"/>
                <w:color w:val="auto"/>
              </w:rPr>
            </w:pPr>
          </w:p>
        </w:tc>
        <w:tc>
          <w:tcPr>
            <w:tcW w:w="7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(755,995)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(588,204)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(542,785)</w:t>
            </w: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2019, the Company generated a net operating loss mainly caused by taking the full cost deduction of purchased fixed assets. The deferred tax assets of $117,134,000 has been recorded at December 31, 2019 and can be utilized by future taxable income indefinitely.</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state operating loss deferred tax assets of $17,282,000 in 2019 and $19,039,000 in 2018. The valuation allowance for state deferred tax assets as of December 31, 2019 and 2018 was $11,760,000 and $17,027,000, respectively, related to the Company’s state net operating loss carryforwards based on the Company’s determination that it is more likely than not that the deferred tax assets will not be realized. Expiration of these state net operating loss carryforwards vary by state through 2037 and none will expire in fiscal 2020.</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Company had a Canadian net operating loss carryforward of $8,765,000 which expires in 2038. A full valuation allowance has been provided for this asset.</w:t>
      </w:r>
    </w:p>
    <w:p>
      <w:pPr>
        <w:spacing w:after="0" w:line="19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or one of its subsidiaries files income tax returns in the United States federal jurisdiction and various state jurisdictions. The Company is currently open to audit under the statute of limitations by the Internal Revenue Service for the 2016 through 2018 tax years. With few exceptions, the Company and its subsidiaries’ state income tax returns are open to audit under the statute of limitations for the 2013 through 2018 tax years.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the Company has provided a liability of $1,172,000 for unrecognized tax benefits related to various income tax issues which includes interest and penalties. The amount that would impact the Company’s effective tax rate, if recognized, is $960,000,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2020 due to the uncertainty of possible examination results.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 of the liability for unrecognized tax benefits for the years ended December 31, 2019, 2018 and 2017, is as follows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r>
      <w:tr>
        <w:trPr>
          <w:trHeight w:val="257"/>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accounts for interest and penalties related to uncertain tax positions as part of its provision for federal and state income taxes. The Company recognized net benefit of $71,000 and $209,000 in interest and penalties for the year ended December 31, 2019 and 2018, respectively, and net expense of $120,000 in interest and penalties for the years ended December 31, 2017. The Company had $289,000, $466,000 and $675,000 of accrued liabilities for the payment of interest and penalties at December 31, 2019,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Award Plans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years ended December 31, 2019, 2018 and 2017 were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benefit</w:t>
            </w:r>
          </w:p>
        </w:tc>
        <w:tc>
          <w:tcPr>
            <w:tcW w:w="28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3,368</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5,903</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RSUs to selected officers and other key employees. Restricted stock and RSUs generally vest ratably over five years, however,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December 31, 2019, 1,356,969 shares were available for future grants under the employee plan and no outstanding stock options under the employee plan were issued with stock appreciation rights.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stock option activity under the employee plan described above for the year ended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Nonincentive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41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114,429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5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5300" w:type="dxa"/>
            <w:vAlign w:val="bottom"/>
            <w:gridSpan w:val="3"/>
          </w:tcPr>
          <w:p>
            <w:pPr>
              <w:jc w:val="right"/>
              <w:ind w:right="60"/>
              <w:spacing w:after="0"/>
              <w:rPr>
                <w:sz w:val="20"/>
                <w:szCs w:val="20"/>
                <w:color w:val="auto"/>
              </w:rPr>
            </w:pPr>
            <w:r>
              <w:rPr>
                <w:rFonts w:ascii="Arial" w:cs="Arial" w:eastAsia="Arial" w:hAnsi="Arial"/>
                <w:sz w:val="18"/>
                <w:szCs w:val="18"/>
                <w:color w:val="auto"/>
              </w:rPr>
              <w:t>(18,247)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4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346"/>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40" w:type="dxa"/>
            <w:vAlign w:val="bottom"/>
          </w:tcPr>
          <w:p>
            <w:pPr>
              <w:jc w:val="right"/>
              <w:ind w:right="2634"/>
              <w:spacing w:after="0"/>
              <w:rPr>
                <w:sz w:val="20"/>
                <w:szCs w:val="20"/>
                <w:color w:val="auto"/>
              </w:rPr>
            </w:pPr>
            <w:r>
              <w:rPr>
                <w:rFonts w:ascii="Arial" w:cs="Arial" w:eastAsia="Arial" w:hAnsi="Arial"/>
                <w:sz w:val="14"/>
                <w:szCs w:val="14"/>
                <w:color w:val="auto"/>
              </w:rPr>
              <w:t>86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 at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Options Outstanding</w:t>
            </w: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0"/>
              </w:rPr>
              <w:t>Options Exercisable</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Aggregated</w:t>
            </w:r>
          </w:p>
        </w:tc>
      </w:tr>
      <w:tr>
        <w:trPr>
          <w:trHeight w:val="216"/>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8"/>
              </w:rPr>
              <w:t>Range of Exercise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Life in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Intrinsic</w:t>
            </w: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Prices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69,254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64.65 – $68.50</w:t>
            </w:r>
          </w:p>
        </w:tc>
        <w:tc>
          <w:tcPr>
            <w:tcW w:w="1120" w:type="dxa"/>
            <w:vAlign w:val="bottom"/>
          </w:tcPr>
          <w:p>
            <w:pPr>
              <w:jc w:val="right"/>
              <w:spacing w:after="0"/>
              <w:rPr>
                <w:sz w:val="20"/>
                <w:szCs w:val="20"/>
                <w:color w:val="auto"/>
              </w:rPr>
            </w:pPr>
            <w:r>
              <w:rPr>
                <w:rFonts w:ascii="Arial" w:cs="Arial" w:eastAsia="Arial" w:hAnsi="Arial"/>
                <w:sz w:val="18"/>
                <w:szCs w:val="18"/>
                <w:color w:val="auto"/>
              </w:rPr>
              <w:t>97,716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44,171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68.43</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70.65 – $75.50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93,985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84.90 – $101.46</w:t>
            </w:r>
          </w:p>
        </w:tc>
        <w:tc>
          <w:tcPr>
            <w:tcW w:w="1120" w:type="dxa"/>
            <w:vAlign w:val="bottom"/>
          </w:tcPr>
          <w:p>
            <w:pPr>
              <w:jc w:val="right"/>
              <w:spacing w:after="0"/>
              <w:rPr>
                <w:sz w:val="20"/>
                <w:szCs w:val="20"/>
                <w:color w:val="auto"/>
              </w:rPr>
            </w:pPr>
            <w:r>
              <w:rPr>
                <w:rFonts w:ascii="Arial" w:cs="Arial" w:eastAsia="Arial" w:hAnsi="Arial"/>
                <w:sz w:val="18"/>
                <w:szCs w:val="18"/>
                <w:color w:val="auto"/>
              </w:rPr>
              <w:t>43,986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37,281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96.08</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51.23 – $101.46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486,059</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w:t>
            </w: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$8,936,000</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244,691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$4,955,000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restricted stock award activity under the employee plan described above for the year ended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(62,748)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68.28</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134,669</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63.28</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restricted stock awards were granted under the employee plan during 2019 or 2018. The weighted average grant date fair value of restricted stock awards granted under the employee plan for the year ended December 31, 2017 was $68.50.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RSU activity under the employee plan described above for the year ended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4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Unvested RSUs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Per Unit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28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Granted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146,650</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74.46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(25,484)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75.60</w:t>
            </w: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4160" w:type="dxa"/>
            <w:vAlign w:val="bottom"/>
            <w:gridSpan w:val="3"/>
          </w:tcPr>
          <w:p>
            <w:pPr>
              <w:jc w:val="right"/>
              <w:ind w:right="80"/>
              <w:spacing w:after="0"/>
              <w:rPr>
                <w:sz w:val="20"/>
                <w:szCs w:val="20"/>
                <w:color w:val="auto"/>
              </w:rPr>
            </w:pPr>
            <w:r>
              <w:rPr>
                <w:rFonts w:ascii="Arial" w:cs="Arial" w:eastAsia="Arial" w:hAnsi="Arial"/>
                <w:sz w:val="18"/>
                <w:szCs w:val="18"/>
                <w:color w:val="auto"/>
              </w:rPr>
              <w:t>(7,054)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74.93</w:t>
            </w: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December 31, 2019</w:t>
            </w:r>
          </w:p>
        </w:tc>
        <w:tc>
          <w:tcPr>
            <w:tcW w:w="28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255,167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74.96</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grant date fair value of RSUs granted for the years ended December 31, 2019 and 2018 was $74.46 and $75.59, respectively. No RSUs were granted during 2017.</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2019, 461,133 shares were available for future grants under the director plan. The director stock award plan is intended as an incentive to attract and retain qualified independent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stock option activity under the director plan described above for the year ended December 31, 2019: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Nonincentive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115,756</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director plan at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Options Outstanding</w:t>
            </w: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1"/>
              </w:rPr>
              <w:t>Options Exercisable</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8"/>
              </w:rPr>
              <w:t>Range of Exercise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Life in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Intrinsic</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Exercise</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Prices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Exercisable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41.24 – $56.45</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61.89 – $62.48</w:t>
            </w:r>
          </w:p>
        </w:tc>
        <w:tc>
          <w:tcPr>
            <w:tcW w:w="1120" w:type="dxa"/>
            <w:vAlign w:val="bottom"/>
          </w:tcPr>
          <w:p>
            <w:pPr>
              <w:jc w:val="right"/>
              <w:spacing w:after="0"/>
              <w:rPr>
                <w:sz w:val="20"/>
                <w:szCs w:val="20"/>
                <w:color w:val="auto"/>
              </w:rPr>
            </w:pPr>
            <w:r>
              <w:rPr>
                <w:rFonts w:ascii="Arial" w:cs="Arial" w:eastAsia="Arial" w:hAnsi="Arial"/>
                <w:sz w:val="18"/>
                <w:szCs w:val="18"/>
                <w:color w:val="auto"/>
              </w:rPr>
              <w:t>22,000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62.21</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62.21</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70.65 – $99.52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86.39</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67,817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41.24 – $99.52</w:t>
            </w:r>
          </w:p>
        </w:tc>
        <w:tc>
          <w:tcPr>
            <w:tcW w:w="1120" w:type="dxa"/>
            <w:vAlign w:val="bottom"/>
          </w:tcPr>
          <w:p>
            <w:pPr>
              <w:jc w:val="right"/>
              <w:spacing w:after="0"/>
              <w:rPr>
                <w:sz w:val="20"/>
                <w:szCs w:val="20"/>
                <w:color w:val="auto"/>
              </w:rPr>
            </w:pPr>
            <w:r>
              <w:rPr>
                <w:rFonts w:ascii="Arial" w:cs="Arial" w:eastAsia="Arial" w:hAnsi="Arial"/>
                <w:sz w:val="18"/>
                <w:szCs w:val="18"/>
                <w:color w:val="auto"/>
              </w:rPr>
              <w:t>115,756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$2,134,000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115,093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73.62</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restricted stock award activity under the director plan described above for the year ended December 31,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Restricted</w:t>
            </w: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22,273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December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83.68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grant date fair value of restricted stock awards granted under the director plan for the years ended December 31, 2019, 2018, and 2017 were $84.81, $85.70, and $70.65, respectively.</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$1,655,000, $6,709,000 and $1,671,000 for the years ended December 31, 2019, 2018 and 2017, respectively. The actual tax benefit realized for tax deductions from stock option exercises was $410,000, $2,073,000 and $632,000 for the years ended December 31, 2019, 2018 and 2017,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fair value of all the restricted stock vestings under all of the Company’s plans was $5,917,000, $12,936,000 and $8,485,000 for the years ended December 31, 2019, 2018 and 2017, respectively. The actual tax benefit realized for tax deductions from restricted stock vestings was $1,464,000, $3,997,000 and $3,208,000 for the years ended December 31, 2019, 2018 and 2017, respectively.</w:t>
      </w: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fair value of all the RSU vestings under the Company’s employee plan was $1,727,000 for the year ended December 31, 2019. The actual tax benefit realized for tax deductions from RSU vestings was $427,000 for the year ended December 31, 2019. There were no RSU vestings for the years ended December 31, 2018 or 2017.</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2019, there was $2,313,000 of unrecognized compensation cost related to nonvested stock options, $4,226,000 related to restricted stock and $10,093,000 related to nonvested RSUs. The stock options are expected to be recognized over a weighted average period of approximately 1.3 years, restricted stock over approximately 1.4 years and RSUs over approximately 3.5 years.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years ended December 31, 2019, 2018 and 2017 was $22.77, $23.53 and $20.72, respectively. The fair value of the stock options granted during the years ended December 31, 2019, 2018 and 2017 was $2,666,000, $2,787,000 and $2,617,000, respectively. The Company currently uses treasury stock shares for restricted stock grants, RSU vestings and stock option exercises. The fair value of each stock option was determined using the Black-Scholes option pricing model. The key input variables used in valuing the stock options granted during the years ended December 31, 2019, 2018 and 2017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Estimated option term</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 years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5.5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 years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contributions to the Higman pension plan of $1,615,000 in 2019 for the 2018 plan year, $1,449,000 in 2019 for the 2019 plan year, $6,717,000 in 2018 for the 2016 and 2017 plan years and $1,385,000 in 2018 for the 2018 year.</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plan assets of the Company’s pension plans was $358,197,000 and $303,151,000 at December 31, 2019 and 2018 respectively.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these assets were allocated among asset categories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Current</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Minimum, Target</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and Maximum</w:t>
            </w:r>
          </w:p>
        </w:tc>
      </w:tr>
      <w:tr>
        <w:trPr>
          <w:trHeight w:val="24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Allocation Policy</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   30%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50%— 70%</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International equity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20%— 30%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30%— 55%</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 — 0%— 5%</w:t>
            </w: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and 2018, $25,871,000 and $22,497,000 respectively, was held in cash and equity securities classified within Level 1 of the valuation hierarchy and $125,000 and $804,000, respectively, was held in real estate investments classified within Level 3 of the valuation hierarchy. All other plan assets are invested in common collective trusts and valued using the net asset value per share practical expedient and therefore not valued within the valuation hierarchy.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7.0% in 2019 and 2018.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86% of the pension plans’ accumulated benefit obligation at December 31, 2019, including the Higman pension plan.</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change in benefit obligation and plan assets for the Company’s defined benefit plans and postretirement benefit plan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5"/>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Postretirement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w w:val="99"/>
              </w:rPr>
              <w:t>Pension Benefits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Postretirement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5"/>
              </w:rPr>
              <w:t>Benefit obligation at beginning of year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381,483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7,622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49,478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(44,935)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benefits paid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Curtailments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(3,081)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Benefit obligation at end of year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442,861</w:t>
            </w:r>
          </w:p>
        </w:tc>
        <w:tc>
          <w:tcPr>
            <w:tcW w:w="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381,483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
        </w:trPr>
        <w:tc>
          <w:tcPr>
            <w:tcW w:w="334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gridSpan w:val="3"/>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Accumulated benefit obligation at end of</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b w:val="1"/>
                <w:bCs w:val="1"/>
                <w:color w:val="auto"/>
              </w:rPr>
              <w:t>year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417,981</w:t>
            </w:r>
          </w:p>
        </w:tc>
        <w:tc>
          <w:tcPr>
            <w:tcW w:w="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356,797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Weighted-average assumption used</w:t>
            </w: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9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b w:val="1"/>
                <w:bCs w:val="1"/>
                <w:color w:val="auto"/>
                <w:w w:val="95"/>
              </w:rPr>
              <w:t>to determine benefit obligation at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b w:val="1"/>
                <w:bCs w:val="1"/>
                <w:color w:val="auto"/>
              </w:rPr>
              <w:t>end of year</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Discount rate (a)</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w w:val="90"/>
              </w:rPr>
              <w:t>Service-based table</w:t>
            </w:r>
          </w:p>
        </w:tc>
        <w:tc>
          <w:tcPr>
            <w:tcW w:w="154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Service-based table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Initial rate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Ultimate rate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Years to ultimate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80" w:type="dxa"/>
            <w:vAlign w:val="bottom"/>
            <w:gridSpan w:val="4"/>
          </w:tcPr>
          <w:p>
            <w:pPr>
              <w:spacing w:after="0"/>
              <w:rPr>
                <w:sz w:val="20"/>
                <w:szCs w:val="20"/>
                <w:color w:val="auto"/>
              </w:rPr>
            </w:pPr>
            <w:r>
              <w:rPr>
                <w:rFonts w:ascii="Arial" w:cs="Arial" w:eastAsia="Arial" w:hAnsi="Arial"/>
                <w:sz w:val="18"/>
                <w:szCs w:val="18"/>
                <w:b w:val="1"/>
                <w:bCs w:val="1"/>
                <w:color w:val="auto"/>
              </w:rPr>
              <w:t>Effect of one-percentage-point change in</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Arial" w:cs="Arial" w:eastAsia="Arial" w:hAnsi="Arial"/>
                <w:sz w:val="18"/>
                <w:szCs w:val="18"/>
                <w:b w:val="1"/>
                <w:bCs w:val="1"/>
                <w:color w:val="auto"/>
              </w:rPr>
              <w:t>assumed health care cost trend rate 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b w:val="1"/>
                <w:bCs w:val="1"/>
                <w:color w:val="auto"/>
              </w:rPr>
              <w:t>postretirement obligation</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Decrease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Fair value of plan assets at beginning of</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303,151</w:t>
            </w: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294,995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63,939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(18,214)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Gross benefits paid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(11,749)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2"/>
              </w:rPr>
              <w:t>Fair value of plan assets at end of year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358,197</w:t>
            </w:r>
          </w:p>
        </w:tc>
        <w:tc>
          <w:tcPr>
            <w:tcW w:w="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303,151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67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discount rate for the Higman pension plan in 2018 was changed from 4.13% as of February 14, 2018 and 4.02% as of March 31, 2018 to 4.40% as of December 31,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funded status and amounts recognized in the Company’s consolidated balance sheet for the Company’s defined benefit plans and postretirement benefit plan at December 31, 2019 and 2018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Other Postretirement</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w w:val="99"/>
              </w:rPr>
              <w:t>Pension Benefits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Postretirement</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plan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Benefit obligations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(442,861)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(381,483)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Funded status and amount recognized at end</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(84,664)</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5"/>
              </w:rPr>
              <w:t>Amounts recognized in the consolidated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balance sheets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asset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Current liability</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liability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r>
      <w:tr>
        <w:trPr>
          <w:trHeight w:val="44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accumulated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52,160</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(3,795)</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Accumulated other compensation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projected benefit obligation and fair value of plan assets for pension plans with a projected benefit obligation in excess of plan assets at December 31, 2019 and 2018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Projected benefit obligation in excess of plan assets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Projected benefit obligation at end of year</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442,861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381,483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358,197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303,151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pension plans with an accumulated benefit obligation in excess of plan assets at December 31, 2019 and 2018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Accumulated benefit obligation in excess of plan assets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Projected benefit obligation at end of year</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442,861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381,483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Accumulated benefit obligation at end of year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417,981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356,797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358,197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3"/>
        </w:trPr>
        <w:tc>
          <w:tcPr>
            <w:tcW w:w="4920" w:type="dxa"/>
            <w:vAlign w:val="bottom"/>
          </w:tcPr>
          <w:p>
            <w:pPr>
              <w:spacing w:after="0"/>
              <w:rPr>
                <w:sz w:val="24"/>
                <w:szCs w:val="2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color w:val="auto"/>
              </w:rPr>
              <w:t>92</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present the expected cash flows for the Company’s defined benefit plans and postretirement benefit plan at December 31, 2019 and 2018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1"/>
              </w:rPr>
              <w:t>Other Postretirement</w:t>
            </w: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7"/>
            <w:vMerge w:val="restart"/>
          </w:tcPr>
          <w:p>
            <w:pPr>
              <w:jc w:val="center"/>
              <w:ind w:right="140"/>
              <w:spacing w:after="0"/>
              <w:rPr>
                <w:sz w:val="20"/>
                <w:szCs w:val="20"/>
                <w:color w:val="auto"/>
              </w:rPr>
            </w:pPr>
            <w:r>
              <w:rPr>
                <w:rFonts w:ascii="Arial" w:cs="Arial" w:eastAsia="Arial" w:hAnsi="Arial"/>
                <w:sz w:val="18"/>
                <w:szCs w:val="18"/>
                <w:b w:val="1"/>
                <w:bCs w:val="1"/>
                <w:color w:val="auto"/>
                <w:w w:val="86"/>
              </w:rPr>
              <w:t>Pension Benefits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6"/>
          </w:tcPr>
          <w:p>
            <w:pPr>
              <w:jc w:val="center"/>
              <w:ind w:left="170"/>
              <w:spacing w:after="0" w:line="202" w:lineRule="exact"/>
              <w:rPr>
                <w:sz w:val="20"/>
                <w:szCs w:val="20"/>
                <w:color w:val="auto"/>
              </w:rPr>
            </w:pPr>
            <w:r>
              <w:rPr>
                <w:rFonts w:ascii="Arial" w:cs="Arial" w:eastAsia="Arial" w:hAnsi="Arial"/>
                <w:sz w:val="18"/>
                <w:szCs w:val="18"/>
                <w:b w:val="1"/>
                <w:bCs w:val="1"/>
                <w:color w:val="auto"/>
                <w:w w:val="91"/>
              </w:rPr>
              <w:t>Postretirement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9"/>
          </w:tcPr>
          <w:p>
            <w:pPr>
              <w:ind w:left="640"/>
              <w:spacing w:after="0"/>
              <w:rPr>
                <w:sz w:val="20"/>
                <w:szCs w:val="20"/>
                <w:color w:val="auto"/>
              </w:rPr>
            </w:pPr>
            <w:r>
              <w:rPr>
                <w:rFonts w:ascii="Arial" w:cs="Arial" w:eastAsia="Arial" w:hAnsi="Arial"/>
                <w:sz w:val="18"/>
                <w:szCs w:val="18"/>
                <w:b w:val="1"/>
                <w:bCs w:val="1"/>
                <w:color w:val="auto"/>
              </w:rPr>
              <w:t>Pension Plan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6"/>
          </w:tcPr>
          <w:p>
            <w:pPr>
              <w:ind w:left="140"/>
              <w:spacing w:after="0"/>
              <w:rPr>
                <w:sz w:val="20"/>
                <w:szCs w:val="20"/>
                <w:color w:val="auto"/>
              </w:rPr>
            </w:pPr>
            <w:r>
              <w:rPr>
                <w:rFonts w:ascii="Arial" w:cs="Arial" w:eastAsia="Arial" w:hAnsi="Arial"/>
                <w:sz w:val="18"/>
                <w:szCs w:val="18"/>
                <w:b w:val="1"/>
                <w:bCs w:val="1"/>
                <w:color w:val="auto"/>
              </w:rPr>
              <w:t>SERP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92"/>
              </w:rPr>
              <w:t>Welfare Plan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Expected employer contributions</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First year</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2,407</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1"/>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Other Postretirement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7"/>
              </w:rPr>
              <w:t>Benefits</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8"/>
                <w:szCs w:val="18"/>
                <w:b w:val="1"/>
                <w:bCs w:val="1"/>
                <w:color w:val="auto"/>
                <w:w w:val="99"/>
              </w:rPr>
              <w:t>Pension Benefits</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94"/>
              </w:rPr>
              <w:t>Welfare Plan</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Expected benefit payments (gross)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one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12,063</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12,209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Year two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13,108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three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13,959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Year four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14,959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five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Next five years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100,587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96,547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581"/>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periodic benefit cost and other changes in plan assets and benefit obligations recognized in other comprehensive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defined benefit plans for the years ended December 31, 2019, 2018 and 2017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8"/>
              </w:rPr>
              <w:t>Pension Benefits</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1"/>
              </w:rPr>
              <w:t>Pension Plan</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SERP</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0"/>
              </w:rPr>
              <w:t>Components of net periodic benefit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cost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15,499</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13,729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(22,406)</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(18,195)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Actuarial loss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Prior service credit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Other changes in plan assets and</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1"/>
              </w:rPr>
              <w:t>benefit obligations recognized in</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8"/>
              </w:rPr>
              <w:t>Current year actuarial loss (gain)</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(7,396)</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7,562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actuarial loss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(37,833)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5"/>
              </w:rPr>
              <w:t>Recognition of prior service credit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recognized in other</w:t>
            </w:r>
          </w:p>
        </w:tc>
        <w:tc>
          <w:tcPr>
            <w:tcW w:w="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(10,286)</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(30,271)</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recognized in net periodic</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benefit cost and other</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b w:val="1"/>
                <w:bCs w:val="1"/>
                <w:color w:val="auto"/>
              </w:rPr>
              <w:t>Weighted average assumptions</w:t>
            </w:r>
          </w:p>
        </w:tc>
        <w:tc>
          <w:tcPr>
            <w:tcW w:w="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w w:val="97"/>
              </w:rPr>
              <w:t>used to determine net periodic</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benefit cost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(a)</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4"/>
              </w:rPr>
              <w:t>Expected long-term rate of return on</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plan assets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Service- based table</w:t>
            </w:r>
          </w:p>
        </w:tc>
        <w:tc>
          <w:tcPr>
            <w:tcW w:w="1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Service- based table</w:t>
            </w: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based table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2018 discount rate for benefit cost for the Higman pension plan was changed from 4.13% as of February 14, 2018 and 4.02% as of March 31, 2018 to 4.40% as of December 31, 2018. In 2017, benefit cost for the pension plan was determined using a discount rate of 4.2% for the period beginning January 1, 2017 and ending April 11, 2017 and 4.0% for the period beginning April 12, 2017 and ending December 31, 2017.</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2020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Pension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Plan</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SERP</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5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Prior service credit</w:t>
            </w:r>
          </w:p>
        </w:tc>
        <w:tc>
          <w:tcPr>
            <w:tcW w:w="5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929</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jc w:val="right"/>
              <w:ind w:right="2968"/>
              <w:spacing w:after="0"/>
              <w:rPr>
                <w:sz w:val="20"/>
                <w:szCs w:val="20"/>
                <w:color w:val="auto"/>
              </w:rPr>
            </w:pPr>
            <w:r>
              <w:rPr>
                <w:rFonts w:ascii="Arial" w:cs="Arial" w:eastAsia="Arial" w:hAnsi="Arial"/>
                <w:sz w:val="14"/>
                <w:szCs w:val="14"/>
                <w:color w:val="auto"/>
              </w:rPr>
              <w:t>94</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components of net periodic benefit cost and other changes in benefit obligations recognized in other comprehensive income for the Company’s postretirement benefit plan for the years ended December 31, 2019, 2018 and 2017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Other Postretirement Benefits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Postretirement Welfare Plan</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Actuarial gain</w:t>
            </w:r>
          </w:p>
        </w:tc>
        <w:tc>
          <w:tcPr>
            <w:tcW w:w="7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(540)</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periodic benefit cost</w:t>
            </w:r>
          </w:p>
        </w:tc>
        <w:tc>
          <w:tcPr>
            <w:tcW w:w="7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(509)</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Other changes in benefit obligations recognized in other comprehensive income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year actuarial loss (gain)</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Recognition of actuarial gain</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596</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prior service cost</w:t>
            </w: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recognized in other comprehensive income</w:t>
            </w:r>
          </w:p>
        </w:tc>
        <w:tc>
          <w:tcPr>
            <w:tcW w:w="7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recognized in net periodic benefit cost and other comprehensive income</w:t>
            </w: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rate</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Ultimate rate</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Years to ultimate</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Effect of one-percentage-point change in assumed health care cost trend rate on aggregate</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service and interest cost</w:t>
            </w: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Increase</w:t>
            </w: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2020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gridSpan w:val="5"/>
          </w:tcPr>
          <w:p>
            <w:pPr>
              <w:jc w:val="center"/>
              <w:ind w:left="6559"/>
              <w:spacing w:after="0"/>
              <w:rPr>
                <w:sz w:val="20"/>
                <w:szCs w:val="20"/>
                <w:color w:val="auto"/>
              </w:rPr>
            </w:pPr>
            <w:r>
              <w:rPr>
                <w:rFonts w:ascii="Arial" w:cs="Arial" w:eastAsia="Arial" w:hAnsi="Arial"/>
                <w:sz w:val="18"/>
                <w:szCs w:val="18"/>
                <w:b w:val="1"/>
                <w:bCs w:val="1"/>
                <w:color w:val="auto"/>
                <w:w w:val="89"/>
              </w:rPr>
              <w:t>Postretirement</w:t>
            </w: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Benefits</w:t>
            </w: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Postretirement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Welfare Plan</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6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Prior service cost</w:t>
            </w:r>
          </w:p>
        </w:tc>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4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22"/>
                <w:szCs w:val="22"/>
                <w:color w:val="auto"/>
              </w:rPr>
            </w:pPr>
          </w:p>
        </w:tc>
      </w:tr>
      <w:tr>
        <w:trPr>
          <w:trHeight w:val="346"/>
        </w:trPr>
        <w:tc>
          <w:tcPr>
            <w:tcW w:w="2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6740" w:type="dxa"/>
            <w:vAlign w:val="bottom"/>
            <w:tcBorders>
              <w:top w:val="single" w:sz="8" w:color="CCEEFF"/>
            </w:tcBorders>
          </w:tcPr>
          <w:p>
            <w:pPr>
              <w:jc w:val="right"/>
              <w:ind w:right="4319"/>
              <w:spacing w:after="0"/>
              <w:rPr>
                <w:sz w:val="20"/>
                <w:szCs w:val="20"/>
                <w:color w:val="auto"/>
              </w:rPr>
            </w:pPr>
            <w:r>
              <w:rPr>
                <w:rFonts w:ascii="Arial" w:cs="Arial" w:eastAsia="Arial" w:hAnsi="Arial"/>
                <w:sz w:val="14"/>
                <w:szCs w:val="14"/>
                <w:color w:val="auto"/>
              </w:rPr>
              <w:t>95</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also contributes to a multiemployer pension plan pursuant to a collective bargaining agreement which covers certain vessel crew members of its coastal operations and expires on April 30, 2022. The Company began participation in the Seafarers Pension Trust (“SPT”) with the Penn Maritime, Inc. acquisition on December 14, 2012.</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Contributions to the SPT are made currently based on a per day worked basis and charged to expense as incurred and included in costs of sales and operating expenses in the consolidated statement of earnings. During 2019 and 2018, the Company made contributions of $665,000 and $671,000, respectively, to the SPT. The Company’s contributions to the SPT exceeded 5% of total contributions to the SPT in 2018. Total contributions for 2019 are not yet available. The Company did not pay any material surcharges in 2019 or 2018.</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federal identification number of the SPT is 13-6100329 and the Certified Zone Status is Green at December 31, 2018. The Company’s future minimum contribution requirements under the SPT are unavailable because actuarial reports for the 2019 plan year are not yet complete and such contributions are subject to negotiations between the employers and the unions. The SPT was not in endangered or critical status for the 2018 plan year, the latest period for which a report is available, as the funded status was in excess of 100%. Based on an actuarial valuation performed as of December 31, 2018, there would be no withdrawal liability if the Company chose to withdraw from the SPT although the Company currently has no intention of terminating its participation in the SPT.</w:t>
      </w:r>
    </w:p>
    <w:p>
      <w:pPr>
        <w:spacing w:after="0" w:line="2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also contributes to a multiemployer pension plan pursuant to a collective bargaining agreement which covers certain employees of its distribution and services segment in New Jersey and expires on October 8, 2023. The Company began participation in the Central Pension Fund of the International Union of Operating Engineers and Participating Employers (“CPF”) with the S&amp;S acquisition on September 13, 2017.</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2019 and 2018, the Company made contributions of $693,000 and $736,000, respectively, to the CPF. Total contributions for the 2019 plan year are not yet available. The Company did not pay any material surcharges in 2019 or 2018.</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federal identification number of the CPF is 36-6052390 and the Certified Zone Status is Green at January 31, 2019. The Company’s future minimum contribution requirements under the CPF are unavailable because actuarial reports for the 2019 plan year, which ended January 31, 2020, are not yet complete and such contributions are subject to negotiations between the employers and the unions. The CPF was not in endangered or critical status for the 2018 plan year, the latest period for which a report is available, as the funded status was 95%. Based on an actuarial valuation performed as of January 31, 2019, there would be no withdrawal liability if the Company chose to withdraw from the CPF although the Company currently has no intention of terminating its participation in the CPF.</w:t>
      </w:r>
    </w:p>
    <w:p>
      <w:pPr>
        <w:spacing w:after="0" w:line="2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defined benefit plans, the Company sponsors various defined contribution plans for substantially all employees. The aggregate contributions to the plans were $25,409,000, $22,392,000 and $17,247,000 in 2019, 2018 and 2017,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changes in other comprehensive income for the years ended December 31, 2019, 2018 and 2017 were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Gross</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Gross</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Gross</w:t>
            </w:r>
          </w:p>
        </w:tc>
        <w:tc>
          <w:tcPr>
            <w:tcW w:w="10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Net</w:t>
            </w:r>
          </w:p>
        </w:tc>
      </w:t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Amount</w:t>
            </w:r>
          </w:p>
        </w:tc>
      </w:tr>
      <w:tr>
        <w:trPr>
          <w:trHeight w:val="202"/>
        </w:trPr>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Pension and</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7"/>
              </w:rPr>
              <w:t>postretirement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benefits (a):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Actuarial 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7,322</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5,906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25,776</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16,405</w:t>
            </w: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Adoption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ASU 2018-02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reclassification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retained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w w:val="94"/>
              </w:rPr>
              <w:t>Foreign currency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57"/>
        </w:trPr>
        <w:tc>
          <w:tcPr>
            <w:tcW w:w="20" w:type="dxa"/>
            <w:vAlign w:val="bottom"/>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Actuarial gains (losses) are amortized into other income (expense). (See Note 11 – Retirement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years ended December 31, 2019, 2018 and 2017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141,978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78,129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310,976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440" w:type="dxa"/>
            <w:vAlign w:val="bottom"/>
            <w:gridSpan w:val="2"/>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outstanding options to purchase approximately 187,000, 384,000 and 472,000 shares of common stock were excluded in the computation of diluted earnings per share as of December 31, 2019, 2018 and 2017, respectively, as such stock options would have been antidilutive. No RSUs were antidilutive at December 31, 2019.</w:t>
      </w: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Results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quarterly results for the year ended December 31, 2019 were as follows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698,317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588,534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(15,515)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(15,269)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47,287</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quarterly results for the year ended December 31, 2018 were as follows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692,866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747,260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636,906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(12,540)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(12,345)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(loss)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Benefit (provision)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(16,061)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 (loss)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(loss) attributable to Kirby</w:t>
            </w: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(loss)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Quarterly basic and diluted earnings per share may not total to the full year per share amounts, as the weighted average number of shares outstanding for each quarter fluctuates as a result of the assumed exercise of stock options.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and Commitments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2009, the Company was named by the Environmental Protection Agency (the “EPA”) as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February 20, 2015, the Company was served as a defendant in a Complaint originally filed on August 14, 2014, in the U.S. District Court of the Southern District of Texas - Houston Division, </w:t>
      </w:r>
      <w:r>
        <w:rPr>
          <w:rFonts w:ascii="Arial" w:cs="Arial" w:eastAsia="Arial" w:hAnsi="Arial"/>
          <w:sz w:val="17"/>
          <w:szCs w:val="17"/>
          <w:i w:val="1"/>
          <w:iCs w:val="1"/>
          <w:color w:val="auto"/>
        </w:rPr>
        <w:t>USOR Site PRP Group vs. A&amp;M Contractors, USES, Inc. et al.</w:t>
      </w:r>
      <w:r>
        <w:rPr>
          <w:rFonts w:ascii="Arial" w:cs="Arial" w:eastAsia="Arial" w:hAnsi="Arial"/>
          <w:sz w:val="17"/>
          <w:szCs w:val="17"/>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13, 2016, the Company, as a successor to Hollywood Marine, Inc.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2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20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On May 10, 2019, two tank barges and a towboat, the M/V Voyager, owned and operated by Kirby Inland Marine, LP, a 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 Galveston Division seeking limitation of liability and asserting the Genesis River and her owner/manager are at fault for damages including removal costs and claims under the Oil Pollution Act of 1990 and maritime law. Multiple claimants have filed claims in the limitation seeking damages under the Oil Pollution Act of 1990. The Company has various insurance policies covering liabilities including pollution, marine and general liability and believes that it has satisfactory insurance coverage for the potential liabilities arising from the incident. The Company believes it has accrued adequate reserves for the incident and does not expect the incident to have a material adverse effect on its business or financial condition.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On July 16, 2019, the Company and the Canadian government settled the charges against the subsidiary of the Company. The subsidiary of the Company agreed to pay the Canadian government a fine of approximately $2,900,000 Canadian dollars ($2,200,000 U.S. dollars) for violations of the Canadian Fisheries Act, the Migratory Birds Convention Act, the Pilotage Act and the Shipping Act of 2001.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While all legal action to date involving the Company has been resolved,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Certain Significant Risks and Uncertainties. </w:t>
      </w:r>
      <w:r>
        <w:rPr>
          <w:rFonts w:ascii="Arial" w:cs="Arial" w:eastAsia="Arial" w:hAnsi="Arial"/>
          <w:sz w:val="17"/>
          <w:szCs w:val="17"/>
          <w:color w:val="auto"/>
        </w:rPr>
        <w:t>The preparation of financial statements in conformity with United States generally accepted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customer base of the marine transportation segment includes major industrial petrochemical and chemical manufacturers, refining companies and agricultural chemical manufacturers operating in the United States. During 2019, approximately 65% of marine transportation’s inland revenues were from movements of such products under term contracts, typically ranging from one year to three years, some with renewal options. During 2019, approximately 80% of the marine transportation’s coastal revenues were under term contracts. While the manufacturing and refining companies have generally been customers of the Company for numerous years (some as long as 40 years) and management anticipates a continuing relationship, there is no assurance that any individual contract will be renewed. No single customer of the marine transportation segment accounted for 10% or more of the Company’s revenues in 2019, 2018 and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Major customers of the distribution and services segment include oilfield service companies, oil and gas operators and producers, inland and offshore barge operators, offshore fishing companies, on-highway transportation companies, construction companies, the United States government, and power generation, nuclear and industrial companies.</w:t>
      </w:r>
    </w:p>
    <w:p>
      <w:pPr>
        <w:spacing w:after="0" w:line="20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results of the distribution and services segment are largely tied to the industries it serves and, therefore, can be influenced by the cycles of such industries. No single customer of the distribution and services segment accounted for 10% or more of the Company’s revenues in 2019, 2018 and 2017.</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United Holdings LLC (“United”) has maintained continuous exclusive distribution rights for MTU and Allison Transmission products since 1946. United is one of MTU’s top five distributors of MTU off-highway engines in North America with exclusive distribution rights in Oklahoma, Arkansas, Louisiana and Mississippi. In addition, as a distributor of Allison Transmission products, United has distribution rights in Oklahoma, Arkansas and Louisiana. Finally, United is also the distributor for parts service and warranty on Daimler Truck North America (“DTNA”) engines and related equipment in Oklahoma, Arkansas and Louisiana.</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S&amp;S is also one of MTU’s top five distributors for off-highway engines with exclusive distribution rights in multiple states. S&amp;S also has authorized exclusive distribution rights for Allison Transmission, Detroit Diesel, Deutz, DTNA, EMD, Rolls Royce Power and Volvo Penta diesel engines in multiple key growth states, primarily through the Central, South and Eastern parts of the United States and strategically located near major oil and gas fields, marine waterways and on-highway transportation routes. In addition, S&amp;S has long-term relationships with numerous smaller suppliers including Donaldson, Freightliner, Generac and John Deere.</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Kirby Engine Systems LLC, through Marine Systems, Inc. and Engine Systems, Inc. (“Engine Systems”), operates as an authorized EMD distributor throughout the United States. Engine Systems is also the authorized EMD distributor for nuclear power applications worldwide. The relationship with EMD has been maintained for over 50 years. The segment also operates factory-authorized full service marine distributorship/dealerships for Cummins, Detroit Diesel and John Deere high-speed diesel engines and Falk, Lufkin and Twin Disc marine gears, as well as an authorized marine dealer for Caterpillar diesel engine in multiple states.</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Weather can be a major factor in the day-to-day operations of the marine transportation segment. Adverse weather conditions, such as high or low water, tropical storms, hurricanes, tsunamis, fog and ice, can impair the operating efficiencies of the marine fleet. Shipments of products can be delayed or postponed by weather conditions, which are totally beyond the control of the Company. Adverse water conditions are also factors which impair the efficiency of the fleet and can result in delays, diversions and limitations on night passages, and dictate horsepower requirements and size of tows. Additionally, much of the inland waterway system is controlled by a series of locks and dams designed to provide flood control, maintain pool levels of water in certain areas of the country and facilitate navigation on the inland river system. Maintenance and operation of the navigable inland waterway infrastructure is a government function handled by the Army Corps of Engineers with costs shared by industry. Significant changes in governmental policies or appropriations with respect to maintenance and operation of the infrastructure could adversely affect the Company.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marine transportation segment is subject to regulation by the USCG, federal laws, state laws and certain international conventions, as well as numerous environmental regulations. The Company believes that additional safety, environmental and occupational health regulations may be imposed on the marine industry. There can be no assurance that any such new regulations or requirements, or any discharge of pollutants by the Company, will not have an adverse effect on the Company.</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marine transportation segment competes principally in markets subject to the Jones Act, a federal cabotage law that restricts domestic marine transportation in the United States to vessels built and registered in the United States, and manned, owned and operated by United States citizens. The Jones Act cabotage provisions occasionally come under attack by interests seeking to facilitate foreign flag competition in trades reserved for domestic companies and vessels under the Jones Act. The Company believes that continued efforts will be made to modify or eliminate the cabotage provisions of the Jones Act. If such efforts are successful, certain elements could have an adverse effect on the Company. However, the Company believes that it is unlikely that the current cabotage provisions of the Jones Act would be eliminated or significantly modified in a way that has a material adverse impact on the Company in the foreseeable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$22,804,000 at December 31, 2019, including $11,240,000 in letters of credit and $11,564,000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Data</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 marine transportation principally by United States flag vessels of liquid cargoes throughout the United States inland</w:t>
      </w:r>
      <w:r>
        <w:rPr>
          <w:rFonts w:ascii="Arial" w:cs="Arial" w:eastAsia="Arial" w:hAnsi="Arial"/>
          <w:sz w:val="17"/>
          <w:szCs w:val="17"/>
          <w:i w:val="1"/>
          <w:iCs w:val="1"/>
          <w:color w:val="auto"/>
        </w:rPr>
        <w:t xml:space="preserve"> </w:t>
      </w:r>
      <w:r>
        <w:rPr>
          <w:rFonts w:ascii="Arial" w:cs="Arial" w:eastAsia="Arial" w:hAnsi="Arial"/>
          <w:sz w:val="17"/>
          <w:szCs w:val="17"/>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Distribution and Services </w:t>
      </w:r>
      <w:r>
        <w:rPr>
          <w:rFonts w:ascii="Arial" w:cs="Arial" w:eastAsia="Arial" w:hAnsi="Arial"/>
          <w:sz w:val="18"/>
          <w:szCs w:val="18"/>
          <w:color w:val="auto"/>
        </w:rPr>
        <w:t>— Provides after-market services and parts for engines, transmissions, reduction gears and related equipment used in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$27,441,000, $29,363,000 and $20,717,000 in 2019, 2018 and 2017, respectively, as well as the related intersegment profit of $2,744,000, $2,936,000 and $2,072,000 in 2019, 2018 and 2017, respectively, have been eliminated from the tables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by reportable segment the revenues, profit or loss, total assets, depreciation and amortization, and capital expenditures attributable to the principal activities of the Company for the years ended December 31, 2019, 2018 and 2017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transportation</w:t>
            </w:r>
          </w:p>
        </w:tc>
        <w:tc>
          <w:tcPr>
            <w:tcW w:w="2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1,587,082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1,483,143</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Distribution and services</w:t>
            </w:r>
          </w:p>
        </w:tc>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1,251,317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1,487,554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2,838,399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2,970,697</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2,214,418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Segment profit (loss):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transportation</w:t>
            </w:r>
          </w:p>
        </w:tc>
        <w:tc>
          <w:tcPr>
            <w:tcW w:w="2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Distribution and services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129,305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189,820</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114,159</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Marine transportation</w:t>
            </w:r>
          </w:p>
        </w:tc>
        <w:tc>
          <w:tcPr>
            <w:tcW w:w="2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4,536,368</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4,145,294</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3,485,099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1,422,394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1,653,636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1,567,085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6,079,097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5,871,594</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5,127,427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transportation</w:t>
            </w:r>
          </w:p>
        </w:tc>
        <w:tc>
          <w:tcPr>
            <w:tcW w:w="2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182,307</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Distribution and services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219,632</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224,972</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Marine transportation</w:t>
            </w:r>
          </w:p>
        </w:tc>
        <w:tc>
          <w:tcPr>
            <w:tcW w:w="2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217,364</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284,953</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248,164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301,861</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details of “Other” segment profit (loss) for the years ended December 31, 2019, 2018 and 2017 (in thousands):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(55,994)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(46,856)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(21,472)</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write-down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(82,705)</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(105,712)</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Lease cancellation costs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(4,487)</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(162,562</w:t>
            </w:r>
          </w:p>
        </w:tc>
        <w:tc>
          <w:tcPr>
            <w:tcW w:w="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details of “Other” total assets as of December 31, 2019, 2018 and 2017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589"/>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300" w:type="dxa"/>
            <w:vAlign w:val="bottom"/>
          </w:tcPr>
          <w:p>
            <w:pPr>
              <w:jc w:val="right"/>
              <w:ind w:right="1388"/>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50% owner of The Hollywood Camp, L.L.C. (“The Hollywood Camp”), a company that owns and operates a hunting and fishing facility used by the Company primarily for customer entertainment. The Hollywood Camp allocates lease and lodging expenses to its members based on their usage of the facilities. The Company paid The Hollywood Camp $5,110,000 in 2019, $4,523,000 in 2018 and $3,634,000 in 2017 for its share of facility expenses.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a 50% owner of Bolivar Terminal Co., Inc. (“Bolivar”), a company that provides barge fleeting services (temporary barge storage facilities) in the Houston, Texas area. The Company paid Bolivar $459,000 in 2019, $461,000 in 2018 and $581,000 in 2017 for barge fleeting services. Such services were in the ordinary course of business of the Company.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David W. Grzebinski, President and Chief Executive Officer of the Company, is a member of the board of directors for ABS, a not-for-profit that provides global classification services to the marine, offshore and gas industries. The Company paid ABS $1,774,000 in 2019, $1,162,000 in 2018, and $1,081,000 in 2017 to perform audits and surveys of the Company’s vessels in the ordinary course of business of the Company.</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2019, Amy D. Husted, Vice President, General Counsel and Secretary of the Company, became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$1,391,000 in 2019 in the ordinary course of business of the Company.</w:t>
      </w: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husband of Ms. Husted is a partner in the law firm of Clark Hill Strasburger. The Company paid the law firm $1,278,000 in 2019, $2,019,000 in 2018 and $830,000 in 2017 for legal services in connection with matters in the ordinary course of business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January 29, 2020, the Company signed a definitive agreement to acquire the inland tank barge fleet of Savage Inland Marine, LLC (“Savage”) for approximately $278,000,000 in cash, subject to certain closing adjustments. Savage’s tank barge fleet consists of 90 inland tank barges with approximately 2.5 million barrels of capacity and 46 inland towboats. Savage primarily moves petrochemicals, refined products, and crude oil on the Mississippi River, its tributaries, and the Gulf Intracoastal Waterway. Savage also operates a significant ship bunkering business as well as barge fleeting services along the Gulf Coast. The closing of the acquisition is expected to occur late in the first quarter of 2020 and is subject to customary closing conditions, including regulatory approvals under the Hart-Scott-Rodino Act. The purchase will be financed through additional borrowings.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3, 2020, the Company completed the acquisition of substantially all the assets of Convoy Servicing Company and Agility Fleet Services, LLC (collectively “Convoy”) for approximately $40,000,000 in cash, before post-closing adjustments. Convoy is an authorized dealer for Thermo King refrigeration systems for trucks, railroad cars and other land transportation markets for North and East Texas as well as in Colorado.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7" w:name="page108"/>
    <w:bookmarkEnd w:id="107"/>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Included in Part III of this report: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December 31, 2019 and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 for the years ended December 31, 2019, 2018 and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Stockholders’ Equity, for the years ended December 31, 2019, 2018 and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 for the years ended December 31, 2019, 2018 and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as the required information is inapplicable or the information is presented in the consolidated financial statements or related notes.</w:t>
      </w:r>
    </w:p>
    <w:p>
      <w:pPr>
        <w:spacing w:after="0" w:line="27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54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 Securities Purchase Agreement among Kirby Corporation, Higman Marine, Inc. and the parties named therein dated February 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5"/>
              </w:rPr>
              <w:t>2018 (incorporated by reference to Exhibit 2.5 to the Registrant’s Annual Report on Form 10-K for the 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4"/>
              </w:rPr>
              <w:t>— Restated Articles of Incorporation of the Company with all amendments to date (incorporated by reference to Exhibit 3.1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Registrant’s Annual Report on Form 10-K for the year ended 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 Bylaws of the Company, as amended to date (incorporated by reference to Exhibit 3.2 to the Registrant’s Annual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10-K for the year ended 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6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2"/>
              </w:rPr>
              <w:t>See Exhibits 3.1 and 3.2 hereof for provisions of our Restated Articles of Incorporation of the Company with all amendments to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and the Bylaws of the Company, as amended to date (incorporated by reference to Exhibit 3.1 and 3.2, respectively, to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Annual Report on Form 10-K for the year ended 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6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6"/>
              </w:rPr>
              <w:t>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instruments to the Commission upon request.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4"/>
              </w:rPr>
              <w:t>— Credit Agreement dated as of April 30, 2015 among Kirby Corporation, JP Morgan Chase Bank, N.A., as Administrative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2"/>
              </w:rPr>
              <w:t>and the banks named therein (incorporated by reference to Exhibit 10.1 to the Registrant’s Current Report on Form 8-K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Commission on May 5,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 First Amendment to Credit Agreement dated as of June 26, 2017 among Kirby Corporation, JP Morgan Chase Bank, N.A.,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3"/>
              </w:rPr>
              <w:t>Administrative Agent, and the banks named therein (incorporated by reference to Exhibit 10.1 to the Registrant’s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 8-K filed with the Commission on June 28,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700" w:type="dxa"/>
            <w:vAlign w:val="bottom"/>
            <w:shd w:val="clear" w:color="auto" w:fill="CCEEFF"/>
          </w:tcPr>
          <w:p>
            <w:pPr>
              <w:spacing w:after="0"/>
              <w:rPr>
                <w:sz w:val="15"/>
                <w:szCs w:val="15"/>
                <w:color w:val="auto"/>
              </w:rPr>
            </w:pPr>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 Amended and Restated Credit Agreement dated as of March 27, 2019 among Kirby Corporation, JPMorgan Chase Bank, N.A.,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3"/>
              </w:rPr>
              <w:t>Administrative Agent, and the banks named therein (incorporated by reference to Exhibit 10.1 to the Registrant’s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 8-K filed with the Commission on April 2,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10. 4†</w:t>
              </w:r>
            </w:hyperlink>
          </w:p>
        </w:tc>
        <w:tc>
          <w:tcPr>
            <w:tcW w:w="102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 Deferred Compensation Plan for Key Employees (incorporated by reference to Exhibit 10.7 to the Registrant’s Annual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Form 10-K for the year ended December 31,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5"/>
            <w:shd w:val="clear" w:color="auto" w:fill="CCEEFF"/>
          </w:tcPr>
          <w:p>
            <w:pPr>
              <w:spacing w:after="0"/>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3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 Annual Incentive Plan Guidelines for 2019 (incorporated by reference to Exhibit 10.5 to the Registrant’s Annual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10-K for the year ended 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 Annual Incentive Plan Guidelines for 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4"/>
              </w:rPr>
              <w:t>— 2000 Nonemployee Director Stock Plan (incorporated by reference to Exhibit 10.1 to the Registrant’s Quarterly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10-Q for the quarter ended September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1"/>
              </w:rPr>
              <w:t>— 2005 Stock and Incentive Plan (incorporated by reference to Exhibit 10.1 to the Registrant’s Quarterly Report on Form 10-Q for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quarter ended June 30,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2"/>
              </w:rPr>
              <w:t>— Nonemployee Director Compensation Program (incorporated by reference to Exhibit 10.2 to the Registrant’s Quarterly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Form 10-Q for the quarter ended March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600" w:type="dxa"/>
            <w:vAlign w:val="bottom"/>
            <w:shd w:val="clear" w:color="auto" w:fill="CCEEFF"/>
          </w:tcPr>
          <w:p>
            <w:pPr>
              <w:spacing w:after="0"/>
              <w:rPr>
                <w:sz w:val="17"/>
                <w:szCs w:val="17"/>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 Consolidated Subsidiaries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600" w:type="dxa"/>
            <w:vAlign w:val="bottom"/>
            <w:shd w:val="clear" w:color="auto" w:fill="CCEEFF"/>
          </w:tcPr>
          <w:p>
            <w:pPr>
              <w:spacing w:after="0"/>
              <w:rPr>
                <w:sz w:val="17"/>
                <w:szCs w:val="17"/>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 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00" w:type="dxa"/>
            <w:vAlign w:val="bottom"/>
            <w:shd w:val="clear" w:color="auto" w:fill="CCEEFF"/>
          </w:tcPr>
          <w:p>
            <w:pPr>
              <w:spacing w:after="0"/>
              <w:rPr>
                <w:sz w:val="17"/>
                <w:szCs w:val="17"/>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00" w:type="dxa"/>
            <w:vAlign w:val="bottom"/>
            <w:shd w:val="clear" w:color="auto" w:fill="CCEEFF"/>
          </w:tcPr>
          <w:p>
            <w:pPr>
              <w:spacing w:after="0"/>
              <w:rPr>
                <w:sz w:val="17"/>
                <w:szCs w:val="17"/>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 Certification of Chief Financial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32*</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2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7"/>
              </w:rPr>
              <w:t>— 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ind w:left="450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Inline XBRL Taxonomy Extension Definitions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hanging="892"/>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00" w:hanging="892"/>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12"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William G. Harvey</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i w:val="1"/>
          <w:iCs w:val="1"/>
          <w:color w:val="auto"/>
        </w:rPr>
        <w:t>Executive Vice President and</w:t>
      </w:r>
    </w:p>
    <w:p>
      <w:pPr>
        <w:spacing w:after="0" w:line="9"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Capacity</w:t>
            </w:r>
          </w:p>
        </w:tc>
        <w:tc>
          <w:tcPr>
            <w:tcW w:w="2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JOSEPH H. PYNE</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Chairman of the Board and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Joseph H. Pyne</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W. GRZEBINSKI</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Executive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02"/>
        </w:trPr>
        <w:tc>
          <w:tcPr>
            <w:tcW w:w="43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David W. Grzebinski</w:t>
            </w:r>
          </w:p>
        </w:tc>
        <w:tc>
          <w:tcPr>
            <w:tcW w:w="220" w:type="dxa"/>
            <w:vAlign w:val="bottom"/>
          </w:tcPr>
          <w:p>
            <w:pPr>
              <w:spacing w:after="0"/>
              <w:rPr>
                <w:sz w:val="17"/>
                <w:szCs w:val="17"/>
                <w:color w:val="auto"/>
              </w:rPr>
            </w:pPr>
          </w:p>
        </w:tc>
        <w:tc>
          <w:tcPr>
            <w:tcW w:w="4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and Director</w:t>
            </w:r>
          </w:p>
        </w:tc>
        <w:tc>
          <w:tcPr>
            <w:tcW w:w="2500" w:type="dxa"/>
            <w:vAlign w:val="bottom"/>
          </w:tcPr>
          <w:p>
            <w:pPr>
              <w:spacing w:after="0"/>
              <w:rPr>
                <w:sz w:val="17"/>
                <w:szCs w:val="17"/>
                <w:color w:val="auto"/>
              </w:rPr>
            </w:pPr>
          </w:p>
        </w:tc>
      </w:tr>
      <w:tr>
        <w:trPr>
          <w:trHeight w:val="230"/>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500" w:type="dxa"/>
            <w:vAlign w:val="bottom"/>
          </w:tcPr>
          <w:p>
            <w:pPr>
              <w:spacing w:after="0"/>
              <w:rPr>
                <w:sz w:val="20"/>
                <w:szCs w:val="20"/>
                <w:color w:val="auto"/>
              </w:rPr>
            </w:pPr>
          </w:p>
        </w:tc>
      </w:tr>
      <w:tr>
        <w:trPr>
          <w:trHeight w:val="439"/>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G. HARVEY</w:t>
            </w:r>
          </w:p>
        </w:tc>
        <w:tc>
          <w:tcPr>
            <w:tcW w:w="22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Executive Vice President and</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02"/>
        </w:trPr>
        <w:tc>
          <w:tcPr>
            <w:tcW w:w="43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5"/>
              </w:rPr>
              <w:t>William G. Harvey</w:t>
            </w:r>
          </w:p>
        </w:tc>
        <w:tc>
          <w:tcPr>
            <w:tcW w:w="220" w:type="dxa"/>
            <w:vAlign w:val="bottom"/>
          </w:tcPr>
          <w:p>
            <w:pPr>
              <w:spacing w:after="0"/>
              <w:rPr>
                <w:sz w:val="17"/>
                <w:szCs w:val="17"/>
                <w:color w:val="auto"/>
              </w:rPr>
            </w:pPr>
          </w:p>
        </w:tc>
        <w:tc>
          <w:tcPr>
            <w:tcW w:w="4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4"/>
              </w:rPr>
              <w:t>Chief Financial Officer</w:t>
            </w:r>
          </w:p>
        </w:tc>
        <w:tc>
          <w:tcPr>
            <w:tcW w:w="2500" w:type="dxa"/>
            <w:vAlign w:val="bottom"/>
          </w:tcPr>
          <w:p>
            <w:pPr>
              <w:spacing w:after="0"/>
              <w:rPr>
                <w:sz w:val="17"/>
                <w:szCs w:val="17"/>
                <w:color w:val="auto"/>
              </w:rPr>
            </w:pPr>
          </w:p>
        </w:tc>
      </w:tr>
      <w:tr>
        <w:trPr>
          <w:trHeight w:val="230"/>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Financial Officer)</w:t>
            </w:r>
          </w:p>
        </w:tc>
        <w:tc>
          <w:tcPr>
            <w:tcW w:w="2500" w:type="dxa"/>
            <w:vAlign w:val="bottom"/>
          </w:tcPr>
          <w:p>
            <w:pPr>
              <w:spacing w:after="0"/>
              <w:rPr>
                <w:sz w:val="20"/>
                <w:szCs w:val="20"/>
                <w:color w:val="auto"/>
              </w:rPr>
            </w:pPr>
          </w:p>
        </w:tc>
      </w:tr>
      <w:tr>
        <w:trPr>
          <w:trHeight w:val="439"/>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RONALD A. DRAGG</w:t>
            </w:r>
          </w:p>
        </w:tc>
        <w:tc>
          <w:tcPr>
            <w:tcW w:w="22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 Controller and</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02"/>
        </w:trPr>
        <w:tc>
          <w:tcPr>
            <w:tcW w:w="43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Ronald A. Dragg</w:t>
            </w:r>
          </w:p>
        </w:tc>
        <w:tc>
          <w:tcPr>
            <w:tcW w:w="220" w:type="dxa"/>
            <w:vAlign w:val="bottom"/>
          </w:tcPr>
          <w:p>
            <w:pPr>
              <w:spacing w:after="0"/>
              <w:rPr>
                <w:sz w:val="17"/>
                <w:szCs w:val="17"/>
                <w:color w:val="auto"/>
              </w:rPr>
            </w:pPr>
          </w:p>
        </w:tc>
        <w:tc>
          <w:tcPr>
            <w:tcW w:w="4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Assistant Secretary</w:t>
            </w:r>
          </w:p>
        </w:tc>
        <w:tc>
          <w:tcPr>
            <w:tcW w:w="2500" w:type="dxa"/>
            <w:vAlign w:val="bottom"/>
          </w:tcPr>
          <w:p>
            <w:pPr>
              <w:spacing w:after="0"/>
              <w:rPr>
                <w:sz w:val="17"/>
                <w:szCs w:val="17"/>
                <w:color w:val="auto"/>
              </w:rPr>
            </w:pPr>
          </w:p>
        </w:tc>
      </w:tr>
      <w:tr>
        <w:trPr>
          <w:trHeight w:val="230"/>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2500" w:type="dxa"/>
            <w:vAlign w:val="bottom"/>
          </w:tcPr>
          <w:p>
            <w:pPr>
              <w:spacing w:after="0"/>
              <w:rPr>
                <w:sz w:val="20"/>
                <w:szCs w:val="20"/>
                <w:color w:val="auto"/>
              </w:rPr>
            </w:pPr>
          </w:p>
        </w:tc>
      </w:tr>
      <w:tr>
        <w:trPr>
          <w:trHeight w:val="439"/>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ANNE-MARIE N. AINSWORTH</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Anne-Marie N. Ainsworth</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J. ALARIO</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J. Alario</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TANYA S. BEDER</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9"/>
              </w:rPr>
              <w:t>Tanya S. Beder</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BARRY E. DAVIS</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Barry E. Davis</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 SEAN DAY</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C. Sean Day</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MONTE J. MILLER</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5"/>
              </w:rPr>
              <w:t>Monte J. Miller</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R. STEWART</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R. Stewart</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M. WATERMAN</w:t>
            </w:r>
          </w:p>
        </w:tc>
        <w:tc>
          <w:tcPr>
            <w:tcW w:w="22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r>
      <w:tr>
        <w:trPr>
          <w:trHeight w:val="234"/>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6"/>
              </w:rPr>
              <w:t>William M. Waterman</w:t>
            </w: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420"/>
          </w:cols>
          <w:pgMar w:left="240" w:top="121" w:right="239" w:bottom="958"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10.6</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ANNUAL INCENTIVE PLAN</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2020 Plan Year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Guidelines</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KIRBY CORPORATION</w:t>
      </w:r>
    </w:p>
    <w:p>
      <w:pPr>
        <w:spacing w:after="0" w:line="25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January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60" w:type="dxa"/>
            <w:vAlign w:val="bottom"/>
          </w:tcPr>
          <w:p>
            <w:pPr>
              <w:jc w:val="center"/>
              <w:ind w:left="2330"/>
              <w:spacing w:after="0"/>
              <w:rPr>
                <w:sz w:val="20"/>
                <w:szCs w:val="20"/>
                <w:color w:val="auto"/>
              </w:rPr>
            </w:pPr>
            <w:r>
              <w:rPr>
                <w:rFonts w:ascii="Arial" w:cs="Arial" w:eastAsia="Arial" w:hAnsi="Arial"/>
                <w:sz w:val="18"/>
                <w:szCs w:val="18"/>
                <w:b w:val="1"/>
                <w:bCs w:val="1"/>
                <w:i w:val="1"/>
                <w:iCs w:val="1"/>
                <w:color w:val="auto"/>
                <w:w w:val="95"/>
              </w:rPr>
              <w:t>TABLE OF CONTENTS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The 2020 Annual Incentive Plan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Plan Objectives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Business Groups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Performance Period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Eligibility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Individual Bonus Targets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Aggregate Payment Amount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Performance Measures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Business Group Weighting</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Standards for Interim Incentive Payment Calculations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Administration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8980" w:type="dxa"/>
            <w:vAlign w:val="bottom"/>
            <w:gridSpan w:val="2"/>
          </w:tcPr>
          <w:p>
            <w:pPr>
              <w:jc w:val="right"/>
              <w:ind w:right="3150"/>
              <w:spacing w:after="0"/>
              <w:rPr>
                <w:sz w:val="20"/>
                <w:szCs w:val="20"/>
                <w:color w:val="auto"/>
              </w:rPr>
            </w:pPr>
            <w:r>
              <w:rPr>
                <w:rFonts w:ascii="Arial" w:cs="Arial" w:eastAsia="Arial" w:hAnsi="Arial"/>
                <w:sz w:val="14"/>
                <w:szCs w:val="14"/>
                <w:color w:val="auto"/>
              </w:rPr>
              <w:t>1</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i w:val="1"/>
          <w:iCs w:val="1"/>
          <w:color w:val="auto"/>
        </w:rPr>
        <w:t>Introduction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Kirby Corporation (together with its subsidiaries, “</w:t>
      </w:r>
      <w:r>
        <w:rPr>
          <w:rFonts w:ascii="Arial" w:cs="Arial" w:eastAsia="Arial" w:hAnsi="Arial"/>
          <w:sz w:val="18"/>
          <w:szCs w:val="18"/>
          <w:u w:val="single" w:color="auto"/>
          <w:color w:val="auto"/>
        </w:rPr>
        <w:t>Kirby</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2020 Annual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to focus employees of the Company on identifying and achieving business strategies that lead to increased stockholder value. The Plan is also intended to reward superior performance by employees and their contribution to achieving Kirby’s objectives.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aspects of this Plan are complex. Although these Guidelines establish rules for Plan operation, those rules may not work in all circumstances. Therefore, the Compensation Committee of the Kirby Board of Directors has discretion to interpret these Guidelines to assure the awards are consistent with the Plan’s purposes and the Company’s interests. All decisions by the Compensation Committee shall be final and binding.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resolutions of the Compensation Committee expressly provide otherwise, awards granted under the Plan shall constitute performance awards granted under Article IV of the Kirby Corporation 2005 Stock and Incentive Plan and are subject to the terms and provisions of such Plan that apply to performance awards.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may be amended, modified or terminated at any time without prior notice by written authorization of the Compensation Committee or the Board of Directors of Kirby Corporation.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The 2020 Annual Incentive Plan</w:t>
      </w:r>
    </w:p>
    <w:p>
      <w:pPr>
        <w:spacing w:after="0" w:line="25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Each award granted under the Plan is an award for Company performance or a combination of Company and Business Group performance. Awards are generally based on achieving the Company Performance Goal as well as additional Company, Business Group and individual performance measures and objectives. Once the Company Performance Goal is reached, participants in the Plan become eligible for an incentive bonus payment.</w:t>
      </w:r>
    </w:p>
    <w:p>
      <w:pPr>
        <w:spacing w:after="0" w:line="1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amounts paid to participants pursuant to the Plan shall be subject to any policy relating to the recovery of erroneously awarded incentive compensation that may hereafter be adopted by the Company in order to comply with Securities and Exchange Commission rules or New York Stock Exchange listing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key objectives of the Plan are:</w:t>
      </w:r>
    </w:p>
    <w:p>
      <w:pPr>
        <w:spacing w:after="0" w:line="252"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an annual incentive plan that drives performance toward objectives critical to creating stockholder value.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competitive cash compensation opportunities to key Kirby employees.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Reward outstanding achievement by employees who directly affect Kirby’s results.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Assist Kirby in attracting and retaining high quality employees.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 both quantitative and qualitative performance factors in actual bonus payouts.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incentive payments made by the Company are fully deductible by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Groups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Business Groups are designated for purposes of the Plan:</w:t>
      </w:r>
    </w:p>
    <w:p>
      <w:pPr>
        <w:spacing w:after="0" w:line="247" w:lineRule="exact"/>
        <w:rPr>
          <w:sz w:val="20"/>
          <w:szCs w:val="20"/>
          <w:color w:val="auto"/>
        </w:rPr>
      </w:pPr>
    </w:p>
    <w:tbl>
      <w:tblPr>
        <w:tblLayout w:type="fixed"/>
        <w:tblInd w:w="1170" w:type="dxa"/>
        <w:tblCellMar>
          <w:top w:w="0" w:type="dxa"/>
          <w:left w:w="0" w:type="dxa"/>
          <w:bottom w:w="0" w:type="dxa"/>
          <w:right w:w="0" w:type="dxa"/>
        </w:tblCellMar>
      </w:tblPr>
      <w:tr>
        <w:trPr>
          <w:trHeight w:val="250"/>
        </w:trPr>
        <w:tc>
          <w:tcPr>
            <w:tcW w:w="4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Kirby Corporate Services (“KCS”)</w:t>
            </w:r>
          </w:p>
        </w:tc>
        <w:tc>
          <w:tcPr>
            <w:tcW w:w="4540" w:type="dxa"/>
            <w:vAlign w:val="bottom"/>
            <w:tcBorders>
              <w:top w:val="single" w:sz="8" w:color="auto"/>
              <w:bottom w:val="single" w:sz="8" w:color="auto"/>
              <w:right w:val="single" w:sz="8" w:color="auto"/>
            </w:tcBorders>
          </w:tcPr>
          <w:p>
            <w:pPr>
              <w:spacing w:after="0" w:line="243" w:lineRule="exact"/>
              <w:rPr>
                <w:sz w:val="20"/>
                <w:szCs w:val="20"/>
                <w:color w:val="auto"/>
              </w:rPr>
            </w:pPr>
            <w:r>
              <w:rPr>
                <w:rFonts w:ascii="Arial" w:cs="Arial" w:eastAsia="Arial" w:hAnsi="Arial"/>
                <w:sz w:val="17"/>
                <w:szCs w:val="17"/>
                <w:color w:val="auto"/>
              </w:rPr>
              <w:t>Thermo King (“TK”)</w:t>
            </w:r>
            <w:r>
              <w:rPr>
                <w:rFonts w:ascii="Arial" w:cs="Arial" w:eastAsia="Arial" w:hAnsi="Arial"/>
                <w:sz w:val="28"/>
                <w:szCs w:val="28"/>
                <w:color w:val="auto"/>
                <w:vertAlign w:val="superscript"/>
              </w:rPr>
              <w:t>3</w:t>
            </w:r>
          </w:p>
        </w:tc>
      </w:tr>
      <w:tr>
        <w:trPr>
          <w:trHeight w:val="223"/>
        </w:trPr>
        <w:tc>
          <w:tcPr>
            <w:tcW w:w="4580" w:type="dxa"/>
            <w:vAlign w:val="bottom"/>
            <w:tcBorders>
              <w:left w:val="single" w:sz="8" w:color="auto"/>
              <w:bottom w:val="single" w:sz="8" w:color="auto"/>
              <w:right w:val="single" w:sz="8" w:color="auto"/>
            </w:tcBorders>
          </w:tcPr>
          <w:p>
            <w:pPr>
              <w:ind w:left="20"/>
              <w:spacing w:after="0" w:line="216" w:lineRule="exact"/>
              <w:rPr>
                <w:sz w:val="20"/>
                <w:szCs w:val="20"/>
                <w:color w:val="auto"/>
              </w:rPr>
            </w:pPr>
            <w:r>
              <w:rPr>
                <w:rFonts w:ascii="Arial" w:cs="Arial" w:eastAsia="Arial" w:hAnsi="Arial"/>
                <w:sz w:val="16"/>
                <w:szCs w:val="16"/>
                <w:color w:val="auto"/>
              </w:rPr>
              <w:t>Kirby Inland Marine, LP (“KIM”)</w:t>
            </w:r>
            <w:r>
              <w:rPr>
                <w:rFonts w:ascii="Arial" w:cs="Arial" w:eastAsia="Arial" w:hAnsi="Arial"/>
                <w:sz w:val="25"/>
                <w:szCs w:val="25"/>
                <w:color w:val="auto"/>
                <w:vertAlign w:val="superscript"/>
              </w:rPr>
              <w:t>1</w:t>
            </w: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Kirby Engine Systems, LLC (“KES”)</w:t>
            </w:r>
          </w:p>
        </w:tc>
      </w:tr>
      <w:tr>
        <w:trPr>
          <w:trHeight w:val="22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Kirby Offshore Marine, LLC (“KOM”)</w:t>
            </w: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Atlantic and Florida (“DDAs”)</w:t>
            </w:r>
          </w:p>
        </w:tc>
      </w:tr>
      <w:tr>
        <w:trPr>
          <w:trHeight w:val="202"/>
        </w:trPr>
        <w:tc>
          <w:tcPr>
            <w:tcW w:w="458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5"/>
                <w:szCs w:val="15"/>
                <w:color w:val="auto"/>
              </w:rPr>
              <w:t>Kirby Distribution &amp; Services Non-Manufacturing</w:t>
            </w:r>
            <w:r>
              <w:rPr>
                <w:rFonts w:ascii="Arial" w:cs="Arial" w:eastAsia="Arial" w:hAnsi="Arial"/>
                <w:sz w:val="23"/>
                <w:szCs w:val="23"/>
                <w:color w:val="auto"/>
                <w:vertAlign w:val="superscript"/>
              </w:rPr>
              <w:t>2</w:t>
            </w:r>
            <w:r>
              <w:rPr>
                <w:rFonts w:ascii="Arial" w:cs="Arial" w:eastAsia="Arial" w:hAnsi="Arial"/>
                <w:sz w:val="15"/>
                <w:szCs w:val="15"/>
                <w:color w:val="auto"/>
              </w:rPr>
              <w:t xml:space="preserve"> (“KDS</w:t>
            </w:r>
          </w:p>
        </w:tc>
        <w:tc>
          <w:tcPr>
            <w:tcW w:w="45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Manufacturing (“Mfg”)</w:t>
            </w:r>
          </w:p>
        </w:tc>
      </w:tr>
      <w:tr>
        <w:trPr>
          <w:trHeight w:val="237"/>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NM”)</w:t>
            </w:r>
          </w:p>
        </w:tc>
        <w:tc>
          <w:tcPr>
            <w:tcW w:w="454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KIM includes Kirby Ocean Transport Company and Osprey Line, LLC. San Jac Marine, LLC will not participate in this incentive plan in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 KDS Non-Manufacturing includes (United Engines, LLC, Stewart &amp; Stevenson ("S&amp;S") Domestic Branches, S&amp;S Rentals LLC and the Training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TK includes Convoy</w:t>
      </w: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Performance Period</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Performance is measured on a calendar year basis for the Plan. The Performance Period begins on January 1, 2020 and ends on December 31, 2020. Except as expressly provided in these Guidelines in the case of new employees or termination of employment, incentive compensation payments under the Plan are for the full year 2020 and shall not be reduced for the period between the commencement of the Performance Period and the date on which the Compensation Committee approves these Guidelines and the individual bonus targets for participants in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52" w:lineRule="exact"/>
        <w:rPr>
          <w:sz w:val="20"/>
          <w:szCs w:val="20"/>
          <w:color w:val="auto"/>
        </w:rPr>
      </w:pPr>
    </w:p>
    <w:p>
      <w:pPr>
        <w:ind w:left="660" w:right="12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Generally, managerial employees and KIM wheelhouse employees classified as Captain, Relief Captain or Pilot, are eligible for participation. Selection for participation in the Plan is based upon each position’s ability to impact long-term financial results of the Company and designation by management.</w:t>
      </w:r>
    </w:p>
    <w:p>
      <w:pPr>
        <w:spacing w:after="0" w:line="208"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eligible to receive an incentive payment under the Plan, participants must be employed on the last day of the Performance Period and on the date bonuses are paid for the Performance Period, unless their termination reason is death or disability or if they meet the requirements of a retirement. For the purposes of the Plan, the definition of retirement is a calculation resulting in either 65 years of age on termination date or age plus service is greater than or equal to 85.</w:t>
      </w:r>
    </w:p>
    <w:p>
      <w:pPr>
        <w:spacing w:after="0" w:line="21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Participation in the Plan in 2020 does not guarantee participation in similar plans in future years. Participants in the Plan or in similar plans in future years will be notified annually of their selection for participation.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Bonus Targets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participant will be assigned a target bonus level defined as a percentage of base salary earned during the Performance Period. This bonus target is based on competitive market practices, as well as the employee’s ability to impact long-term Company performance. Market practices will be determined using data from either general industry, the marine transportation industry or the diesel engine services industry, depending upon the individual position being considered.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Aggregate Payment Amount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the year, a preliminary incentive payment amount will first be calculated for each participant in the Plan to determine the Aggregate Payment Amount for all participants for the year. The preliminary incentive payment amount for each participant will be calculated as of December 31, 2020 based on the target incentive level for such participant and the calculation formulas described in these Guidelines. The Aggregate Payment Amount under the Plan shall equal the sum of all such preliminary incentive payment amounts.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be obligated to pay out the full Aggregate Payment Amount to eligible participants, subject to the discretion of the Compensation Committee, and the Chief Executive Officer to the extent authorized under these Guidelines, with respect to the allocation of the Aggregate Payment Amount among individual participants. Therefore, the Company’s obligation to pay out the Aggregate Payment Amount becomes fixed on the last day of the Performance Period.</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Compensation Committee, and the Chief Executive Officer if applicable, may determine the amount of the bonus paid to any participant based on the performance measures described in the Plan or any other criteria deemed appropriate in its discretion, provided that in no event will the aggregate incentive payments made pursuant to the Plan exceed the Aggregate Payment Amount.</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for the Plan are:</w:t>
      </w:r>
    </w:p>
    <w:p>
      <w:pPr>
        <w:spacing w:after="0" w:line="25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(Earnings before interest, taxes, depreciation and amortization)</w:t>
      </w:r>
    </w:p>
    <w:p>
      <w:pPr>
        <w:spacing w:after="0" w:line="23"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Return on total capital (“ROTC”): Earnings before interest and taxes divided by average beginning and ending stockholders' equity plus long-term debt</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Initiatives (SI) – Initiatives related to downturn and ramp up in the oilfield.</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Annual performance targets will be established for each measure based on Kirby’s budget for the year and each of the performance measures will have the following weight in calculating the preliminary incentive payment amount for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023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Measures for Incentive Payment Calculations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Division</w:t>
            </w:r>
          </w:p>
        </w:tc>
        <w:tc>
          <w:tcPr>
            <w:tcW w:w="38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Business Group</w:t>
            </w:r>
          </w:p>
        </w:tc>
        <w:tc>
          <w:tcPr>
            <w:tcW w:w="158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Measure 1</w:t>
            </w:r>
          </w:p>
        </w:tc>
        <w:tc>
          <w:tcPr>
            <w:tcW w:w="13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Measure 2</w:t>
            </w: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Measure 3</w:t>
            </w: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Kirby Corporate Services (KCS)</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KCS</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EBITDA-33.3%3</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ROTC-33.3%</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EPS-33.3%</w:t>
            </w: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Marine</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Kirby Inland Marine (KIM)</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KIM</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EBITDA-50%</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ROTC-50%</w:t>
            </w: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Marine</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Kirby Offshore Marine (KOM)</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KOM</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Kirby Engine Systems (KES)</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KES</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Thermo King (TK/CON)</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TK/CON</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Detroit Diesel Allison (FDDA/ADDA)</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DDA's</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Engines (UE)</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Non-MFG</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Rental</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Non-MFG</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Distribution/Training</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Non-MFG</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D&amp;S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Manufacturing</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S&amp;S MFG</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 - 100%</w:t>
            </w: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582"/>
        </w:trPr>
        <w:tc>
          <w:tcPr>
            <w:tcW w:w="1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80" w:type="dxa"/>
            <w:vAlign w:val="bottom"/>
          </w:tcPr>
          <w:p>
            <w:pPr>
              <w:ind w:left="220"/>
              <w:spacing w:after="0"/>
              <w:rPr>
                <w:sz w:val="20"/>
                <w:szCs w:val="20"/>
                <w:color w:val="auto"/>
              </w:rPr>
            </w:pPr>
            <w:r>
              <w:rPr>
                <w:rFonts w:ascii="Arial" w:cs="Arial" w:eastAsia="Arial" w:hAnsi="Arial"/>
                <w:sz w:val="14"/>
                <w:szCs w:val="14"/>
                <w:color w:val="auto"/>
              </w:rPr>
              <w:t>6</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
        </w:trPr>
        <w:tc>
          <w:tcPr>
            <w:tcW w:w="1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Business Group Weighting</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Calculation of the preliminary incentive payment amount for Business Group employees will be based primarily on Business Group performance with a defined portion based on Company performance. Calculation of the preliminary incentive payment amount for employees of KCS will be based on Company performance. Kirby Distribution &amp; Services (KDS) includes a weighted average of the performance of the business groups that support it. Specific weightings are set forth in the following table: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9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Business Group</w:t>
            </w:r>
          </w:p>
        </w:tc>
        <w:tc>
          <w:tcPr>
            <w:tcW w:w="860" w:type="dxa"/>
            <w:vAlign w:val="bottom"/>
            <w:tcBorders>
              <w:top w:val="single" w:sz="8" w:color="auto"/>
              <w:bottom w:val="single" w:sz="8" w:color="auto"/>
              <w:right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Corp</w:t>
            </w:r>
          </w:p>
        </w:tc>
        <w:tc>
          <w:tcPr>
            <w:tcW w:w="104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KIM</w:t>
            </w:r>
          </w:p>
        </w:tc>
        <w:tc>
          <w:tcPr>
            <w:tcW w:w="7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KOM</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99"/>
              </w:rPr>
              <w:t>KDS</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KES</w:t>
            </w: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KCS</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KIM</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KOM</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70%</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Marine President</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15%</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Marine Shared</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20%</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KES</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70%</w:t>
            </w: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KES President</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United/S&amp;S</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70%</w:t>
            </w: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KDS President</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50%</w:t>
            </w: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KDS Shared</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70%</w:t>
            </w: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i w:val="1"/>
                <w:iCs w:val="1"/>
                <w:color w:val="auto"/>
              </w:rPr>
              <w:t>KDS President and Shared = Share of Budgeted Revenue</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i w:val="1"/>
                <w:iCs w:val="1"/>
                <w:color w:val="auto"/>
              </w:rPr>
              <w:t>KES = 18%</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i w:val="1"/>
                <w:iCs w:val="1"/>
                <w:color w:val="auto"/>
              </w:rPr>
              <w:t>TK/CON = 10%</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i w:val="1"/>
                <w:iCs w:val="1"/>
                <w:color w:val="auto"/>
              </w:rPr>
              <w:t>DDA's = 21%</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i w:val="1"/>
                <w:iCs w:val="1"/>
                <w:color w:val="auto"/>
              </w:rPr>
              <w:t>S&amp;S Non-Mfg. = 34%</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i w:val="1"/>
                <w:iCs w:val="1"/>
                <w:color w:val="auto"/>
              </w:rPr>
              <w:t>S&amp;S Mfg. = 17%</w:t>
            </w:r>
          </w:p>
        </w:tc>
        <w:tc>
          <w:tcPr>
            <w:tcW w:w="8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825"/>
        </w:trPr>
        <w:tc>
          <w:tcPr>
            <w:tcW w:w="4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Performance Standards for Incentive Payment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5159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246620" cy="351599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Inland Marine and Corporate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Performance Level</w:t>
            </w:r>
          </w:p>
        </w:tc>
        <w:tc>
          <w:tcPr>
            <w:tcW w:w="402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02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Relationship to Budget</w:t>
            </w:r>
          </w:p>
        </w:tc>
        <w:tc>
          <w:tcPr>
            <w:tcW w:w="19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26"/>
        </w:trPr>
        <w:tc>
          <w:tcPr>
            <w:tcW w:w="242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Performance did not meet minimum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80%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Minimum acceptable performance for payout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Expected performance at stretch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Outstanding performance</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0"/>
              </w:rPr>
              <w:t>Offshore Marine, Engine Systems, ThermoKing, Detroit Diesel Allison</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Performance Level</w:t>
            </w:r>
          </w:p>
        </w:tc>
        <w:tc>
          <w:tcPr>
            <w:tcW w:w="4020" w:type="dxa"/>
            <w:vAlign w:val="bottom"/>
            <w:tcBorders>
              <w:right w:val="single" w:sz="8" w:color="auto"/>
            </w:tcBorders>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020" w:type="dxa"/>
            <w:vAlign w:val="bottom"/>
            <w:tcBorders>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Relationship to Budget</w:t>
            </w:r>
          </w:p>
        </w:tc>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26"/>
        </w:trPr>
        <w:tc>
          <w:tcPr>
            <w:tcW w:w="242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Performance did not meet minimum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75%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Minimum acceptable performance for payout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Expected performance at stretch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Outstanding performance</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3"/>
              </w:rPr>
              <w:t>S&amp;S Distribution, Rental, United, Training Center</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Performance Level</w:t>
            </w:r>
          </w:p>
        </w:tc>
        <w:tc>
          <w:tcPr>
            <w:tcW w:w="4020" w:type="dxa"/>
            <w:vAlign w:val="bottom"/>
            <w:tcBorders>
              <w:right w:val="single" w:sz="8" w:color="auto"/>
            </w:tcBorders>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020" w:type="dxa"/>
            <w:vAlign w:val="bottom"/>
            <w:tcBorders>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Relationship to Budget</w:t>
            </w:r>
          </w:p>
        </w:tc>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26"/>
        </w:trPr>
        <w:tc>
          <w:tcPr>
            <w:tcW w:w="242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Performance did not meet minimum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65%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Minimum acceptable performance for payout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Expected performance at stretch level</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Outstanding performance</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135% of budget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582"/>
        </w:trPr>
        <w:tc>
          <w:tcPr>
            <w:tcW w:w="2420" w:type="dxa"/>
            <w:vAlign w:val="bottom"/>
          </w:tcPr>
          <w:p>
            <w:pPr>
              <w:spacing w:after="0"/>
              <w:rPr>
                <w:sz w:val="24"/>
                <w:szCs w:val="24"/>
                <w:color w:val="auto"/>
              </w:rPr>
            </w:pPr>
          </w:p>
        </w:tc>
        <w:tc>
          <w:tcPr>
            <w:tcW w:w="4020" w:type="dxa"/>
            <w:vAlign w:val="bottom"/>
          </w:tcPr>
          <w:p>
            <w:pPr>
              <w:jc w:val="center"/>
              <w:ind w:left="2471"/>
              <w:spacing w:after="0"/>
              <w:rPr>
                <w:sz w:val="20"/>
                <w:szCs w:val="20"/>
                <w:color w:val="auto"/>
              </w:rPr>
            </w:pPr>
            <w:r>
              <w:rPr>
                <w:rFonts w:ascii="Arial" w:cs="Arial" w:eastAsia="Arial" w:hAnsi="Arial"/>
                <w:sz w:val="14"/>
                <w:szCs w:val="14"/>
                <w:color w:val="auto"/>
                <w:w w:val="76"/>
              </w:rPr>
              <w:t>8</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92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246620" cy="892175"/>
                    </a:xfrm>
                    <a:prstGeom prst="rect">
                      <a:avLst/>
                    </a:prstGeom>
                    <a:noFill/>
                  </pic:spPr>
                </pic:pic>
              </a:graphicData>
            </a:graphic>
          </wp:anchor>
        </w:drawing>
        <w:t>KDS Manufacturing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Performance Level</w:t>
            </w:r>
          </w:p>
        </w:tc>
        <w:tc>
          <w:tcPr>
            <w:tcW w:w="402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020" w:type="dxa"/>
            <w:vAlign w:val="bottom"/>
            <w:tcBorders>
              <w:top w:val="single" w:sz="8" w:color="auto"/>
              <w:right w:val="single" w:sz="8" w:color="auto"/>
            </w:tcBorders>
            <w:vMerge w:val="restart"/>
          </w:tcPr>
          <w:p>
            <w:pPr>
              <w:ind w:left="1140"/>
              <w:spacing w:after="0"/>
              <w:rPr>
                <w:sz w:val="20"/>
                <w:szCs w:val="20"/>
                <w:color w:val="auto"/>
              </w:rPr>
            </w:pPr>
            <w:r>
              <w:rPr>
                <w:rFonts w:ascii="Arial" w:cs="Arial" w:eastAsia="Arial" w:hAnsi="Arial"/>
                <w:sz w:val="18"/>
                <w:szCs w:val="18"/>
                <w:b w:val="1"/>
                <w:bCs w:val="1"/>
                <w:color w:val="auto"/>
              </w:rPr>
              <w:t>Measures</w:t>
            </w:r>
          </w:p>
        </w:tc>
        <w:tc>
          <w:tcPr>
            <w:tcW w:w="19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26"/>
        </w:trPr>
        <w:tc>
          <w:tcPr>
            <w:tcW w:w="242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Strategic Initiatives related to management of</w:t>
            </w:r>
          </w:p>
        </w:tc>
        <w:tc>
          <w:tcPr>
            <w:tcW w:w="3020" w:type="dxa"/>
            <w:vAlign w:val="bottom"/>
            <w:tcBorders>
              <w:righ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significant downturn/ramp-up of the oilfield industry</w:t>
            </w:r>
          </w:p>
        </w:tc>
        <w:tc>
          <w:tcPr>
            <w:tcW w:w="3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Rapid equalization efforts related to</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 - to 200%</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Strategic Initiatives</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segment.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market conditions</w:t>
            </w: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8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Between the threshold and maximum percentages of budget achieved for each performance measure, there is a linear relationship between the percentage of budget achieved and the resulting percentage of the target payout percentage used in calculating payout amounts. As examples, 90% of budget for KIM would result in 75% of target used in the calculation of a preliminary payment amount and 105% of budget would result in 125% of target used for the calculation of a preliminary payment amount.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oilfield related business, we use Strategic Initiatives to drive the business when financial measures/budgets are unpredictable.</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target amount determined for each performance measure is then multiplied by the weight for the performance measure and the results are added together to produce a total Company or Business Group payout percentage of the target incentive that is applied to each individual participant in order to calculate the Aggregate Payout Amount under the Plan.</w:t>
      </w:r>
    </w:p>
    <w:p>
      <w:pPr>
        <w:spacing w:after="0" w:line="1"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Compensation Committee and the Chief Executive Officer shall in their discretion allocate the Aggregate Payment Amount among eligible participants; provided that only the Compensation Committee shall have the authority to allocate payment amounts to eligible participants (i) who are “officers” for purposes of Section 16 of the Securities Exchange Act of 1934, (ii) whose bonus target is 50% or more of base salary or (iii) whose base salary is $250,000 or more (collectively “Specified Participants”). In allocating the Aggregate Payment Amount, the Compensation Committee and the Chief Executive Officer may consider, but shall not be bound by, the preliminary incentive payment amount calculated for each participant.</w:t>
      </w:r>
    </w:p>
    <w:p>
      <w:pPr>
        <w:spacing w:after="0" w:line="3" w:lineRule="exact"/>
        <w:rPr>
          <w:rFonts w:ascii="Arial" w:cs="Arial" w:eastAsia="Arial" w:hAnsi="Arial"/>
          <w:sz w:val="16"/>
          <w:szCs w:val="16"/>
          <w:color w:val="auto"/>
        </w:rPr>
      </w:pPr>
    </w:p>
    <w:p>
      <w:pPr>
        <w:ind w:left="660" w:right="3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has discretion to modify the performance measures or adjust the calculation of the preliminary incentive payment amounts to adjust for acquisitions, divestures and other material business events.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of incentive payments made to participants in the Plan must equal the Aggregate Payment Amount.</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the Plan to the contrary, no participant may receive an amount in excess of 200% of the individual bonus target established for such participant (the “Maximum 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Payments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participant’s final incentive bonus payment is paid out in cash within 90 days following the end of the Company’s fiscal year, based on audited financial statements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Limitation</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Participants must be employed by the Company on the last day of the Performance Period and on the date bonuses are paid to receive a bonus, unless otherwise provided for in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Circumstances</w:t>
      </w:r>
    </w:p>
    <w:p>
      <w:pPr>
        <w:spacing w:after="0" w:line="27"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The Compensation Committee will have the sole authority to resolve disputes related to Plan administration. Decisions made by the Compensation Committee will be final and binding on all participants. The Compensation Committee has the sole discretion to determine the bonuses for newly hired, terminated, transferred and promoted employees, but will generally award bonuses based on the following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Employees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For employees hired after the beginning of a Performance Period who are selected for participation in the Plan, the preliminary incentive payment will be prorated for the portion of the Performance Period during which they were employees of the Company, subject to the Termination of Employment restrictions.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If a participant’s employment terminates prior to the last day of the Performance Period or prior to the date bonuses are paid for the Performance Period, for any reason other than death, retirement or disability, the participant will be ineligible to receive a bonus.</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If a participant’s employment terminates before the end of the full Performance Period or before the date bonuses are paid for the Performance Period as a result of death, retirement or disability, the preliminary incentive payment for the participant (or the participant’s heirs) will be prorated at the end of the Performance Period based upon actual performance and base wages earned while employed during the Performance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preliminary incentive payment for a participant who is transferred between Business Groups during the year will be a weighted bonus based upon the time spent at each of the Business Groups. In calculating a weighted bonus, relevant Company and Business Group performance measures will be calculated for the full Performance Period and then a blended bonus will be calculated based on the time spent at each Business Group.</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Promotions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preliminary incentive payment for a participant who is promoted or reassigned during any Performance Period and whose bonus target is subsequently increased or decreased will be a weighted bonus, based on the service before and after the promotion or reassignment.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Plan shall be administered by the Compensation Committee. The Compensation Committee shall have the authority to interpret the provisions of the Plan and these Guidelines, to adopt such rules for carrying out the Plan as it may deem advisable, to decide conclusively all questions arising with respect to the Plan and to make all other determinations and take all other actions necessary or desirable for the administration of the Plan. All decisions and acts of the Compensation Committee shall be final and binding upon all affected parties.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administering the Plan, the Compensation Committee will:</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designation of Business Groups within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Company Performance Goal</w:t>
      </w:r>
    </w:p>
    <w:p>
      <w:pPr>
        <w:spacing w:after="0" w:line="252"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other performance measures used and the Threshold, Target and Maximum budget performance levels for purposes of calculating preliminary incentive payment amounts and the Aggregate Payment Amount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linkage for participants to Company and Business Group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individual bonus targets for all Specified Participants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Aggregate Payment Amount to be paid to participants in the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in its discretion the final incentive payments for participants.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the incentive payments made to participants pursuant to the Plan must equal, and may not exceed, the Aggregate Payment Amount.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(CEO)</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CEO has primary responsibility for recommending Plan Guidelines to the Committee and for delegating administrative duties associated with the Plan. The Compensation Committee may delegate additional administrative duties to the CEO or any Company officer. The CEO may make recommendations, subject to Compensation Committee approval, with respect to the incentive payment to any participant.</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Chief Financial Officer (CFO)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CFO is responsible for calculating performance under the Plan. The CFO will:</w:t>
      </w:r>
    </w:p>
    <w:p>
      <w:pPr>
        <w:spacing w:after="0" w:line="23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annual reports to the Compensation Committee and the CEO on each Business Group’s performance at the end of the fiscal year</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 financial information system that reports results on an estimated quarterly and annual basis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Coordinate with the Company’s auditors to properly recognize any accounting expense associated with incentive payments under the Plan</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VP – of HR with the performance results of each Business Group as well as overall Company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Human Resources Officer (CHRO)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CHRO has responsibility for administration of the Plan and will:</w:t>
      </w:r>
    </w:p>
    <w:p>
      <w:pPr>
        <w:spacing w:after="0" w:line="23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recommend eligible participants and target bonus guidelines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Coordinate communications with participants, including materials to facilitate understanding the Plan’s objectives and goals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 participants’ preliminary incentive payment amounts, using the performance factors provided by the CFO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paperwork approving individual incentive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Presidents and Vice Presidents will:</w:t>
      </w:r>
    </w:p>
    <w:p>
      <w:pPr>
        <w:spacing w:after="0" w:line="25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participants in the Plan</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Coordinate with the CFO to determine any significant changes in business conditions for purposes of reviewing the Threshold, Target and Maximum performance objectives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Assure that participants are informed of the actual incentive payment to be made for the Performance Period</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4" w:name="page125"/>
    <w:bookmarkEnd w:id="124"/>
    <w:p>
      <w:pPr>
        <w:ind w:left="10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KIRBY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SUBSIDIARIES OF THE REGISTRANT</w:t>
      </w:r>
    </w:p>
    <w:p>
      <w:pPr>
        <w:jc w:val="center"/>
        <w:spacing w:after="0"/>
        <w:rPr>
          <w:sz w:val="20"/>
          <w:szCs w:val="20"/>
          <w:color w:val="auto"/>
        </w:rPr>
      </w:pPr>
      <w:r>
        <w:rPr>
          <w:rFonts w:ascii="Arial" w:cs="Arial" w:eastAsia="Arial" w:hAnsi="Arial"/>
          <w:sz w:val="22"/>
          <w:szCs w:val="22"/>
          <w:b w:val="1"/>
          <w:bCs w:val="1"/>
          <w:color w:val="auto"/>
        </w:rPr>
        <w:t>AT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Domicile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Incorporation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KIRBY CORPORATION – PARENT AND REGISTRANT</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SUBSIDIARIES OF THE PARENT AND REGISTRANT</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Corporate Services,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KIM Holdings,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Terminals,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Sabine Transportation Company</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AFRAM Carriers,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Tankships,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Ocean Transport Company</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 Equipment,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Osprey Line, L.L.C. (66 2/3%)</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CONTROLLED SUBSIDIARIES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KIM Partners, LLC (Subsidiary of KIM Holdings,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Inland Marine, LP (KIM Holdings, Inc. 1% General Partner, KIM Partners, LLC 99% Limited Partner)</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Greens Bayou Fleeting, LLC (subsidiary of Kirby Inland Marine, LP)</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Dixie Carriers, Inc. (subsidiary of Kirby Inland Marine, LP)</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 Jac Marine, LLC (subsidiary of Kirby Inland Marine, LP)</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Diesel Dash LLC (subsidiary of Kirby Distribution &amp; Services,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Engine Systems LLC (subsidiary of 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Marine Systems, Inc. (subsidiary of Kirby Engine Systems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 Systems, Inc. (subsidiary of Kirby Engine Systems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United Holdings LLC (subsidiary of Kirby Distribution &amp; Services,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Engines LLC (subsidiary of United Holdings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UE Manufacturing LLC (subsidiary of United Holdings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Compression Systems LLC (subsidiary of United Holdings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Thermo King of Houston, LLC (subsidiary of United Holdings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Thermo King of Dallas, LLC (subsidiary of United Holdings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San Antonio Thermo King, Inc. (subsidiary of Thermo King of Houston,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Offshore Marine Operating, LLC (subsidiary of Kirby Offshore Marine,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Hawaii, LLC (subsidiary of Kirby Offshore Marine Operating,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Offshore Marine Pacific, LLC (subsidiary of Kirby Offshore Marine Operating,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Inc. (subsidiary of Kirby Offshore Marine Operating,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Inversiones Kara Sea SRL (subsidiary of Kirby Offshore Marine Operating,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Venezuela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K-Sea Canada Holdings, Inc. (subsidiary of Kirby Offshore Marine,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K-Sea Canada Corp. (subsidiary of K-Sea Canada Holdings, Inc.)</w:t>
            </w:r>
          </w:p>
        </w:tc>
        <w:tc>
          <w:tcPr>
            <w:tcW w:w="1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0"/>
              </w:rPr>
              <w:t>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Penn Maritime Inc. (subsidiary of Kirby Offshore Marine,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Stewart &amp; Stevenson LLC (subsidiary of 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Stewart &amp; Stevenson Power Products LLC (subsidiary of Stewart &amp; Stevenson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Stewart &amp; Stevenson Canada Inc. (subsidiary of Stewart &amp; Stevenson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160"/>
              <w:spacing w:after="0" w:line="201" w:lineRule="exact"/>
              <w:rPr>
                <w:sz w:val="20"/>
                <w:szCs w:val="20"/>
                <w:color w:val="auto"/>
              </w:rPr>
            </w:pPr>
            <w:r>
              <w:rPr>
                <w:rFonts w:ascii="Arial" w:cs="Arial" w:eastAsia="Arial" w:hAnsi="Arial"/>
                <w:sz w:val="18"/>
                <w:szCs w:val="18"/>
                <w:color w:val="auto"/>
                <w:w w:val="93"/>
              </w:rPr>
              <w:t>Stewart &amp; Stevenson de las Americas Colombia Ltda. (Stewart &amp; Stevenson Petroleum Services LLC 1% General Partner, Stewart &amp;</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Stevenson LLC 99% Limited Partner)</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Colombia</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de Venezuela, S.A.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6"/>
              </w:rPr>
              <w:t>Venezuela</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Material Handling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Hunt Power Systems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Petroleum Services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Distributor Holdings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Finance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Manufacturing Technologies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Acquisition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Rentals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FDDA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Transmissions Y Embragues, S.A. (subsidiary of Stewart &amp; Stevenson de Venezuela, S.A.)</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6"/>
              </w:rPr>
              <w:t>Venezuela</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Hong Kong Limited (subsidiary of Stewart &amp; Stevenson Petroleum Services LLC)</w:t>
            </w:r>
          </w:p>
        </w:tc>
        <w:tc>
          <w:tcPr>
            <w:tcW w:w="2360" w:type="dxa"/>
            <w:vAlign w:val="bottom"/>
          </w:tcPr>
          <w:p>
            <w:pPr>
              <w:jc w:val="center"/>
              <w:ind w:left="1150"/>
              <w:spacing w:after="0"/>
              <w:rPr>
                <w:sz w:val="20"/>
                <w:szCs w:val="20"/>
                <w:color w:val="auto"/>
              </w:rPr>
            </w:pPr>
            <w:r>
              <w:rPr>
                <w:rFonts w:ascii="Arial" w:cs="Arial" w:eastAsia="Arial" w:hAnsi="Arial"/>
                <w:sz w:val="18"/>
                <w:szCs w:val="18"/>
                <w:color w:val="auto"/>
                <w:w w:val="93"/>
              </w:rPr>
              <w:t>Hong Kong</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Higman Marine, Inc. (subsidiary of Kirby Inland Marine, LP)</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Higman Barge Lines, Inc. (subsidiary of Higman Marine, Inc.)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Higman Marine Services, Inc. (subsidiary of Higman Marine, Inc.)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Higman Service Corporation (subsidiary of Higman Marine, Inc.)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Alamo Barge Lines, LLC (subsidiary of Kirby Inland Marine, LP)</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16530 Peninsula Blvd. LLC (subsidiary of Kirby Inland Marine, LP)</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Empty Barge Lines, Inc. (subsidiary of Kirby Inland Marine, LP)</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Empty Barge Lines II, Inc. (subsidiary of Kirby Inland Marine, LP)</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Empty Barge Lines III, Inc. (subsidiary of Kirby Inland Marine, LP)</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EBL Marine I LLC (subsidiary of Kirby Inland Marine, LP)</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EBL Marine II LLC (subsidiary of Kirby Inland Marine, LP)</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EBL Marine III LLC (subsidiary of Kirby Inland Marine, LP)</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Hollywood Chem 107, Ltd (90.8%)</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Hollywood Chem 108, Ltd (93.1%)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587"/>
        </w:trPr>
        <w:tc>
          <w:tcPr>
            <w:tcW w:w="9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rPr>
          <w:sz w:val="20"/>
          <w:szCs w:val="20"/>
          <w:color w:val="auto"/>
        </w:rPr>
      </w:pPr>
      <w:r>
        <w:rPr>
          <w:rFonts w:ascii="Arial" w:cs="Arial" w:eastAsia="Arial" w:hAnsi="Arial"/>
          <w:sz w:val="22"/>
          <w:szCs w:val="22"/>
          <w:color w:val="auto"/>
        </w:rPr>
        <w:t>Kirby Corporation:</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We consent to the incorporation by reference in the registration statements (No. 333-57625, No. 333-72592, No. 333-129290, No. 333-129333, No. 333-152565, No. 333-152566, No. 333-184598 and No. 333-184599) on Form S-8 and (No. 333-220974 and No. 333-222858) on Form S-3 of Kirby Corporation of our reports dated February 21, 2020, with respect to the consolidated balance sheets of Kirby Corporation and consolidated subsidiaries as of December 31, 2019 and 2018, the related consolidated statements of earnings, comprehensive income, stockholders’ equity, and cash flows for each of the years in the three-year period ended December 31, 2019, and the related notes, and the effectiveness of internal control over financial reporting as of December 31, 2019, which reports appear in the December 31, 2019 annual report on Form 10-K of Kirby Corporation.</w:t>
      </w:r>
    </w:p>
    <w:p>
      <w:pPr>
        <w:spacing w:after="0" w:line="180"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Our report dated February 21, 2020 refers to a change to the method of accounting for leases and to the method of accounting for recognizing revenues</w:t>
      </w:r>
      <w:r>
        <w:rPr>
          <w:rFonts w:ascii="Arial" w:cs="Arial" w:eastAsia="Arial" w:hAnsi="Arial"/>
          <w:sz w:val="22"/>
          <w:szCs w:val="22"/>
          <w:i w:val="1"/>
          <w:i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filing of the report on Form 10-K for the year ended December 31, 2019 by Kirby Corporation, David W. Grzebinski certifies that:</w:t>
      </w:r>
    </w:p>
    <w:p>
      <w:pPr>
        <w:spacing w:after="0" w:line="275"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252" w:lineRule="exact"/>
        <w:rPr>
          <w:rFonts w:ascii="Arial" w:cs="Arial" w:eastAsia="Arial" w:hAnsi="Arial"/>
          <w:sz w:val="18"/>
          <w:szCs w:val="18"/>
          <w:color w:val="auto"/>
        </w:rPr>
      </w:pPr>
    </w:p>
    <w:p>
      <w:pPr>
        <w:ind w:firstLine="332"/>
        <w:spacing w:after="0" w:line="342"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332"/>
        <w:spacing w:after="0" w:line="27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332"/>
        <w:spacing w:after="0" w:line="264"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right="20" w:firstLine="316"/>
        <w:spacing w:after="0" w:line="264" w:lineRule="auto"/>
        <w:tabs>
          <w:tab w:leader="none" w:pos="11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firstLine="316"/>
        <w:spacing w:after="0" w:line="264"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firstLine="316"/>
        <w:spacing w:after="0" w:line="308" w:lineRule="auto"/>
        <w:tabs>
          <w:tab w:leader="none" w:pos="133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firstLine="316"/>
        <w:spacing w:after="0" w:line="264" w:lineRule="auto"/>
        <w:tabs>
          <w:tab w:leader="none" w:pos="11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332"/>
        <w:spacing w:after="0" w:line="308"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firstLine="316"/>
        <w:spacing w:after="0" w:line="277" w:lineRule="auto"/>
        <w:tabs>
          <w:tab w:leader="none" w:pos="10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firstLine="316"/>
        <w:spacing w:after="0" w:line="277"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DAVID W. GRZEBINSKI</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filing of the report on Form 10-K for the year ended December 31, 2019 by Kirby Corporation, William G. Harvey certifies that:</w:t>
      </w:r>
    </w:p>
    <w:p>
      <w:pPr>
        <w:spacing w:after="0" w:line="275" w:lineRule="exact"/>
        <w:rPr>
          <w:sz w:val="20"/>
          <w:szCs w:val="20"/>
          <w:color w:val="auto"/>
        </w:rPr>
      </w:pPr>
    </w:p>
    <w:p>
      <w:pPr>
        <w:ind w:left="600" w:hanging="268"/>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252" w:lineRule="exact"/>
        <w:rPr>
          <w:rFonts w:ascii="Arial" w:cs="Arial" w:eastAsia="Arial" w:hAnsi="Arial"/>
          <w:sz w:val="18"/>
          <w:szCs w:val="18"/>
          <w:color w:val="auto"/>
        </w:rPr>
      </w:pPr>
    </w:p>
    <w:p>
      <w:pPr>
        <w:ind w:firstLine="332"/>
        <w:spacing w:after="0" w:line="342"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332"/>
        <w:spacing w:after="0" w:line="277"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332"/>
        <w:spacing w:after="0" w:line="264" w:lineRule="auto"/>
        <w:tabs>
          <w:tab w:leader="none" w:pos="7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right="20" w:firstLine="316"/>
        <w:spacing w:after="0" w:line="264" w:lineRule="auto"/>
        <w:tabs>
          <w:tab w:leader="none" w:pos="11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firstLine="316"/>
        <w:spacing w:after="0" w:line="264" w:lineRule="auto"/>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firstLine="316"/>
        <w:spacing w:after="0" w:line="308" w:lineRule="auto"/>
        <w:tabs>
          <w:tab w:leader="none" w:pos="13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firstLine="316"/>
        <w:spacing w:after="0" w:line="264" w:lineRule="auto"/>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332"/>
        <w:spacing w:after="0" w:line="308"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firstLine="316"/>
        <w:spacing w:after="0" w:line="277" w:lineRule="auto"/>
        <w:tabs>
          <w:tab w:leader="none" w:pos="10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firstLine="316"/>
        <w:spacing w:after="0" w:line="277" w:lineRule="auto"/>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WILLIAM G. HARVEY</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filing of the Annual Report on Form 10-K for the year ended December 31, 2019 (the “Report”) by Kirby Corporation (the “Company”), each of the undersigned hereby certifies that:</w:t>
      </w:r>
    </w:p>
    <w:p>
      <w:pPr>
        <w:spacing w:after="0" w:line="170"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DAVID W. GRZEBINSKI</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WILLIAM G. HARVEY</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09" Type="http://schemas.openxmlformats.org/officeDocument/2006/relationships/hyperlink" Target="http://www.sec.gov/Archives/edgar/data/56047/000114036118010152/ex2_5.htm" TargetMode="External"/><Relationship Id="rId110" Type="http://schemas.openxmlformats.org/officeDocument/2006/relationships/hyperlink" Target="http://www.sec.gov/Archives/edgar/data/56047/000114036115008395/ex3_1.htm" TargetMode="External"/><Relationship Id="rId111" Type="http://schemas.openxmlformats.org/officeDocument/2006/relationships/hyperlink" Target="http://www.sec.gov/Archives/edgar/data/56047/000114036115008395/ex3_2.htm" TargetMode="External"/><Relationship Id="rId112" Type="http://schemas.openxmlformats.org/officeDocument/2006/relationships/hyperlink" Target="http://www.sec.gov/Archives/edgar/data/56047/000114036115017531/ex10_1.htm" TargetMode="External"/><Relationship Id="rId113" Type="http://schemas.openxmlformats.org/officeDocument/2006/relationships/hyperlink" Target="http://www.sec.gov/Archives/edgar/data/56047/000114036117026374/ex10_1.htm" TargetMode="External"/><Relationship Id="rId114" Type="http://schemas.openxmlformats.org/officeDocument/2006/relationships/hyperlink" Target="http://www.sec.gov/Archives/edgar/data/56047/000114036119006286/ex10_1.htm" TargetMode="External"/><Relationship Id="rId115" Type="http://schemas.openxmlformats.org/officeDocument/2006/relationships/hyperlink" Target="http://www.sec.gov/Archives/edgar/data/56047/000095012906002289/h32083exv10w7.htm" TargetMode="External"/><Relationship Id="rId116" Type="http://schemas.openxmlformats.org/officeDocument/2006/relationships/hyperlink" Target="http://www.sec.gov/Archives/edgar/data/56047/000114036119003795/ex10_5.htm" TargetMode="External"/><Relationship Id="rId117" Type="http://schemas.openxmlformats.org/officeDocument/2006/relationships/hyperlink" Target="http://www.sec.gov/Archives/edgar/data/56047/000114036116084745/ex10_1.htm" TargetMode="External"/><Relationship Id="rId118" Type="http://schemas.openxmlformats.org/officeDocument/2006/relationships/hyperlink" Target="http://www.sec.gov/Archives/edgar/data/56047/000114036119014128/ex10_1.htm" TargetMode="External"/><Relationship Id="rId119" Type="http://schemas.openxmlformats.org/officeDocument/2006/relationships/hyperlink" Target="http://www.sec.gov/Archives/edgar/data/56047/00011403611802167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2020-02-24T05:07:11Z</dcterms:created>
  <dcterms:modified xsi:type="dcterms:W3CDTF">2020-02-24T05:07:11Z</dcterms:modified>
</cp:coreProperties>
</file>