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440" w:hanging="432"/>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434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760" w:type="dxa"/>
            <w:vAlign w:val="bottom"/>
          </w:tcPr>
          <w:p>
            <w:pPr>
              <w:spacing w:after="0"/>
              <w:rPr>
                <w:sz w:val="23"/>
                <w:szCs w:val="23"/>
                <w:color w:val="auto"/>
              </w:rPr>
            </w:pPr>
          </w:p>
        </w:tc>
      </w:t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3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20"/>
              <w:spacing w:after="0"/>
              <w:rPr>
                <w:sz w:val="20"/>
                <w:szCs w:val="20"/>
                <w:color w:val="auto"/>
              </w:rPr>
            </w:pPr>
            <w:r>
              <w:rPr>
                <w:rFonts w:ascii="Wingdings" w:cs="Wingdings" w:eastAsia="Wingdings" w:hAnsi="Wingdings"/>
                <w:sz w:val="18"/>
                <w:szCs w:val="18"/>
                <w:b w:val="1"/>
                <w:bCs w:val="1"/>
                <w:color w:val="auto"/>
              </w:rPr>
              <w:t></w:t>
            </w: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34"/>
        </w:trPr>
        <w:tc>
          <w:tcPr>
            <w:tcW w:w="2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6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2025, 55.8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600" w:type="dxa"/>
            <w:vAlign w:val="bottom"/>
            <w:gridSpan w:val="4"/>
          </w:tcPr>
          <w:p>
            <w:pPr>
              <w:jc w:val="center"/>
              <w:ind w:right="891"/>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20" w:type="dxa"/>
            <w:vAlign w:val="bottom"/>
          </w:tcPr>
          <w:p>
            <w:pPr>
              <w:spacing w:after="0"/>
              <w:rPr>
                <w:sz w:val="12"/>
                <w:szCs w:val="12"/>
                <w:color w:val="auto"/>
              </w:rPr>
            </w:pPr>
          </w:p>
        </w:tc>
      </w:tr>
      <w:tr>
        <w:trPr>
          <w:trHeight w:val="216"/>
        </w:trPr>
        <w:tc>
          <w:tcPr>
            <w:tcW w:w="7860" w:type="dxa"/>
            <w:vAlign w:val="bottom"/>
            <w:shd w:val="clear" w:color="auto" w:fill="CFF0FC"/>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68,383</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74,444</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564,233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489,857</w:t>
            </w: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62,221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46,888</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Inventories –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426,265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393,898</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20" w:type="dxa"/>
            <w:vAlign w:val="bottom"/>
          </w:tcPr>
          <w:p>
            <w:pPr>
              <w:spacing w:after="0"/>
              <w:rPr>
                <w:sz w:val="18"/>
                <w:szCs w:val="18"/>
                <w:color w:val="auto"/>
              </w:rPr>
            </w:pPr>
          </w:p>
        </w:tc>
      </w:tr>
      <w:tr>
        <w:trPr>
          <w:trHeight w:val="209"/>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1,185,033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1,068,559</w:t>
            </w:r>
          </w:p>
        </w:tc>
      </w:tr>
      <w:tr>
        <w:trPr>
          <w:trHeight w:val="88"/>
        </w:trPr>
        <w:tc>
          <w:tcPr>
            <w:tcW w:w="7860" w:type="dxa"/>
            <w:vAlign w:val="bottom"/>
            <w:tcBorders>
              <w:top w:val="single" w:sz="8" w:color="CFF0FC"/>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6,327,529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6,123,208</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(2,192,479)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(2,100,242)</w:t>
            </w:r>
          </w:p>
        </w:tc>
      </w:tr>
      <w:tr>
        <w:trPr>
          <w:trHeight w:val="209"/>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4,135,050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88"/>
        </w:trPr>
        <w:tc>
          <w:tcPr>
            <w:tcW w:w="7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157,041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158,990</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438,748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438,748</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33,123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34,406</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120" w:type="dxa"/>
            <w:vAlign w:val="bottom"/>
          </w:tcPr>
          <w:p>
            <w:pPr>
              <w:spacing w:after="0"/>
              <w:rPr>
                <w:sz w:val="18"/>
                <w:szCs w:val="18"/>
                <w:color w:val="auto"/>
              </w:rPr>
            </w:pPr>
          </w:p>
        </w:tc>
      </w:tr>
      <w:tr>
        <w:trPr>
          <w:trHeight w:val="249"/>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6,079,965</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75"/>
        </w:trPr>
        <w:tc>
          <w:tcPr>
            <w:tcW w:w="7860" w:type="dxa"/>
            <w:vAlign w:val="bottom"/>
            <w:tcBorders>
              <w:top w:val="single" w:sz="8" w:color="CFF0FC"/>
            </w:tcBorders>
          </w:tcPr>
          <w:p>
            <w:pPr>
              <w:spacing w:after="0"/>
              <w:rPr>
                <w:sz w:val="6"/>
                <w:szCs w:val="6"/>
                <w:color w:val="auto"/>
              </w:rPr>
            </w:pPr>
          </w:p>
        </w:tc>
        <w:tc>
          <w:tcPr>
            <w:tcW w:w="320" w:type="dxa"/>
            <w:vAlign w:val="bottom"/>
            <w:tcBorders>
              <w:top w:val="single" w:sz="8" w:color="CFF0FC"/>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60" w:type="dxa"/>
            <w:vAlign w:val="bottom"/>
            <w:tcBorders>
              <w:top w:val="single" w:sz="8" w:color="CFF0FC"/>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r>
      <w:tr>
        <w:trPr>
          <w:trHeight w:val="216"/>
        </w:trPr>
        <w:tc>
          <w:tcPr>
            <w:tcW w:w="78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6,433</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8,226</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25,417</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250,055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251,354</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203,523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236,813</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37,985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35,727</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8"/>
                <w:szCs w:val="18"/>
                <w:color w:val="auto"/>
              </w:rPr>
            </w:pPr>
          </w:p>
        </w:tc>
      </w:tr>
      <w:tr>
        <w:trPr>
          <w:trHeight w:val="210"/>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679,457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734,753</w:t>
            </w:r>
          </w:p>
        </w:tc>
      </w:tr>
      <w:tr>
        <w:trPr>
          <w:trHeight w:val="88"/>
        </w:trPr>
        <w:tc>
          <w:tcPr>
            <w:tcW w:w="7860" w:type="dxa"/>
            <w:vAlign w:val="bottom"/>
            <w:tcBorders>
              <w:top w:val="single" w:sz="8" w:color="CFF0FC"/>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1,111,332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866,722</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747,060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739,472</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142,105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148,170</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18"/>
                <w:szCs w:val="18"/>
                <w:color w:val="auto"/>
              </w:rPr>
            </w:pPr>
          </w:p>
        </w:tc>
      </w:tr>
      <w:tr>
        <w:trPr>
          <w:trHeight w:val="209"/>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2,010,618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1,763,951</w:t>
            </w:r>
          </w:p>
        </w:tc>
      </w:tr>
      <w:tr>
        <w:trPr>
          <w:trHeight w:val="88"/>
        </w:trPr>
        <w:tc>
          <w:tcPr>
            <w:tcW w:w="7860" w:type="dxa"/>
            <w:vAlign w:val="bottom"/>
            <w:tcBorders>
              <w:top w:val="single" w:sz="8" w:color="CFF0FC"/>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95"/>
        </w:trPr>
        <w:tc>
          <w:tcPr>
            <w:tcW w:w="7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867,143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868,763</w:t>
            </w: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65,612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71,192</w:t>
            </w: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3,148,635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2,978,372</w:t>
            </w: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Treasury stock – at cost, 9.4 million shares at June 30, 2025 and 8.2 million at December 31, 2024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(699,867)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(573,061)</w:t>
            </w:r>
          </w:p>
        </w:tc>
      </w:tr>
      <w:tr>
        <w:trPr>
          <w:trHeight w:val="210"/>
        </w:trPr>
        <w:tc>
          <w:tcPr>
            <w:tcW w:w="7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3,388,070</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3,351,813</w:t>
            </w:r>
          </w:p>
        </w:tc>
        <w:tc>
          <w:tcPr>
            <w:tcW w:w="120" w:type="dxa"/>
            <w:vAlign w:val="bottom"/>
            <w:tcBorders>
              <w:top w:val="single" w:sz="8" w:color="CFF0FC"/>
            </w:tcBorders>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120" w:type="dxa"/>
            <w:vAlign w:val="bottom"/>
          </w:tcPr>
          <w:p>
            <w:pPr>
              <w:spacing w:after="0"/>
              <w:rPr>
                <w:sz w:val="18"/>
                <w:szCs w:val="18"/>
                <w:color w:val="auto"/>
              </w:rPr>
            </w:pPr>
          </w:p>
        </w:tc>
      </w:tr>
      <w:tr>
        <w:trPr>
          <w:trHeight w:val="230"/>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6,079,965</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-5168265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-5168265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-4679950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-4679950</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-3916680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-3899535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-3916680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-3899535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-2588260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-1824990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-599440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9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6"/>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492,562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1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968,711</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362,893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672,403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855,455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1,641,114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1,075,574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1,104,913</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170,589</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117,124</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(1,757)</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r>
      <w:tr>
        <w:trPr>
          <w:trHeight w:val="210"/>
        </w:trPr>
        <w:tc>
          <w:tcPr>
            <w:tcW w:w="4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723,609</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703,892</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1,403,722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1,410,391</w:t>
            </w:r>
          </w:p>
        </w:tc>
        <w:tc>
          <w:tcPr>
            <w:tcW w:w="120" w:type="dxa"/>
            <w:vAlign w:val="bottom"/>
            <w:tcBorders>
              <w:top w:val="single" w:sz="8" w:color="CFF0FC"/>
            </w:tcBorders>
          </w:tcPr>
          <w:p>
            <w:pPr>
              <w:spacing w:after="0"/>
              <w:rPr>
                <w:sz w:val="18"/>
                <w:szCs w:val="18"/>
                <w:color w:val="auto"/>
              </w:rPr>
            </w:pPr>
          </w:p>
        </w:tc>
      </w:tr>
      <w:tr>
        <w:trPr>
          <w:trHeight w:val="209"/>
        </w:trPr>
        <w:tc>
          <w:tcPr>
            <w:tcW w:w="4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222,021</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(12,730)</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(23,267)</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(25,970)</w:t>
            </w:r>
          </w:p>
        </w:tc>
      </w:tr>
      <w:tr>
        <w:trPr>
          <w:trHeight w:val="210"/>
        </w:trPr>
        <w:tc>
          <w:tcPr>
            <w:tcW w:w="49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(29,550)</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(26,785)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(53,623)</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(48,511)</w:t>
            </w:r>
          </w:p>
        </w:tc>
      </w:tr>
      <w:tr>
        <w:trPr>
          <w:trHeight w:val="210"/>
        </w:trPr>
        <w:tc>
          <w:tcPr>
            <w:tcW w:w="49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94,378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170,648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153,897</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1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170,263</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153,922</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6"/>
        </w:trPr>
        <w:tc>
          <w:tcPr>
            <w:tcW w:w="4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7"/>
                <w:szCs w:val="17"/>
                <w:color w:val="auto"/>
              </w:rPr>
            </w:pPr>
          </w:p>
        </w:tc>
        <w:tc>
          <w:tcPr>
            <w:tcW w:w="40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-3702685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-3702685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-3702685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-3702685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-2588260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-2588260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-2588260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-1464945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-1464945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-1464945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94,378</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83,982</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170,648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153,897</w:t>
            </w:r>
          </w:p>
        </w:tc>
        <w:tc>
          <w:tcPr>
            <w:tcW w:w="120" w:type="dxa"/>
            <w:vAlign w:val="bottom"/>
            <w:shd w:val="clear" w:color="auto" w:fill="CFF0FC"/>
          </w:tcPr>
          <w:p>
            <w:pPr>
              <w:spacing w:after="0"/>
              <w:rPr>
                <w:sz w:val="18"/>
                <w:szCs w:val="18"/>
                <w:color w:val="auto"/>
              </w:rPr>
            </w:pPr>
          </w:p>
        </w:tc>
      </w:tr>
      <w:tr>
        <w:trPr>
          <w:trHeight w:val="209"/>
        </w:trPr>
        <w:tc>
          <w:tcPr>
            <w:tcW w:w="46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(4,199)</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46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(4,021)</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r>
      <w:tr>
        <w:trPr>
          <w:trHeight w:val="210"/>
        </w:trPr>
        <w:tc>
          <w:tcPr>
            <w:tcW w:w="4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154,015</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r>
      <w:tr>
        <w:trPr>
          <w:trHeight w:val="209"/>
        </w:trPr>
        <w:tc>
          <w:tcPr>
            <w:tcW w:w="46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3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11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90,256</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84,367</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164,683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154,040</w:t>
            </w:r>
          </w:p>
        </w:tc>
        <w:tc>
          <w:tcPr>
            <w:tcW w:w="120" w:type="dxa"/>
            <w:vAlign w:val="bottom"/>
            <w:shd w:val="clear" w:color="auto" w:fill="CFF0FC"/>
          </w:tcPr>
          <w:p>
            <w:pPr>
              <w:spacing w:after="0"/>
              <w:rPr>
                <w:sz w:val="20"/>
                <w:szCs w:val="20"/>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8060" w:type="dxa"/>
            <w:vAlign w:val="bottom"/>
            <w:gridSpan w:val="8"/>
          </w:tcPr>
          <w:p>
            <w:pPr>
              <w:jc w:val="center"/>
              <w:ind w:left="3090"/>
              <w:spacing w:after="0"/>
              <w:rPr>
                <w:sz w:val="20"/>
                <w:szCs w:val="20"/>
                <w:color w:val="auto"/>
              </w:rPr>
            </w:pPr>
            <w:r>
              <w:rPr>
                <w:rFonts w:ascii="Times New Roman" w:cs="Times New Roman" w:eastAsia="Times New Roman" w:hAnsi="Times New Roman"/>
                <w:sz w:val="18"/>
                <w:szCs w:val="18"/>
                <w:color w:val="auto"/>
                <w:w w:val="99"/>
              </w:rPr>
              <w:t>See accompanying notes to condensed financial statements.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600" w:type="dxa"/>
            <w:vAlign w:val="bottom"/>
          </w:tcPr>
          <w:p>
            <w:pPr>
              <w:spacing w:after="0"/>
              <w:rPr>
                <w:sz w:val="24"/>
                <w:szCs w:val="24"/>
                <w:color w:val="auto"/>
              </w:rPr>
            </w:pPr>
          </w:p>
        </w:tc>
        <w:tc>
          <w:tcPr>
            <w:tcW w:w="116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88"/>
              </w:rPr>
              <w:t>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-1919605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-1919605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-1919605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-1353820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-1353820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-1353820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-1070610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-1053465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-1070610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-1053465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-1070610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-1053465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170,648</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153,897</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117,124</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Decrease in cash flows resulting from changes in operating assets and liabilities, net</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(205,162)</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(19,409)</w:t>
            </w:r>
          </w:p>
        </w:tc>
      </w:tr>
      <w:tr>
        <w:trPr>
          <w:trHeight w:val="210"/>
        </w:trPr>
        <w:tc>
          <w:tcPr>
            <w:tcW w:w="726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302,607</w:t>
            </w:r>
          </w:p>
        </w:tc>
        <w:tc>
          <w:tcPr>
            <w:tcW w:w="120" w:type="dxa"/>
            <w:vAlign w:val="bottom"/>
            <w:tcBorders>
              <w:top w:val="single" w:sz="8" w:color="CFF0FC"/>
            </w:tcBorders>
          </w:tcPr>
          <w:p>
            <w:pPr>
              <w:spacing w:after="0"/>
              <w:rPr>
                <w:sz w:val="18"/>
                <w:szCs w:val="18"/>
                <w:color w:val="auto"/>
              </w:rPr>
            </w:pPr>
          </w:p>
        </w:tc>
      </w:tr>
      <w:tr>
        <w:trPr>
          <w:trHeight w:val="209"/>
        </w:trPr>
        <w:tc>
          <w:tcPr>
            <w:tcW w:w="7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(150,160)</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(169,607)</w:t>
            </w: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businesses and marine equipment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(97,250)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(65,232)</w:t>
            </w: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(238,830)</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(225,785)</w:t>
            </w:r>
          </w:p>
        </w:tc>
      </w:tr>
      <w:tr>
        <w:trPr>
          <w:trHeight w:val="210"/>
        </w:trPr>
        <w:tc>
          <w:tcPr>
            <w:tcW w:w="72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on bank credit facilities, net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(5,957)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(5,339)</w:t>
            </w: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(132,673)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(85,466)</w:t>
            </w: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72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(55,859)</w:t>
            </w:r>
          </w:p>
        </w:tc>
      </w:tr>
      <w:tr>
        <w:trPr>
          <w:trHeight w:val="20"/>
        </w:trPr>
        <w:tc>
          <w:tcPr>
            <w:tcW w:w="7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68,383</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53,540</w:t>
            </w:r>
          </w:p>
        </w:tc>
        <w:tc>
          <w:tcPr>
            <w:tcW w:w="12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Income taxes paid, net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79,742</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-4199890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-4199890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-3077210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-3077210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-1971040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-1405255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March 31, 2025</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3,054,3</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(669,51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3,327,75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865,007</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69,633</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(9,104)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(31,200)</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(31,200)</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June 30, 2025</w:t>
            </w: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3,148,6</w:t>
            </w:r>
          </w:p>
        </w:tc>
        <w:tc>
          <w:tcPr>
            <w:tcW w:w="2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(699,86</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3,389,89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867,143</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859,150</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(43,679)</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(43,679)</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June 30, 2024</w:t>
            </w: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2,845,5</w:t>
            </w:r>
          </w:p>
        </w:tc>
        <w:tc>
          <w:tcPr>
            <w:tcW w:w="2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(488,05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3,262,67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862,258</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11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 2024</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2,978,3</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(573,06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3,353,24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868,763</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71,192</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(12,794)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(5,957)</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(132,67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(132,673)</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170,263</w:t>
            </w:r>
          </w:p>
        </w:tc>
        <w:tc>
          <w:tcPr>
            <w:tcW w:w="22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June 30, 2025</w:t>
            </w:r>
          </w:p>
        </w:tc>
        <w:tc>
          <w:tcPr>
            <w:tcW w:w="6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3,148,6</w:t>
            </w:r>
          </w:p>
        </w:tc>
        <w:tc>
          <w:tcPr>
            <w:tcW w:w="220" w:type="dxa"/>
            <w:vAlign w:val="bottom"/>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(699,86</w:t>
            </w: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3,389,89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42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867,143</w:t>
            </w:r>
          </w:p>
        </w:tc>
        <w:tc>
          <w:tcPr>
            <w:tcW w:w="160" w:type="dxa"/>
            <w:vAlign w:val="bottom"/>
            <w:shd w:val="clear" w:color="auto" w:fill="CFF0FC"/>
          </w:tcPr>
          <w:p>
            <w:pPr>
              <w:spacing w:after="0"/>
              <w:rPr>
                <w:sz w:val="23"/>
                <w:szCs w:val="2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100" w:type="dxa"/>
            <w:vAlign w:val="bottom"/>
            <w:shd w:val="clear" w:color="auto" w:fill="CFF0FC"/>
          </w:tcPr>
          <w:p>
            <w:pPr>
              <w:spacing w:after="0"/>
              <w:rPr>
                <w:sz w:val="23"/>
                <w:szCs w:val="2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4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11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2,691,6</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(411,75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3,186,67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(6,843)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(5,339)</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(85,466)</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(85,466)</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153,922</w:t>
            </w:r>
          </w:p>
        </w:tc>
        <w:tc>
          <w:tcPr>
            <w:tcW w:w="22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June 30, 2024</w:t>
            </w:r>
          </w:p>
        </w:tc>
        <w:tc>
          <w:tcPr>
            <w:tcW w:w="6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2,845,5</w:t>
            </w:r>
          </w:p>
        </w:tc>
        <w:tc>
          <w:tcPr>
            <w:tcW w:w="220" w:type="dxa"/>
            <w:vAlign w:val="bottom"/>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(488,05</w:t>
            </w: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3,262,67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4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862,258</w:t>
            </w:r>
          </w:p>
        </w:tc>
        <w:tc>
          <w:tcPr>
            <w:tcW w:w="16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10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-2776855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-2759710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-2776855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-2759710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-2776855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-2759710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-2776855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-2759710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-2776855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-2759710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-2776855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-2759710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-2776855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-2759710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-2776855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-2759710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8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2024. Certain reclassifications have been made to reflect the current presentation of financial information.</w:t>
      </w:r>
    </w:p>
    <w:p>
      <w:pPr>
        <w:spacing w:after="0" w:line="156"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8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1"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Inland transportation</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397,141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391,835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789,640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777,842</w:t>
            </w:r>
          </w:p>
        </w:tc>
        <w:tc>
          <w:tcPr>
            <w:tcW w:w="120" w:type="dxa"/>
            <w:vAlign w:val="bottom"/>
          </w:tcPr>
          <w:p>
            <w:pPr>
              <w:spacing w:after="0"/>
              <w:rPr>
                <w:sz w:val="18"/>
                <w:szCs w:val="18"/>
                <w:color w:val="auto"/>
              </w:rPr>
            </w:pPr>
          </w:p>
        </w:tc>
      </w:tr>
      <w:tr>
        <w:trPr>
          <w:trHeight w:val="216"/>
        </w:trPr>
        <w:tc>
          <w:tcPr>
            <w:tcW w:w="3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Coastal transportation</w:t>
            </w:r>
          </w:p>
        </w:tc>
        <w:tc>
          <w:tcPr>
            <w:tcW w:w="1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95,421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92,973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492,562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968,711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12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Distribution and services segment:</w:t>
            </w: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173,606</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308,282</w:t>
            </w:r>
          </w:p>
        </w:tc>
        <w:tc>
          <w:tcPr>
            <w:tcW w:w="120" w:type="dxa"/>
            <w:vAlign w:val="bottom"/>
          </w:tcPr>
          <w:p>
            <w:pPr>
              <w:spacing w:after="0"/>
              <w:rPr>
                <w:sz w:val="18"/>
                <w:szCs w:val="18"/>
                <w:color w:val="auto"/>
              </w:rPr>
            </w:pPr>
          </w:p>
        </w:tc>
      </w:tr>
      <w:tr>
        <w:trPr>
          <w:trHeight w:val="216"/>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Power generation</w:t>
            </w: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243,452</w:t>
            </w:r>
          </w:p>
        </w:tc>
        <w:tc>
          <w:tcPr>
            <w:tcW w:w="120" w:type="dxa"/>
            <w:vAlign w:val="bottom"/>
            <w:shd w:val="clear" w:color="auto" w:fill="CFF0FC"/>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and gas</w:t>
            </w: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120,458</w:t>
            </w:r>
          </w:p>
        </w:tc>
        <w:tc>
          <w:tcPr>
            <w:tcW w:w="120" w:type="dxa"/>
            <w:vAlign w:val="bottom"/>
          </w:tcPr>
          <w:p>
            <w:pPr>
              <w:spacing w:after="0"/>
              <w:rPr>
                <w:sz w:val="18"/>
                <w:szCs w:val="18"/>
                <w:color w:val="auto"/>
              </w:rPr>
            </w:pPr>
          </w:p>
        </w:tc>
      </w:tr>
      <w:tr>
        <w:trPr>
          <w:trHeight w:val="229"/>
        </w:trPr>
        <w:tc>
          <w:tcPr>
            <w:tcW w:w="3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362,893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672,403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120" w:type="dxa"/>
            <w:vAlign w:val="bottom"/>
            <w:shd w:val="clear" w:color="auto" w:fill="CFF0FC"/>
          </w:tcPr>
          <w:p>
            <w:pPr>
              <w:spacing w:after="0"/>
              <w:rPr>
                <w:sz w:val="19"/>
                <w:szCs w:val="19"/>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-890905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-890905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-890905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or at a point in time as the related performance obligation is satisfied. Revenues recognized during the six months ended June 30, 2025 and 2024 that were included in the opening contract liability balances were $94.7 million and $81.5 million, respectively. The Company presents all contract liabilities within the deferred revenues financial statement caption on the balance sheets. The Company did not have any contract assets as of June 30, 2025 or December 31, 2024.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3"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3" w:lineRule="exact"/>
        <w:rPr>
          <w:sz w:val="20"/>
          <w:szCs w:val="20"/>
          <w:color w:val="auto"/>
        </w:rPr>
      </w:pPr>
    </w:p>
    <w:p>
      <w:pPr>
        <w:jc w:val="both"/>
        <w:ind w:firstLine="56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55"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by the Company’s chief operating decision maker (“CODM”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its Chief Executive Officer, based on fundamental differences in their operations. The Company’s accounting policies for the business segments are the same as those described in Note 1, Summary of Significant Accounting Policies of the Notes to Consolidated Financial Statements in the Company’s 2024 Annual Report on Form 10-K. The CODM evaluates the performance of the Company’s segments based on the contributions to operating income of the respective segments, and before income taxes, interest, gains or losses on disposition of assets, other nonoperating income, noncontrolling interests, accounting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invested capital of each segment. Intersegment revenues, based on market-based pricing, of KDS from KMT of $11.3 million and $22.5 million for the three months and six months ended June 30, 2025, respectively, and $7.5 million and $14.1 million for the three months and six months ended June 30, 2024, respectively, as well as the related intersegment profit of $1.1 million and $2.2 million for the three months and six months ended June 30, 2025, respectively, and $0.7 million and $1.4 million for the three months and six months ended June 30, 2024, respectively, have been eliminated from the tables below.</w:t>
      </w:r>
    </w:p>
    <w:p>
      <w:pPr>
        <w:spacing w:after="0" w:line="14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revenues, depreciation and amortization, and income or loss by reportable segment and total assets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55"/>
        </w:trPr>
        <w:tc>
          <w:tcPr>
            <w:tcW w:w="32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Revenue from external customers</w:t>
            </w: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492,562</w:t>
            </w:r>
          </w:p>
        </w:tc>
        <w:tc>
          <w:tcPr>
            <w:tcW w:w="52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362,893</w:t>
            </w:r>
          </w:p>
        </w:tc>
        <w:tc>
          <w:tcPr>
            <w:tcW w:w="420" w:type="dxa"/>
            <w:vAlign w:val="bottom"/>
            <w:gridSpan w:val="2"/>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855,455</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484,808</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339,582</w:t>
            </w:r>
          </w:p>
        </w:tc>
        <w:tc>
          <w:tcPr>
            <w:tcW w:w="46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824,390</w:t>
            </w:r>
          </w:p>
        </w:tc>
        <w:tc>
          <w:tcPr>
            <w:tcW w:w="100" w:type="dxa"/>
            <w:vAlign w:val="bottom"/>
            <w:shd w:val="clear" w:color="auto" w:fill="CFF0FC"/>
          </w:tcPr>
          <w:p>
            <w:pPr>
              <w:spacing w:after="0"/>
              <w:rPr>
                <w:sz w:val="13"/>
                <w:szCs w:val="13"/>
                <w:color w:val="auto"/>
              </w:rPr>
            </w:pPr>
          </w:p>
        </w:tc>
      </w:tr>
      <w:tr>
        <w:trPr>
          <w:trHeight w:val="162"/>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Costs of sales and operating expenses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298,789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563,120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299,975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253,742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553,717</w:t>
            </w: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Administrative payroll expense</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18,378</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23,206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41,584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17,743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39,197</w:t>
            </w: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10,283</w:t>
            </w: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53,182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57,632</w:t>
            </w:r>
          </w:p>
        </w:tc>
        <w:tc>
          <w:tcPr>
            <w:tcW w:w="100" w:type="dxa"/>
            <w:vAlign w:val="bottom"/>
            <w:shd w:val="clear" w:color="auto" w:fill="CFF0FC"/>
          </w:tcPr>
          <w:p>
            <w:pPr>
              <w:spacing w:after="0"/>
              <w:rPr>
                <w:sz w:val="14"/>
                <w:szCs w:val="14"/>
                <w:color w:val="auto"/>
              </w:rPr>
            </w:pPr>
          </w:p>
        </w:tc>
      </w:tr>
      <w:tr>
        <w:trPr>
          <w:trHeight w:val="148"/>
        </w:trPr>
        <w:tc>
          <w:tcPr>
            <w:tcW w:w="3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segment items (a)</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15,037</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26,848</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39,249</w:t>
            </w:r>
          </w:p>
        </w:tc>
        <w:tc>
          <w:tcPr>
            <w:tcW w:w="100" w:type="dxa"/>
            <w:vAlign w:val="bottom"/>
          </w:tcPr>
          <w:p>
            <w:pPr>
              <w:spacing w:after="0"/>
              <w:rPr>
                <w:sz w:val="12"/>
                <w:szCs w:val="12"/>
                <w:color w:val="auto"/>
              </w:rPr>
            </w:pPr>
          </w:p>
        </w:tc>
      </w:tr>
      <w:tr>
        <w:trPr>
          <w:trHeight w:val="156"/>
        </w:trPr>
        <w:tc>
          <w:tcPr>
            <w:tcW w:w="32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99,052</w:t>
            </w:r>
          </w:p>
        </w:tc>
        <w:tc>
          <w:tcPr>
            <w:tcW w:w="52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35,435</w:t>
            </w:r>
          </w:p>
        </w:tc>
        <w:tc>
          <w:tcPr>
            <w:tcW w:w="420" w:type="dxa"/>
            <w:vAlign w:val="bottom"/>
            <w:gridSpan w:val="2"/>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134,487</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94,876</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29,436</w:t>
            </w:r>
          </w:p>
        </w:tc>
        <w:tc>
          <w:tcPr>
            <w:tcW w:w="46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124,312</w:t>
            </w:r>
          </w:p>
        </w:tc>
        <w:tc>
          <w:tcPr>
            <w:tcW w:w="100" w:type="dxa"/>
            <w:vAlign w:val="bottom"/>
            <w:shd w:val="clear" w:color="auto" w:fill="CFF0FC"/>
          </w:tcPr>
          <w:p>
            <w:pPr>
              <w:spacing w:after="0"/>
              <w:rPr>
                <w:sz w:val="13"/>
                <w:szCs w:val="13"/>
                <w:color w:val="auto"/>
              </w:rPr>
            </w:pPr>
          </w:p>
        </w:tc>
      </w:tr>
      <w:tr>
        <w:trPr>
          <w:trHeight w:val="32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segment operating income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Unallocated amounts:</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corporate expenses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(4,329)</w:t>
            </w:r>
          </w:p>
        </w:tc>
      </w:tr>
      <w:tr>
        <w:trPr>
          <w:trHeight w:val="148"/>
        </w:trPr>
        <w:tc>
          <w:tcPr>
            <w:tcW w:w="32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2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5"/>
        </w:trPr>
        <w:tc>
          <w:tcPr>
            <w:tcW w:w="32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120,498</w:t>
            </w:r>
          </w:p>
        </w:tc>
        <w:tc>
          <w:tcPr>
            <w:tcW w:w="100" w:type="dxa"/>
            <w:vAlign w:val="bottom"/>
          </w:tcPr>
          <w:p>
            <w:pPr>
              <w:spacing w:after="0"/>
              <w:rPr>
                <w:sz w:val="13"/>
                <w:szCs w:val="13"/>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shd w:val="clear" w:color="auto" w:fill="CFF0FC"/>
          </w:tcPr>
          <w:p>
            <w:pPr>
              <w:spacing w:after="0"/>
              <w:rPr>
                <w:sz w:val="14"/>
                <w:szCs w:val="14"/>
                <w:color w:val="auto"/>
              </w:rPr>
            </w:pPr>
          </w:p>
        </w:tc>
      </w:tr>
      <w:tr>
        <w:trPr>
          <w:trHeight w:val="148"/>
        </w:trPr>
        <w:tc>
          <w:tcPr>
            <w:tcW w:w="3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(12,819)</w:t>
            </w:r>
          </w:p>
        </w:tc>
      </w:tr>
      <w:tr>
        <w:trPr>
          <w:trHeight w:val="182"/>
        </w:trPr>
        <w:tc>
          <w:tcPr>
            <w:tcW w:w="32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 before taxes on income</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123,928</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110,767</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-2094865</wp:posOffset>
            </wp:positionV>
            <wp:extent cx="93980"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-2094865</wp:posOffset>
            </wp:positionV>
            <wp:extent cx="93980" cy="136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-436245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55"/>
        </w:trPr>
        <w:tc>
          <w:tcPr>
            <w:tcW w:w="29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Revenue from external customers</w:t>
            </w:r>
          </w:p>
        </w:tc>
        <w:tc>
          <w:tcPr>
            <w:tcW w:w="58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968,711</w:t>
            </w:r>
          </w:p>
        </w:tc>
        <w:tc>
          <w:tcPr>
            <w:tcW w:w="52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672,403</w:t>
            </w:r>
          </w:p>
        </w:tc>
        <w:tc>
          <w:tcPr>
            <w:tcW w:w="480" w:type="dxa"/>
            <w:vAlign w:val="bottom"/>
            <w:gridSpan w:val="2"/>
            <w:shd w:val="clear" w:color="auto" w:fill="CFF0FC"/>
          </w:tcPr>
          <w:p>
            <w:pPr>
              <w:jc w:val="right"/>
              <w:ind w:right="83"/>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1,641,114</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960,220</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672,192</w:t>
            </w:r>
          </w:p>
        </w:tc>
        <w:tc>
          <w:tcPr>
            <w:tcW w:w="48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1,632,412</w:t>
            </w:r>
          </w:p>
        </w:tc>
        <w:tc>
          <w:tcPr>
            <w:tcW w:w="100" w:type="dxa"/>
            <w:vAlign w:val="bottom"/>
            <w:shd w:val="clear" w:color="auto" w:fill="CFF0FC"/>
          </w:tcPr>
          <w:p>
            <w:pPr>
              <w:spacing w:after="0"/>
              <w:rPr>
                <w:sz w:val="13"/>
                <w:szCs w:val="13"/>
                <w:color w:val="auto"/>
              </w:rPr>
            </w:pPr>
          </w:p>
        </w:tc>
      </w:tr>
      <w:tr>
        <w:trPr>
          <w:trHeight w:val="162"/>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Costs of sales and operating expenses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589,776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486,559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1,076,335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601,237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503,145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1,104,382</w:t>
            </w: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Administrative payroll expense</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39,608</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48,142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87,750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39,276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45,107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84,383</w:t>
            </w: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18,308</w:t>
            </w: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104,854</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21,001</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125,855</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96,896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113,325</w:t>
            </w:r>
          </w:p>
        </w:tc>
        <w:tc>
          <w:tcPr>
            <w:tcW w:w="100" w:type="dxa"/>
            <w:vAlign w:val="bottom"/>
            <w:shd w:val="clear" w:color="auto" w:fill="CFF0FC"/>
          </w:tcPr>
          <w:p>
            <w:pPr>
              <w:spacing w:after="0"/>
              <w:rPr>
                <w:sz w:val="14"/>
                <w:szCs w:val="14"/>
                <w:color w:val="auto"/>
              </w:rPr>
            </w:pPr>
          </w:p>
        </w:tc>
      </w:tr>
      <w:tr>
        <w:trPr>
          <w:trHeight w:val="148"/>
        </w:trPr>
        <w:tc>
          <w:tcPr>
            <w:tcW w:w="2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segment items (a)</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34,261</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53,931</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88,192</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30,372</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52,333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82,705</w:t>
            </w:r>
          </w:p>
        </w:tc>
        <w:tc>
          <w:tcPr>
            <w:tcW w:w="100" w:type="dxa"/>
            <w:vAlign w:val="bottom"/>
          </w:tcPr>
          <w:p>
            <w:pPr>
              <w:spacing w:after="0"/>
              <w:rPr>
                <w:sz w:val="12"/>
                <w:szCs w:val="12"/>
                <w:color w:val="auto"/>
              </w:rPr>
            </w:pPr>
          </w:p>
        </w:tc>
      </w:tr>
      <w:tr>
        <w:trPr>
          <w:trHeight w:val="155"/>
        </w:trPr>
        <w:tc>
          <w:tcPr>
            <w:tcW w:w="290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58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185,636</w:t>
            </w:r>
          </w:p>
        </w:tc>
        <w:tc>
          <w:tcPr>
            <w:tcW w:w="52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58,026</w:t>
            </w:r>
          </w:p>
        </w:tc>
        <w:tc>
          <w:tcPr>
            <w:tcW w:w="480" w:type="dxa"/>
            <w:vAlign w:val="bottom"/>
            <w:gridSpan w:val="2"/>
            <w:shd w:val="clear" w:color="auto" w:fill="CFF0FC"/>
          </w:tcPr>
          <w:p>
            <w:pPr>
              <w:jc w:val="right"/>
              <w:ind w:right="83"/>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243,662</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177,859</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51,450</w:t>
            </w:r>
          </w:p>
        </w:tc>
        <w:tc>
          <w:tcPr>
            <w:tcW w:w="48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229,309</w:t>
            </w:r>
          </w:p>
        </w:tc>
        <w:tc>
          <w:tcPr>
            <w:tcW w:w="100" w:type="dxa"/>
            <w:vAlign w:val="bottom"/>
            <w:shd w:val="clear" w:color="auto" w:fill="CFF0FC"/>
          </w:tcPr>
          <w:p>
            <w:pPr>
              <w:spacing w:after="0"/>
              <w:rPr>
                <w:sz w:val="13"/>
                <w:szCs w:val="13"/>
                <w:color w:val="auto"/>
              </w:rPr>
            </w:pP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segment operating income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Unallocated amounts:</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corporate expenses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(8,027)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(7,877)</w:t>
            </w:r>
          </w:p>
        </w:tc>
      </w:tr>
      <w:tr>
        <w:trPr>
          <w:trHeight w:val="148"/>
        </w:trPr>
        <w:tc>
          <w:tcPr>
            <w:tcW w:w="290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3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6"/>
        </w:trPr>
        <w:tc>
          <w:tcPr>
            <w:tcW w:w="29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gridSpan w:val="2"/>
          </w:tcPr>
          <w:p>
            <w:pPr>
              <w:jc w:val="right"/>
              <w:ind w:right="83"/>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237,392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222,021</w:t>
            </w:r>
          </w:p>
        </w:tc>
        <w:tc>
          <w:tcPr>
            <w:tcW w:w="100" w:type="dxa"/>
            <w:vAlign w:val="bottom"/>
          </w:tcPr>
          <w:p>
            <w:pPr>
              <w:spacing w:after="0"/>
              <w:rPr>
                <w:sz w:val="13"/>
                <w:szCs w:val="13"/>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100" w:type="dxa"/>
            <w:vAlign w:val="bottom"/>
            <w:shd w:val="clear" w:color="auto" w:fill="CFF0FC"/>
          </w:tcPr>
          <w:p>
            <w:pPr>
              <w:spacing w:after="0"/>
              <w:rPr>
                <w:sz w:val="14"/>
                <w:szCs w:val="14"/>
                <w:color w:val="auto"/>
              </w:rPr>
            </w:pPr>
          </w:p>
        </w:tc>
      </w:tr>
      <w:tr>
        <w:trPr>
          <w:trHeight w:val="148"/>
        </w:trPr>
        <w:tc>
          <w:tcPr>
            <w:tcW w:w="2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(23,267)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(25,970)</w:t>
            </w:r>
          </w:p>
        </w:tc>
      </w:tr>
      <w:tr>
        <w:trPr>
          <w:trHeight w:val="182"/>
        </w:trPr>
        <w:tc>
          <w:tcPr>
            <w:tcW w:w="290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 before taxes on income</w:t>
            </w:r>
          </w:p>
        </w:tc>
        <w:tc>
          <w:tcPr>
            <w:tcW w:w="3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224,271</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202,408</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-2094865</wp:posOffset>
            </wp:positionV>
            <wp:extent cx="102235" cy="136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-2094865</wp:posOffset>
            </wp:positionV>
            <wp:extent cx="93980" cy="136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-436245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xml:space="preserve">KMT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selling expense, professional service expense, occupancy expense, and certain overhead expenses.</w:t>
      </w:r>
    </w:p>
    <w:p>
      <w:pPr>
        <w:ind w:left="1500"/>
        <w:spacing w:after="0"/>
        <w:rPr>
          <w:sz w:val="20"/>
          <w:szCs w:val="20"/>
          <w:color w:val="auto"/>
        </w:rPr>
      </w:pPr>
      <w:r>
        <w:rPr>
          <w:rFonts w:ascii="Times New Roman" w:cs="Times New Roman" w:eastAsia="Times New Roman" w:hAnsi="Times New Roman"/>
          <w:sz w:val="14"/>
          <w:szCs w:val="14"/>
          <w:color w:val="auto"/>
        </w:rPr>
        <w:t xml:space="preserve">KDS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inventory-related expense, warranty expense, selling expense, professional service expense, occupancy expense, and certain overhead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4,703,152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4,578,616</w:t>
            </w:r>
          </w:p>
        </w:tc>
      </w:tr>
      <w:tr>
        <w:trPr>
          <w:trHeight w:val="216"/>
        </w:trPr>
        <w:tc>
          <w:tcPr>
            <w:tcW w:w="7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1,212,371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1,115,781</w:t>
            </w:r>
          </w:p>
        </w:tc>
      </w:tr>
      <w:tr>
        <w:trPr>
          <w:trHeight w:val="216"/>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157,555</w:t>
            </w:r>
          </w:p>
        </w:tc>
        <w:tc>
          <w:tcPr>
            <w:tcW w:w="120" w:type="dxa"/>
            <w:vAlign w:val="bottom"/>
          </w:tcPr>
          <w:p>
            <w:pPr>
              <w:spacing w:after="0"/>
              <w:rPr>
                <w:sz w:val="18"/>
                <w:szCs w:val="18"/>
                <w:color w:val="auto"/>
              </w:rPr>
            </w:pPr>
          </w:p>
        </w:tc>
      </w:tr>
      <w:tr>
        <w:trPr>
          <w:trHeight w:val="250"/>
        </w:trPr>
        <w:tc>
          <w:tcPr>
            <w:tcW w:w="7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6,079,965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372"/>
        </w:trPr>
        <w:tc>
          <w:tcPr>
            <w:tcW w:w="7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10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40"/>
        </w:trPr>
        <w:tc>
          <w:tcPr>
            <w:tcW w:w="7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corporate assets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161,505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154,655</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1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8"/>
                <w:szCs w:val="18"/>
                <w:color w:val="auto"/>
              </w:rPr>
            </w:pPr>
          </w:p>
        </w:tc>
      </w:tr>
      <w:tr>
        <w:trPr>
          <w:trHeight w:val="230"/>
        </w:trPr>
        <w:tc>
          <w:tcPr>
            <w:tcW w:w="7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164,442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157,555</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-1053465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-1036320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02" w:lineRule="exact"/>
        <w:rPr>
          <w:sz w:val="20"/>
          <w:szCs w:val="20"/>
          <w:color w:val="auto"/>
        </w:rPr>
      </w:pPr>
    </w:p>
    <w:p>
      <w:pPr>
        <w:ind w:right="140"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502,539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491,923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52,956</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218,629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212,650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notes payable</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1,121,433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878,226</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835,755</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(3,668)</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(3,278)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1,117,765</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1,097,060</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874,948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835,755</w:t>
            </w:r>
          </w:p>
        </w:tc>
        <w:tc>
          <w:tcPr>
            <w:tcW w:w="12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-454025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-454025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-454025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ind w:left="940" w:hanging="370"/>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of 5.6% at June 30, 2025 and December 31, 2024.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0" w:name="page11"/>
    <w:bookmarkEnd w:id="10"/>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$255.0 million as of June 30, 2025.</w:t>
      </w:r>
    </w:p>
    <w:p>
      <w:pPr>
        <w:spacing w:after="0" w:line="16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w:t>
      </w:r>
    </w:p>
    <w:p>
      <w:pPr>
        <w:spacing w:after="0" w:line="13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has a $15 million line of credit (“Credit Line”) with Bank of America, N.A. (“Bank of America”) for short-term liquidity needs and letters of credit, with a maturity date of June 30, 2026. Outstanding letters of credit under the Credit Line were $6.8 million and available borrowing capacity was $8.2 million as of June 30, 2025.</w:t>
      </w:r>
    </w:p>
    <w:p>
      <w:pPr>
        <w:spacing w:after="0" w:line="172"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23,184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42,202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41,987</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38,115</w:t>
            </w:r>
          </w:p>
        </w:tc>
      </w:tr>
      <w:tr>
        <w:trPr>
          <w:trHeight w:val="216"/>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32,511</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30,263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24,561</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22,860</w:t>
            </w:r>
          </w:p>
        </w:tc>
      </w:tr>
      <w:tr>
        <w:trPr>
          <w:trHeight w:val="216"/>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14,200</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12,483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79,452</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76,621</w:t>
            </w:r>
          </w:p>
        </w:tc>
      </w:tr>
      <w:tr>
        <w:trPr>
          <w:trHeight w:val="20"/>
        </w:trPr>
        <w:tc>
          <w:tcPr>
            <w:tcW w:w="4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09"/>
        </w:trPr>
        <w:tc>
          <w:tcPr>
            <w:tcW w:w="49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215,895</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222,544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(35,805)</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(38,647)</w:t>
            </w:r>
          </w:p>
        </w:tc>
      </w:tr>
      <w:tr>
        <w:trPr>
          <w:trHeight w:val="20"/>
        </w:trPr>
        <w:tc>
          <w:tcPr>
            <w:tcW w:w="4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49"/>
        </w:trPr>
        <w:tc>
          <w:tcPr>
            <w:tcW w:w="49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180,090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183,897</w:t>
            </w:r>
          </w:p>
        </w:tc>
      </w:tr>
      <w:tr>
        <w:trPr>
          <w:trHeight w:val="386"/>
        </w:trPr>
        <w:tc>
          <w:tcPr>
            <w:tcW w:w="4940" w:type="dxa"/>
            <w:vAlign w:val="bottom"/>
            <w:tcBorders>
              <w:top w:val="single" w:sz="8" w:color="CFF0FC"/>
            </w:tcBorders>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84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97"/>
        </w:trPr>
        <w:tc>
          <w:tcPr>
            <w:tcW w:w="4940" w:type="dxa"/>
            <w:vAlign w:val="bottom"/>
          </w:tcPr>
          <w:p>
            <w:pPr>
              <w:spacing w:after="0"/>
              <w:rPr>
                <w:sz w:val="24"/>
                <w:szCs w:val="24"/>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9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11,958</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23,943</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8"/>
                <w:szCs w:val="18"/>
                <w:color w:val="auto"/>
              </w:rPr>
            </w:pPr>
          </w:p>
        </w:tc>
      </w:tr>
      <w:tr>
        <w:trPr>
          <w:trHeight w:val="216"/>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11,013</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21,688</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(1,011)</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(1,684)</w:t>
            </w:r>
          </w:p>
        </w:tc>
      </w:tr>
      <w:tr>
        <w:trPr>
          <w:trHeight w:val="20"/>
        </w:trPr>
        <w:tc>
          <w:tcPr>
            <w:tcW w:w="4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94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21,651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43,436</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41,255</w:t>
            </w:r>
          </w:p>
        </w:tc>
        <w:tc>
          <w:tcPr>
            <w:tcW w:w="120" w:type="dxa"/>
            <w:vAlign w:val="bottom"/>
            <w:tcBorders>
              <w:left w:val="single" w:sz="8" w:color="CFF0FC"/>
            </w:tcBorders>
            <w:shd w:val="clear" w:color="auto" w:fill="CFF0FC"/>
          </w:tcPr>
          <w:p>
            <w:pPr>
              <w:spacing w:after="0"/>
              <w:rPr>
                <w:sz w:val="19"/>
                <w:szCs w:val="19"/>
                <w:color w:val="auto"/>
              </w:rPr>
            </w:pPr>
          </w:p>
        </w:tc>
      </w:tr>
      <w:tr>
        <w:trPr>
          <w:trHeight w:val="20"/>
        </w:trPr>
        <w:tc>
          <w:tcPr>
            <w:tcW w:w="49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372"/>
        </w:trPr>
        <w:tc>
          <w:tcPr>
            <w:tcW w:w="818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2"/>
        </w:trPr>
        <w:tc>
          <w:tcPr>
            <w:tcW w:w="4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3"/>
                <w:szCs w:val="2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years</w:t>
            </w:r>
          </w:p>
        </w:tc>
      </w:tr>
      <w:tr>
        <w:trPr>
          <w:trHeight w:val="562"/>
        </w:trPr>
        <w:tc>
          <w:tcPr>
            <w:tcW w:w="4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-2982595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-2965450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-1704975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-1687830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-1704975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-1687830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-1704975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-1687830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-1687830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cost</w:t>
            </w:r>
          </w:p>
        </w:tc>
        <w:tc>
          <w:tcPr>
            <w:tcW w:w="26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1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20" w:type="dxa"/>
            <w:vAlign w:val="bottom"/>
            <w:shd w:val="clear" w:color="auto" w:fill="CFF0FC"/>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1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131,190 restricted stock units (“RSUs”) to selected officers and other key employees under the employee stock award plan that vest ratably over five years. During May 2025, the Company granted 15,384 shares of restricted stock to nonemployee directors of the Company under the director stock plan which vest six months after the date of grant.</w:t>
      </w:r>
    </w:p>
    <w:p>
      <w:pPr>
        <w:spacing w:after="0" w:line="145"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111,091</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224,961</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202,745</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39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224,271</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w:t>
            </w:r>
          </w:p>
        </w:tc>
        <w:tc>
          <w:tcPr>
            <w:tcW w:w="12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Provision (benefit) for taxes on income:</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 and local:</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 current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9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48,511</w:t>
            </w:r>
          </w:p>
        </w:tc>
        <w:tc>
          <w:tcPr>
            <w:tcW w:w="120" w:type="dxa"/>
            <w:vAlign w:val="bottom"/>
            <w:shd w:val="clear" w:color="auto" w:fill="CFF0FC"/>
          </w:tcPr>
          <w:p>
            <w:pPr>
              <w:spacing w:after="0"/>
              <w:rPr>
                <w:sz w:val="19"/>
                <w:szCs w:val="19"/>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-1439545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-1439545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-1439545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This legislation includes changes to U.S. federal tax law, which may be subject to further clarification and the issuance of interpretive guidance. The Company is assessing the legislation and its effect on its consolidated financial statements, which it expects to begin reflecting in the three months ended September 30, 2025.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170,263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153,922</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2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94,260</w:t>
            </w:r>
          </w:p>
        </w:tc>
        <w:tc>
          <w:tcPr>
            <w:tcW w:w="2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170,248</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153,909</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94,260</w:t>
            </w:r>
          </w:p>
        </w:tc>
        <w:tc>
          <w:tcPr>
            <w:tcW w:w="260" w:type="dxa"/>
            <w:vAlign w:val="bottom"/>
          </w:tcPr>
          <w:p>
            <w:pPr>
              <w:spacing w:after="0"/>
              <w:rPr>
                <w:sz w:val="18"/>
                <w:szCs w:val="18"/>
                <w:color w:val="auto"/>
              </w:rPr>
            </w:pP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83,841</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170,248</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153,909</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58,329</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2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56,105</w:t>
            </w:r>
          </w:p>
        </w:tc>
        <w:tc>
          <w:tcPr>
            <w:tcW w:w="2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56,520</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58,324</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58,592</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4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8"/>
                <w:szCs w:val="18"/>
                <w:color w:val="auto"/>
              </w:rPr>
            </w:pP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46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shd w:val="clear" w:color="auto" w:fill="CFF0FC"/>
          </w:tcPr>
          <w:p>
            <w:pPr>
              <w:jc w:val="right"/>
              <w:ind w:right="6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FF0FC"/>
          </w:tcPr>
          <w:p>
            <w:pPr>
              <w:spacing w:after="0"/>
              <w:rPr>
                <w:sz w:val="18"/>
                <w:szCs w:val="18"/>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-1910715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-1910715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-1910715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-744855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-744855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-744855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antidilutive stock options as of June 30, 2025 and 2024. There were no antidilutive RSUs as of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4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334,196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328,540</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65,358</w:t>
            </w:r>
          </w:p>
        </w:tc>
        <w:tc>
          <w:tcPr>
            <w:tcW w:w="120" w:type="dxa"/>
            <w:vAlign w:val="bottom"/>
          </w:tcPr>
          <w:p>
            <w:pPr>
              <w:spacing w:after="0"/>
              <w:rPr>
                <w:sz w:val="18"/>
                <w:szCs w:val="18"/>
                <w:color w:val="auto"/>
              </w:rPr>
            </w:pPr>
          </w:p>
        </w:tc>
      </w:tr>
      <w:tr>
        <w:trPr>
          <w:trHeight w:val="250"/>
        </w:trPr>
        <w:tc>
          <w:tcPr>
            <w:tcW w:w="420" w:type="dxa"/>
            <w:vAlign w:val="bottom"/>
            <w:shd w:val="clear" w:color="auto" w:fill="CFF0FC"/>
          </w:tcPr>
          <w:p>
            <w:pPr>
              <w:spacing w:after="0"/>
              <w:rPr>
                <w:sz w:val="21"/>
                <w:szCs w:val="21"/>
                <w:color w:val="auto"/>
              </w:rPr>
            </w:pPr>
          </w:p>
        </w:tc>
        <w:tc>
          <w:tcPr>
            <w:tcW w:w="66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426,265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393,898</w:t>
            </w:r>
          </w:p>
        </w:tc>
      </w:tr>
      <w:tr>
        <w:trPr>
          <w:trHeight w:val="413"/>
        </w:trPr>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1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-299720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-281940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3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$0.5 million to the Higman pension plan during the six months ended June 30, 2025. The Company expects to make additional contributions of $0.7 million during the remainder of 2025.</w:t>
      </w:r>
    </w:p>
    <w:p>
      <w:pPr>
        <w:spacing w:after="0" w:line="156"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ind w:left="537"/>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left="517"/>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center"/>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tcPr>
          <w:p>
            <w:pPr>
              <w:jc w:val="center"/>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(6,812)</w:t>
            </w:r>
          </w:p>
        </w:tc>
        <w:tc>
          <w:tcPr>
            <w:tcW w:w="4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(2,067)</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(1,826)</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ind w:left="537"/>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left="517"/>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center"/>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tcPr>
          <w:p>
            <w:pPr>
              <w:jc w:val="center"/>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1,697</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9,095</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8,590</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(13,621)</w:t>
            </w:r>
          </w:p>
        </w:tc>
        <w:tc>
          <w:tcPr>
            <w:tcW w:w="4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(4,501)</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-1576705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-1576705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-1576705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6"/>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20" w:type="dxa"/>
            <w:vAlign w:val="bottom"/>
            <w:gridSpan w:val="6"/>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gridSpan w:val="4"/>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19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39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9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3940" w:type="dxa"/>
            <w:vAlign w:val="bottom"/>
          </w:tcPr>
          <w:p>
            <w:pPr>
              <w:spacing w:after="0"/>
              <w:rPr>
                <w:sz w:val="24"/>
                <w:szCs w:val="24"/>
                <w:color w:val="auto"/>
              </w:rPr>
            </w:pPr>
          </w:p>
        </w:tc>
        <w:tc>
          <w:tcPr>
            <w:tcW w:w="1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-1028065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-1028065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-1028065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changes in other comprehensive income (loss)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Actuarial gains (losses)</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(5,425)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(4,021)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Actuarial gains (losses)</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(7,609)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(5,580)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-1379220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-1362710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-1379220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-1362710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-1379220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-1362710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-1379220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-1362710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-1379220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-1362710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1000" w:hanging="423"/>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11, Retirement Plans)</w:t>
      </w:r>
    </w:p>
    <w:p>
      <w:pPr>
        <w:spacing w:after="0" w:line="18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02"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4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3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$27.4 million at June 30, 2025, including $11.6 million in letters of credit and $15.8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562"/>
        <w:spacing w:after="0" w:line="218"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after-market services and genuine replacement parts for engines, transmissions, reduction 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855,455</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1,641,114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170,263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153,922</w:t>
            </w:r>
          </w:p>
        </w:tc>
        <w:tc>
          <w:tcPr>
            <w:tcW w:w="120" w:type="dxa"/>
            <w:vAlign w:val="bottom"/>
          </w:tcPr>
          <w:p>
            <w:pPr>
              <w:spacing w:after="0"/>
              <w:rPr>
                <w:sz w:val="18"/>
                <w:szCs w:val="18"/>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diluted</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FF0FC"/>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302,607</w:t>
            </w: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150,160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169,607</w:t>
            </w:r>
          </w:p>
        </w:tc>
        <w:tc>
          <w:tcPr>
            <w:tcW w:w="12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2025 first six months decreased in comparison to the 2024 first six months primarily due to unfavorable working capital changes driven by the timing of accounts receivable collections, accounts payable payments and federal income tax payments, as well as an increase in inventories in the first half of 2025, partially offset by increased net earnings. The increase in inventories was due to the impact of higher business activity levels and supply delays in KDS resulting in the buildup of inventory for projects, mainly due to power generation orders, which are scheduled to be delivered later in 2025 and into 2026. For the 2025 first six months, capital expenditures of $150.2 million included $126.3 million in KMT and $23.9 million in KDS and corporate, each more fully described under Cash Flow and Capital Expenditures below.</w:t>
      </w:r>
    </w:p>
    <w:p>
      <w:pPr>
        <w:spacing w:after="0" w:line="14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projects that capital expenditures for 2025 will be in the $260 million to $290 million range. Approximately $180 million to $210 million is associated with marine maintenance capital and improvements to existing inland and coastal marine equipment, and facility improvements. Approximately $80 million is associated with growth capital spending in both segments.</w:t>
      </w:r>
    </w:p>
    <w:p>
      <w:pPr>
        <w:spacing w:after="0" w:line="13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Company’s debt-to-capitalization ratio increased to 24.8% at June 30, 2025 compared to 20.7% at December 31, 2024, primarily due to an increase in debt outstanding. Total equity at June 30, 2025 increased as compared to December 31, 2024 primarily from net earnings attributable to Kirby of $170.3 million, partially offset by treasury stock purchases of $132.7 million. The Company’s debt outstanding as of June 30, 2025 and December 31, 2024 is detailed in Long-Term Financing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For the 2025 second quarter and first six months, KMT generated 58% and 59%, respectively, of the Company’s revenues compared to 59% for both the 2024 second quarter and first six months.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1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tank barges: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1,093</w:t>
            </w: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40" w:type="dxa"/>
            <w:vAlign w:val="bottom"/>
            <w:gridSpan w:val="2"/>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7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14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24.2</w:t>
            </w:r>
          </w:p>
        </w:tc>
      </w:tr>
      <w:tr>
        <w:trPr>
          <w:trHeight w:val="216"/>
        </w:trPr>
        <w:tc>
          <w:tcPr>
            <w:tcW w:w="8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9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7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8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50"/>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197"/>
        </w:trPr>
        <w:tc>
          <w:tcPr>
            <w:tcW w:w="818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-3028315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-3028315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-2171065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-2171065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-1305560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-1288415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-1305560</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-448310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-431165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in the Houston Ship Channel and in Freeport and Port Arthur, Texas, and Lake Charles, Louisiana and a shipyard for building towboats and performing routine maintenance near the Houston Ship Channel. Furthermore, the Company owns a two-thirds interest in Osprey Line, L.L.C., which transports project cargoes and cargo containers by barge.</w:t>
      </w:r>
    </w:p>
    <w:p>
      <w:pPr>
        <w:spacing w:after="0" w:line="153"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During the 2025 first six months, the Company purchased 14 inland tank barges, chartered four inland tank barges, and retired three inland tank barges, increasing its capacity by approximately 0.3 million barrels.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KMT revenues for the 2025 second quarter and first six months increased 2% and 1%, respectively, and operating income increased 4% compared to the 2024 second quarter and first six months. The increase in revenues in the 2025 second quarter and first six months as compared to the 2024 second quarter and first six months were due to higher term and spot market pricing in the inland and coastal markets, partially offset by lower fuel rebills in both markets. The increase in operating income for the 2025 second quarter and first six months was primarily due to higher term and spot pricing in the inland and coastal markets. The 2025 and 2024 first quarters were impacted by poor operating conditions including seasonal wind and fog along the Gulf Coast and various lock closures. For the 2025 second quarter and first six months, the inland tank barge fleet contributed 81% and 82%, respectively, and the coastal fleet contributed 19% and 18% of KMT revenues, respectively. For both the 2024 second quarter and first six months, the inland tank barge fleet contributed 81% and the coastal fleet contributed 19% of KMT revenues.</w:t>
      </w:r>
    </w:p>
    <w:p>
      <w:pPr>
        <w:spacing w:after="0" w:line="151"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the 2025 and 2024 first and second quarters. The 2025 and 2024 first quarters were impacted by high winds and heavy fog along the Gulf Coast and lock delays. Coastal tank barge utilization levels averaged in the mid to high 90% range during the 2025 and 2024 first and second quarters.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both the 2025 second quarter and first six months, approximately 70% of KMT inland revenues were under term contracts and 30% were spot contract revenues. During both the 2024 second quarter and first six months, approximately 65% of KMT inland revenues were under term contracts and 35% were spot contract revenues. Inland time charters during both the 2025 second quarter and first six months represented approximately 60% of inland revenues under term contracts compared with 59% and 60% in the 2024 second quarter and first six months, respectively. During both the 2025 second quarter and first six months, approximately 100% of KMT coastal revenues were under term contracts and none were under spot contracts. During the 2024 second quarter and first six months, approximately 100% and 98%, respectively, of KMT coastal revenues were under term contracts and none and 2%, respectively, were under spot contracts. Coastal time charters represented approximately 100% of coastal revenues under term contracts during both the 2025 second quarter and first six months compared to 97% during both the 2024 second quarter and first six months. Term contracts have contract terms of 12 months or longer, while spot contracts have contract terms of less than 12 months.</w:t>
      </w:r>
    </w:p>
    <w:p>
      <w:pPr>
        <w:spacing w:after="0" w:line="16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2025 compared to contracts renewed during the corresponding quarter of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72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7520" w:type="dxa"/>
            <w:vAlign w:val="bottom"/>
          </w:tcPr>
          <w:p>
            <w:pPr>
              <w:spacing w:after="0"/>
              <w:rPr>
                <w:sz w:val="12"/>
                <w:szCs w:val="12"/>
                <w:color w:val="auto"/>
              </w:rPr>
            </w:pPr>
          </w:p>
        </w:tc>
        <w:tc>
          <w:tcPr>
            <w:tcW w:w="16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2"/>
                <w:szCs w:val="12"/>
                <w:color w:val="auto"/>
              </w:rPr>
            </w:pPr>
          </w:p>
        </w:tc>
        <w:tc>
          <w:tcPr>
            <w:tcW w:w="184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market:</w:t>
            </w:r>
          </w:p>
        </w:tc>
        <w:tc>
          <w:tcPr>
            <w:tcW w:w="16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increase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w:t>
            </w:r>
          </w:p>
        </w:tc>
        <w:tc>
          <w:tcPr>
            <w:tcW w:w="2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 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Spot increase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 8%</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Coastal market (a):</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increase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 26%</w:t>
            </w:r>
          </w:p>
        </w:tc>
      </w:tr>
    </w:tbl>
    <w:p>
      <w:pPr>
        <w:spacing w:after="0" w:line="157" w:lineRule="exact"/>
        <w:rPr>
          <w:sz w:val="20"/>
          <w:szCs w:val="20"/>
          <w:color w:val="auto"/>
        </w:rPr>
      </w:pPr>
    </w:p>
    <w:p>
      <w:pPr>
        <w:ind w:left="940" w:hanging="370"/>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contract pricing in the coastal market is contingent on various factors including geographic location, vessel capacity, vessel type, and product serviced.</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2025, annual escalators for labor and the producer price index on a number of inland multi-year contracts resulted in rate increases on those contracts in the 3% to 5% range, excluding fuel.</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KMT operating margin was 20.1% and 19.2% for the 2025 second quarter and first six months, respectively, compared to 19.6% and 18.5% for the 2024 second quarter and first six months,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Company, through KDS, provides after-market services and genuine replacement parts for engines, transmissions, reduction 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60"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For the 2025 second quarter and first six months, KDS generated 42% and 41% of the Company’s revenues, respectively, of which 86% and 87%, respectively, were generated from service and parts and 14% and 13%, respectively, from manufacturing. The results of KDS are largely influenced by the economic cycles of the oil and gas, marine, power generation, on-highway, and other related industrial markets.</w:t>
      </w:r>
    </w:p>
    <w:p>
      <w:pPr>
        <w:spacing w:after="0" w:line="13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KDS revenues for the 2025 second quarter increased 7% compared with the 2024 second quarter. KDS revenues for the 2025 first six months were flat compared with the 2024 first six months. KDS operating income for the 2025 second quarter and first six months increased 20% and 13%, respectively, compared with the 2024 second quarter and first six months. In the commercial and industrial market, revenues and operating income increased compared to the 2024 second quarter and first six months due to higher business levels in marine repair. For the 2025 second quarter and first six months, the commercial and industrial market contributed 48% and 50% of KDS revenues, respectively.</w:t>
      </w:r>
    </w:p>
    <w:p>
      <w:pPr>
        <w:spacing w:after="0" w:line="143"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the power generation market, revenues increased compared to the 2024 second quarter and first six months due to increased demand for backup and critical power applications, while operating income decreased due to sales mix. For the 2025 second quarter and first six months, the power generation market contributed 39% and 36% of KDS revenues, respectively.</w:t>
      </w:r>
    </w:p>
    <w:p>
      <w:pPr>
        <w:spacing w:after="0" w:line="14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the oil and gas market, revenues decreased compared to the 2024 second quarter and first six months, impacted by lower levels of conventional oilfield activity which resulted in decreased demand for new transmissions and parts, partially offset by deliveries of electric fracturing equipment. Operating income in the oil and gas market increased compared to the 2024 second quarter and first six</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months due to product mix and ongoing cost management initiatives. For the 2025 second quarter and first six months, the oil and gas market contributed 13% and 14% of KDS revenues, respectively.</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KDS operating margin was 9.8% and 8.6% for the 2025 second quarter and first six months, respectively, compared to 8.7% and 7.7% for the 2024 second quarter and first six months,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2025. In KMT, barge utilization and customer demand remain favorable and rates continue to increase. In KDS, growth in the power generation market is expected to offset softness in oil and gas markets, and the on-highway service and repair business due to the ongoing trucking recession. The Company remains mindful of the ever-changing economic landscape related to the possible impact of high interest rates, tariffs and possible recessionary headwinds as it moves through 2025.</w:t>
      </w:r>
    </w:p>
    <w:p>
      <w:pPr>
        <w:spacing w:after="0" w:line="180"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the inland marine transportation market in 2025, the Company anticipates positive market dynamics due to limited new barge construction. The Company expects barge utilization rates to remain steady for the remainder of the year. Also, the Company continues to see inflationary pressures and there remains an acute mariner shortage in the industry which continues to drive up labor costs. These pressures, along with the increasing cost of equipment, should continue to put upward pressure on term contract prices. In the near term, however, spot market pricing could be pressured due to short-term demand softness. In the coastal marine transportation market in 2025, market conditions remain very favorable with steady customer demand. This is expected to keep barge utilization at high levels with improved rates as the availability of equipment is limited across the industry given there are currently no new ATBs under construction.</w:t>
      </w:r>
    </w:p>
    <w:p>
      <w:pPr>
        <w:spacing w:after="0" w:line="189"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expects mixed results in KDS in 2025 as near-term volatility from supply issues, customers deferring maintenance, and lower overall levels of activity in the oil and gas market to be offset by increased orders in the power generation market. In commercial and industrial, the demand outlook in marine repair remains steady while on-highway service and repair remains soft but has shown some recent modest improvement. In power generation, the Company anticipates continued strong growth in orders as data center demand and the need for backup power continues to be strong. In oil and gas, the Company expects revenues to be down as the transition from conventional diesel hydraulic fracturing to electric hydraulic fracturing continues to take place. The Company anticipates extended lead times and supply delays for certain original equipment manufacturer products to continue throughout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9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5"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Financing of these purchases was through borrowings under the Company’s 2027 Revolving Credit Facility and cash provided by operating activities.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gridSpan w:val="2"/>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Marine</w:t>
            </w:r>
          </w:p>
        </w:tc>
        <w:tc>
          <w:tcPr>
            <w:tcW w:w="2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492,562</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968,711</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 and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362,893</w:t>
            </w:r>
          </w:p>
        </w:tc>
        <w:tc>
          <w:tcPr>
            <w:tcW w:w="220" w:type="dxa"/>
            <w:vAlign w:val="bottom"/>
            <w:vMerge w:val="restart"/>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220" w:type="dxa"/>
            <w:vAlign w:val="bottom"/>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672,403</w:t>
            </w:r>
          </w:p>
        </w:tc>
        <w:tc>
          <w:tcPr>
            <w:tcW w:w="200" w:type="dxa"/>
            <w:vAlign w:val="bottom"/>
            <w:vMerge w:val="restart"/>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20" w:type="dxa"/>
            <w:vAlign w:val="bottom"/>
            <w:vMerge w:val="restart"/>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855,455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1,641,114</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-25400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1117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-8255</wp:posOffset>
            </wp:positionV>
            <wp:extent cx="1117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111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492,562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968,711</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298,789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601,237</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r>
      <w:tr>
        <w:trPr>
          <w:trHeight w:val="21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104,854</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96,896</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393,510</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782,361</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99,052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177,859</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-1310640</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-1310640</wp:posOffset>
            </wp:positionV>
            <wp:extent cx="111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-1310640</wp:posOffset>
            </wp:positionV>
            <wp:extent cx="111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-1310640</wp:posOffset>
            </wp:positionV>
            <wp:extent cx="1117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-479425</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-479425</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-479425</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-479425</wp:posOffset>
            </wp:positionV>
            <wp:extent cx="111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-187960</wp:posOffset>
            </wp:positionV>
            <wp:extent cx="111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-170815</wp:posOffset>
            </wp:positionV>
            <wp:extent cx="1111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-187960</wp:posOffset>
            </wp:positionV>
            <wp:extent cx="111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1111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1111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1111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1117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1117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202"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Second Quarter</w:t>
            </w:r>
          </w:p>
        </w:tc>
        <w:tc>
          <w:tcPr>
            <w:tcW w:w="1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Six Months</w:t>
            </w: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2"/>
                <w:szCs w:val="12"/>
                <w:color w:val="auto"/>
              </w:rPr>
            </w:pPr>
          </w:p>
        </w:tc>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60" w:type="dxa"/>
            <w:vAlign w:val="bottom"/>
          </w:tcPr>
          <w:p>
            <w:pPr>
              <w:spacing w:after="0"/>
              <w:rPr>
                <w:sz w:val="12"/>
                <w:szCs w:val="12"/>
                <w:color w:val="auto"/>
              </w:rPr>
            </w:pPr>
          </w:p>
        </w:tc>
        <w:tc>
          <w:tcPr>
            <w:tcW w:w="22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5"/>
                <w:szCs w:val="15"/>
                <w:color w:val="auto"/>
              </w:rPr>
            </w:pPr>
          </w:p>
        </w:tc>
        <w:tc>
          <w:tcPr>
            <w:tcW w:w="3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Petrochemicals</w:t>
            </w:r>
          </w:p>
        </w:tc>
        <w:tc>
          <w:tcPr>
            <w:tcW w:w="1560" w:type="dxa"/>
            <w:vAlign w:val="bottom"/>
            <w:gridSpan w:val="2"/>
            <w:shd w:val="clear" w:color="auto" w:fill="CFF0FC"/>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1540" w:type="dxa"/>
            <w:vAlign w:val="bottom"/>
            <w:gridSpan w:val="2"/>
            <w:shd w:val="clear" w:color="auto" w:fill="CFF0FC"/>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3740" w:type="dxa"/>
            <w:vAlign w:val="bottom"/>
            <w:gridSpan w:val="2"/>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242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Consumer non-durables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70%, Consumer durables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Propylene</w:t>
            </w: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56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154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3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 Vacuum</w:t>
            </w:r>
          </w:p>
        </w:tc>
        <w:tc>
          <w:tcPr>
            <w:tcW w:w="24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Fuel for Power Plants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Gas Oil, Asphalt, Carbon Black Feedstock,</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Ships, Feedstock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Natural Gas Condensate, Ship</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Refineries, Road Construction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Bunkers</w:t>
            </w: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Refined Petroleum</w:t>
            </w:r>
          </w:p>
        </w:tc>
        <w:tc>
          <w:tcPr>
            <w:tcW w:w="1560" w:type="dxa"/>
            <w:vAlign w:val="bottom"/>
            <w:gridSpan w:val="2"/>
            <w:shd w:val="clear" w:color="auto" w:fill="CFF0FC"/>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154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374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242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Vehicle Usage, Air Travel,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Fuel, Ethanol</w:t>
            </w: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Weather Conditions, Refinery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Utilization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56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4%</w:t>
            </w:r>
          </w:p>
        </w:tc>
        <w:tc>
          <w:tcPr>
            <w:tcW w:w="15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4%</w:t>
            </w:r>
          </w:p>
        </w:tc>
        <w:tc>
          <w:tcPr>
            <w:tcW w:w="3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Anhydrous Ammonia, Nitrogen – Based Liquid</w:t>
            </w:r>
          </w:p>
        </w:tc>
        <w:tc>
          <w:tcPr>
            <w:tcW w:w="24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Corn, Cotton and Wheat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Production, Chemical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Feedstock Usage</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KMT revenues for the 2025 second quarter and first six months increased 2% and 1%, respectively, and operating income increased 4% compared to the 2024 second quarter and first six months. The increase in revenues in the 2025 second quarter and first six months as compared to the 2024 second quarter and first six months were due to higher term and spot market pricing in the inland and coastal markets, partially offset by lower fuel rebills in both markets. The increase in operating income for the 2025 second quarter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and first six months was primarily due to higher term and spot pricing in the inland and coastal markets. The 2025 and 2024 first quarters were impacted by poor operating conditions including seasonal wind and fog along the Gulf Coast and various lock closures. For the 2025 second quarter and first six months, the inland tank barge fleet contributed 81% and 82%, respectively, and the coastal fleet contributed 19% and 18% of KMT revenues, respectively. For both the 2024 second quarter and first six months, the inland tank barge fleet contributed 81% and the coastal fleet contributed 19% of KMT revenues.</w:t>
      </w:r>
    </w:p>
    <w:p>
      <w:pPr>
        <w:spacing w:after="0" w:line="153"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the 2025 and 2024 first and second quarters. The 2025 and 2024 first quarters were impacted by high winds and heavy fog along the Gulf Coast and lock delays. Coastal tank barge utilization levels averaged in the mid to high 90% range during the 2025 and 2024 first and second quarters.</w:t>
      </w:r>
    </w:p>
    <w:p>
      <w:pPr>
        <w:spacing w:after="0" w:line="135"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The petrochemical market, which is the Company’s largest market, contributed 49% of KMT revenues for both the 2025 second quarter and first six months reflecting steady rates, volumes and utilization from Gulf Coast petrochemical plants as compared to the 2024 second quarter and first six months.</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26% of KMT revenues for both the 2025 second quarter and first six months reflected stable demand as refinery utilization and production levels of refined petroleum products and fuel oils increased. During the 2025 first six months, the Company transported crude oil and natural gas condensate produced from major U.S. shale basins along the Gulf Intracoastal Waterway with inland vessels and in the Gulf of America with coastal equipment. Additionally, the Company transported volumes of Utica natural gas condensate downriver from the Mid-Atlantic to the Gulf Coast.</w:t>
      </w:r>
    </w:p>
    <w:p>
      <w:pPr>
        <w:spacing w:after="0" w:line="156"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The refined petroleum products market, which contributed 21% of KMT revenues for both the 2025 second quarter and first six months, reflected stable volumes in the inland market with steady refinery utilization and product levels as compared to the 2024 second quarter and first six months.</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4% of KMT revenues for both the 2025 second quarter and first six months reflected stable demand for transportation of both domestically produced and imported products as compared to the 2024 second quarter and first six months.</w:t>
      </w:r>
    </w:p>
    <w:p>
      <w:pPr>
        <w:spacing w:after="0" w:line="12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the 2025 second quarter, inland operations incurred 3,320 delay days compared to 3,334 delay days that occurred during the 2024 second quarter. For the 2025 first six months, inland operations incurred 7,349 delay days, 7% more than the 6,841 delay days that occurred during the 2024 first six months.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during the 2025 and 2024 first quarters.</w:t>
      </w:r>
    </w:p>
    <w:p>
      <w:pPr>
        <w:spacing w:after="0" w:line="156"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both the 2025 second quarter and first six months, approximately 70% of KMT inland revenues were under term contracts and 30% were spot contract revenues. During both the 2024 second quarter and first six months, approximately 65% of KMT inland revenues were under term contracts and 35% were spot contract revenues. Inland time charters during both the 2025 second quarter and first six months represented approximately 60% of inland revenues under term contracts compared with 59% and 60% in the 2024 second quarter and first six months, respectively. During both the 2025 second quarter and first six months, approximately 100% of KMT coastal revenues were under term contracts and none were under spot contracts. During the 2024 second quarter and first six months, approximately 100% and 98%, respectively, of KMT coastal revenues were under term contracts and none and 2%, respectively, were under spot contracts. Coastal time charters represented approximately 100% of coastal revenues under term contracts during both the 2025 second quarter and first six months compared to 97% during both the 2024 second quarter and first six months. Term contracts have contract terms of 12 months or longer, while spot contracts have contract terms of less than 12 months.</w:t>
      </w:r>
    </w:p>
    <w:p>
      <w:pPr>
        <w:spacing w:after="0" w:line="14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2025 compared to contracts renewed during the corresponding quarter of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72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7520" w:type="dxa"/>
            <w:vAlign w:val="bottom"/>
          </w:tcPr>
          <w:p>
            <w:pPr>
              <w:spacing w:after="0"/>
              <w:rPr>
                <w:sz w:val="12"/>
                <w:szCs w:val="12"/>
                <w:color w:val="auto"/>
              </w:rPr>
            </w:pPr>
          </w:p>
        </w:tc>
        <w:tc>
          <w:tcPr>
            <w:tcW w:w="16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2"/>
                <w:szCs w:val="12"/>
                <w:color w:val="auto"/>
              </w:rPr>
            </w:pPr>
          </w:p>
        </w:tc>
        <w:tc>
          <w:tcPr>
            <w:tcW w:w="184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market:</w:t>
            </w:r>
          </w:p>
        </w:tc>
        <w:tc>
          <w:tcPr>
            <w:tcW w:w="16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increase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w:t>
            </w:r>
          </w:p>
        </w:tc>
        <w:tc>
          <w:tcPr>
            <w:tcW w:w="2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 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Spot increase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 8%</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Coastal market (a):</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increase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 26%</w:t>
            </w:r>
          </w:p>
        </w:tc>
      </w:tr>
    </w:tbl>
    <w:p>
      <w:pPr>
        <w:spacing w:after="0" w:line="157" w:lineRule="exact"/>
        <w:rPr>
          <w:sz w:val="20"/>
          <w:szCs w:val="20"/>
          <w:color w:val="auto"/>
        </w:rPr>
      </w:pPr>
    </w:p>
    <w:p>
      <w:pPr>
        <w:ind w:left="940" w:hanging="370"/>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contract pricing in the coastal market is contingent on various factors including geographic location, vessel capacity, vessel type, and product serviced.</w:t>
      </w:r>
    </w:p>
    <w:p>
      <w:pPr>
        <w:spacing w:after="0" w:line="135"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2025, annual escalators for labor and the producer price index on a number of inland multi-year contracts resulted in rate increases on those contracts in the 3% to 5% range, excluding fuel.</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02"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Costs and expenses for both the 2025 second quarter and first six months were flat compared to the 2024 second quarter and first six months. Costs of sales and operating expenses for the 2025 second quarter and first six months were flat and decreased 2%, respectively, compared with the 2024 second quarter and first six months. The results for the 2025 second quarter and first six months were driven by lower fuel costs, offset by inflationary cost pressures including wage increases that went into effect in 2024.</w:t>
      </w:r>
    </w:p>
    <w:p>
      <w:pPr>
        <w:spacing w:after="0" w:line="13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290 towboats during the 2025 second quarter, of which an average of 75 were chartered, compared to 287 during the 2024 second quarter, of which an average of 74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4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During the 2025 second quarter, inland operations consumed 12.8 million gallons of diesel fuel compared to 12.1 million gallons consumed during the 2024 second quarter. The average price per gallon of diesel fuel consumed during the 2025 second quarter was $2.35 per gallon compared with $2.83 per gallon for the 2024 second quarter. During the 2025 first six months, inland operations consumed 24.5 million gallons of diesel fuel compared to 24.0 million gallons consumed during the 2024 first six months. The average price per gallon of diesel fuel consumed during the 2025 first six months was $2.45 per gallon compared with $2.83 per gallon for the 2024 first six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6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2025 second quarter and first six months increased 3% and 6%, respectively, compared to the 2024 second quarter and first six months. The increase in selling, general and administrative expenses for the 2025 second quarter and first six months as compared to the 2024 second quarter and first six months was primarily due to salary and wage increases that went into effect on July 1, 2024 and continued inflationary cost pressures. The 2025 first six months was also impacted by an increase in the provision for credit losses related to a certain customer during the 2025 first quarter.</w:t>
      </w:r>
    </w:p>
    <w:p>
      <w:pPr>
        <w:spacing w:after="0" w:line="143"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both the 2025 second quarter and first six months increased 8% compared to the 2024 second quarter and first six months. The increase was primarily due to capital additions during 2024 and the first six months of 2025, as well as equipment acquisitions.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202"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KMT operating income for both the 2025 second quarter and first six months increased 4% compared with the 2024 second quarter and first six months. The 2025 second quarter operating margin was 20.1% compared with 19.6% for the 2024 second quarter. The 2025 first six months operating margin was 19.2% compared with 18.5% for the 2024 first six months. The increases in operating income and operating margin were primarily due to higher term and spot contract pricing in the inland and coastal markets.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362,893</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672,403</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503,145</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1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r>
      <w:tr>
        <w:trPr>
          <w:trHeight w:val="216"/>
        </w:trPr>
        <w:tc>
          <w:tcPr>
            <w:tcW w:w="2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327,458</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620,742</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58,026</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-1310640</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-1310640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-1310640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-1310640</wp:posOffset>
            </wp:positionV>
            <wp:extent cx="1117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-479425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-479425</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-479425</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-479425</wp:posOffset>
            </wp:positionV>
            <wp:extent cx="1117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-187960</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-170815</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-187960</wp:posOffset>
            </wp:positionV>
            <wp:extent cx="1111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1111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1111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1117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1117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Second Quarter</w:t>
            </w:r>
          </w:p>
        </w:tc>
        <w:tc>
          <w:tcPr>
            <w:tcW w:w="1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Six Months</w:t>
            </w:r>
          </w:p>
        </w:tc>
        <w:tc>
          <w:tcPr>
            <w:tcW w:w="1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472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73"/>
        </w:trPr>
        <w:tc>
          <w:tcPr>
            <w:tcW w:w="3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5"/>
                <w:szCs w:val="15"/>
                <w:color w:val="auto"/>
              </w:rPr>
            </w:pPr>
          </w:p>
        </w:tc>
        <w:tc>
          <w:tcPr>
            <w:tcW w:w="4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Commercial and Industrial</w:t>
            </w:r>
          </w:p>
        </w:tc>
        <w:tc>
          <w:tcPr>
            <w:tcW w:w="1680" w:type="dxa"/>
            <w:vAlign w:val="bottom"/>
            <w:gridSpan w:val="2"/>
            <w:shd w:val="clear" w:color="auto" w:fill="CFF0FC"/>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48%</w:t>
            </w:r>
          </w:p>
        </w:tc>
        <w:tc>
          <w:tcPr>
            <w:tcW w:w="1680" w:type="dxa"/>
            <w:vAlign w:val="bottom"/>
            <w:gridSpan w:val="2"/>
            <w:shd w:val="clear" w:color="auto" w:fill="CFF0FC"/>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6"/>
              </w:rPr>
              <w:t>50%</w:t>
            </w:r>
          </w:p>
        </w:tc>
        <w:tc>
          <w:tcPr>
            <w:tcW w:w="488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Inland River Carriers — Dry and Liquid, Offshore Towing —</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Dry and Liquid, Offshore Oilfield Services — Drilling Rigs &amp;</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Supply Boats, Harbor Towing, Dredging, Great Lakes Ore</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Carriers, Pleasure Crafts, On and Off-Highway Transportation,</w:t>
            </w: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Pumping Stations, Mining</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Power Generation</w:t>
            </w:r>
          </w:p>
        </w:tc>
        <w:tc>
          <w:tcPr>
            <w:tcW w:w="168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168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6"/>
              </w:rPr>
              <w:t>36%</w:t>
            </w:r>
          </w:p>
        </w:tc>
        <w:tc>
          <w:tcPr>
            <w:tcW w:w="4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Power Generation &amp; Standby Power Generation Equipment,</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Power Generation Rentals &amp; Related Service, Data Centers</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 and Gas</w:t>
            </w:r>
          </w:p>
        </w:tc>
        <w:tc>
          <w:tcPr>
            <w:tcW w:w="16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14%</w:t>
            </w: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KDS revenues for the 2025 second quarter increased 7% compared with the 2024 second quarter. KDS revenues for the 2025 first six months were flat compared with the 2024 first six months. KDS operating income for the 2025 second quarter and first six months increased 20% and 13%, respectively, compared with the 2024 second quarter and first six months.</w:t>
      </w:r>
    </w:p>
    <w:p>
      <w:pPr>
        <w:spacing w:after="0" w:line="135"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In the commercial and industrial market, revenues and operating income increased compared to the 2024 second quarter and first six months due to higher business levels in marine repair. In the power generation market, revenues increased compared to the 2024 second quarter and first six months due to increased demand for backup and critical power applications, while operating income decreased due to sales mix. In the oil and gas market, revenues decreased compared to the 2024 second quarter and first six months, impacted by lower levels of conventional oilfield activity which resulted in decreased demand for new transmissions and parts, partially offset by deliveries of electric fracturing equipment. Operating income in the oil and gas market increased compared to the 2024 second quarter and first six months due to product mix and ongoing cost management initiatives.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20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Costs and expenses for the 2025 second quarter and first six months increased 6% and decreased 1%, respectively, compared with the 2024 second quarter and first six months. Costs of sales and operating expenses for the 2025 second quarter and first six months increased 4% and decreased 3%, respectively, compared with the 2024 second quarter and first six months. The increase for the 2025 second quarter reflected higher deliveries of power generation equipment, while the decrease for the 2025 first six months reflected lower on-highway and conventional oilfield activity as well as fewer power generation equipment shipments in the 2025 first quarter due to supply delays.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3" w:name="page24"/>
    <w:bookmarkEnd w:id="23"/>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2025 second quarter and first six months increased 9% and 5% compared to the 2024 second quarter and first six months, reflecting salary and wage increases that went into effect July 1, 2024 and higher business activity levels.</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2025 second quarter and first six months increased 24% and 28%, respectively, compared to the 2024 second quarter and first six months. The increase was primarily due to capital additions during 2024 and the first six months of 2025 including additions to the equipment rental fleet.</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18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KDS operating income for the 2025 second quarter and first six months increased 20% and 13%, respectively, compared with the 2024 second quarter and first six months. The 2025 second quarter operating margin was 9.8% compared to 8.7% for the 2024 second quarter. The 2025 first six months operating margin was 8.6% compared to 7.7% for the 2024 first six months. The results reflect increased marine repair activity and deliveries of electric fracturing equipment, partially offset by lower conventional oilfield activity.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$1.7 million and $0.5 million for the 2025 and 2024 second quarters, respectively. The Company reported a net gain on disposition of assets of $1.8 million and $0.6 million for the 2025 and 2024 first six months, respectively. The net gains were primarily from sales of marine transportation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gridSpan w:val="8"/>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28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(12,730)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(12,819)</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(23,267)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(25,970)</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Other income for the 2025 and 2024 second quarters includes income of $4.3 million and $2.7 million, respectively, and the 2025 and 2024 first six months includes income of $9.1 million and $5.1 million, respectively, for all components of net benefit costs except the service cost component related to the Company’s defined benefit plans.</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1,147,306</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1,062,620</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1,048,395</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1,063,768</w:t>
            </w:r>
          </w:p>
        </w:tc>
        <w:tc>
          <w:tcPr>
            <w:tcW w:w="180" w:type="dxa"/>
            <w:vAlign w:val="bottom"/>
            <w:shd w:val="clear" w:color="auto" w:fill="CFF0FC"/>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Interest expense for the 2025 second quarter and first six months decreased 1% and 10%, respectively, compared with the 2024 second quarter and first six months, primarily due to a lower average interest rate in the 2025 second quarter and first six months. Interest expense excludes capitalized interest for the 2025 first six months of $0.5 million. There was no capitalized interest excluded from interest expense during the 2024 first six months.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1,185,033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1,068,559</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4,135,050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4,022,966</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158,990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438,748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438,748</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 net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34,406</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6,079,965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5,851,952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7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679,457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734,753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1,111,332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866,722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747,060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739,472</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148,170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10,121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9,587</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w:t>
            </w:r>
          </w:p>
        </w:tc>
        <w:tc>
          <w:tcPr>
            <w:tcW w:w="1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6,079,965</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5,851,952</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-1439545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-1439545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Current assets as of June 30, 2025 increased 11% compared with December 31, 2024. Trade accounts receivable increased 15% primarily due to higher business activity levels in both KMT and KDS. Inventories – net increased 8% primarily due to the impact of higher business activity levels and supply delays in KDS resulting in the buildup of inventory for mainly power generation projects that are scheduled to be delivered later in 2025 and into 2026.</w:t>
      </w:r>
    </w:p>
    <w:p>
      <w:pPr>
        <w:spacing w:after="0" w:line="153"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Property and equipment, net of accumulated depreciation, at June 30, 2025 increased 3% compared with December 31, 2024. The increase reflected $150.6 million of capital additions (including an increase in accrued capital expenditures of $0.4 million) and a $97.3 million equipment acquisition in the 2025 first quarter, partially offset by $125.1 million of depreciation expense and $10.7 million of property disposals more fully described under Cash Flow and Capital Expenditures below.</w:t>
      </w:r>
    </w:p>
    <w:p>
      <w:pPr>
        <w:spacing w:after="0" w:line="13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as of June 30, 2025 decreased 1% compared with December 31, 2024, primarily due to lease amortization expense, partially offset by new leases acquired in the 2025 first six months.</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Other intangibles, net, as of June 30, 2025 decreased 4% compared with December 31, 2024, due to amortization during the 2025 first six months partially offset by a $3.0 million intellectual property intangible asset acquired in the 2025 second quarter.</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Other assets as of June 30, 2025 increased 2% compared with December 31, 2024, primarily due to additional deferred major maintenance drydock expenditures incurred during the 2025 first six months, partially offset by amortization of drydock expenditures.</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Current liabilities as of June 30, 2025 decreased 8% compared with December 31, 2024. Income taxes payable decreased 97% primarily due to timing of federal income tax payments. Accrued liabilities decreased 14% primarily from payment during the 2025 first six months of employee incentive compensation accrued during 2024.</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Long-term debt, net – less current portion, as of June 30, 2025 increased 28% compared with December 31, 2024, primarily reflecting increased borrowings under the 2027 Revolving Credit Facility.</w:t>
      </w:r>
    </w:p>
    <w:p>
      <w:pPr>
        <w:spacing w:after="0" w:line="13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Total equity as of June 30, 2025 increased 1% compared with December 31, 2024. The increase was primarily due to net earnings attributable to Kirby of $170.3 million, amortization of share-based compensation of $11.1 million, and stock option exercises of $0.3 million, partially offset by treasury stock purchases of $132.7 million and tax withholdings of $6.0 million on RSU vestings.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240,000</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2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Pr>
          <w:p>
            <w:pPr>
              <w:spacing w:after="0"/>
              <w:rPr>
                <w:sz w:val="18"/>
                <w:szCs w:val="18"/>
                <w:color w:val="auto"/>
              </w:rPr>
            </w:pPr>
          </w:p>
        </w:tc>
      </w:tr>
      <w:tr>
        <w:trPr>
          <w:trHeight w:val="209"/>
        </w:trPr>
        <w:tc>
          <w:tcPr>
            <w:tcW w:w="588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1,121,433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878,226</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r>
      <w:tr>
        <w:trPr>
          <w:trHeight w:val="20"/>
        </w:trPr>
        <w:tc>
          <w:tcPr>
            <w:tcW w:w="5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80" w:type="dxa"/>
            <w:vAlign w:val="bottom"/>
            <w:shd w:val="clear" w:color="auto" w:fill="CFF0FC"/>
          </w:tcPr>
          <w:p>
            <w:pPr>
              <w:spacing w:after="0"/>
              <w:rPr>
                <w:sz w:val="19"/>
                <w:szCs w:val="19"/>
                <w:color w:val="auto"/>
              </w:rPr>
            </w:pPr>
          </w:p>
        </w:tc>
        <w:tc>
          <w:tcPr>
            <w:tcW w:w="2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1,117,765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874,948</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ind w:left="940" w:hanging="370"/>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of 5.6% at June 30, 2025 and December 31, 2024.</w:t>
      </w:r>
    </w:p>
    <w:p>
      <w:pPr>
        <w:spacing w:after="0" w:line="16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$255.0 million as of June 30, 2025.</w:t>
      </w:r>
    </w:p>
    <w:p>
      <w:pPr>
        <w:spacing w:after="0" w:line="16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has a $15 million Credit Line with Bank of America for short-term liquidity needs and letters of credit, with a maturity date of June 30, 2026. Outstanding letters of credit under the Credit Line were $6.8 million and available borrowing capacity was $8.2 million as of June 30, 2025.</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As of June 30, 2025,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9"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2025 first six months with net cash provided by operating activities of $130.5 million compared with $302.6 million for the 2024 first six months, a 57% decrease. The decline in operating cash flows was mainly due to the timing of accounts receivable collections, accounts payable payments and federal income tax payments, as well as an increase in inventories in 2025, partially offset by increased net earnings. The increase in inventories was due to the impact of higher business activity levels and supply delays in KDS resulting in the buildup of inventory for projects, mainly due to power generation orders, which are scheduled to be delivered later in 2025 and into 2026. The increase in net earnings was driven by higher term and spot contract pricing in KMT and improved KDS business activity levels in the commercial and industrial market. During the 2025 and 2024 first six months, the Company generated cash of $11.6 million and $9.1 million, respectively, from proceeds from the disposition of assets, and $0.3 million and $4.1 million, respectively, from proceeds from the exercise of stock options.</w:t>
      </w:r>
    </w:p>
    <w:p>
      <w:pPr>
        <w:spacing w:after="0" w:line="15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the 2025 first six months, cash generated was used for capital expenditures of $150.2 million, including $130.1 million associated with marine maintenance capital and improvements to existing inland and coastal marine equipment and facility improvements, as well as $20.1 million for growth spending in both segments. The growth spending is related to inland equipment construction and equipment for use in a variety of KDS markets including electric fracturing equipment, generators, and other related equipment. In addition, the Company used cash of $97.3 million for an equipment acquisition in the 2025 first six months.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During the 2025 first six months, the Company purchased 1.3 million shares of its common stock for $132.7 million, at an average price of $99.41 per share. Subsequent to June 30, 2025 and through August 8, 2025, the Company purchased an additional 0.2 million shares of its common stock for $24.5 million, at an average price of $99.78 per share. As of August 8, 2025, the Company had approximately 1.3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2025 second quarter, see Part II, 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flows provided by operating activities, as of August 8, 2025 the Company also had cash and cash equivalents of $41 million, availability of $360 million under its 2027 Revolving Credit Facility, and $8.2 million available under its Credit Line.</w:t>
      </w:r>
    </w:p>
    <w:p>
      <w:pPr>
        <w:spacing w:after="0" w:line="153"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purchases, repayment of borrowings, and for other operating requirements from a combination of available cash and cash equivalents, funds generated from operating activities, and available financing arrangements.</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$500 million 4.2% senior unsecured notes do not mature until March 1, 2028 and require no prepayments. The 2033 Notes do not mature until January 19, 2033 and require no prepayments. The 2027 Term Loan is subject to quarterly installments, beginning March 31, 2027,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6"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2025.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2024.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2024.</w:t>
      </w:r>
    </w:p>
    <w:p>
      <w:pPr>
        <w:spacing w:after="0" w:line="14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$27.4 million at June 30, 2025, including $11.6 million in letters of credit and $15.8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3"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To the extent possible, the Company also seeks to include contractual language to address recovery of increased costs related to tariffs in KDS. The repair portion of KDS is based on prevailing current market rates.</w:t>
      </w:r>
    </w:p>
    <w:p>
      <w:pPr>
        <w:spacing w:after="0" w:line="1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the Company’s Annual Report on Form 10-K. The Company’s exposure to market risk has not changed materially since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June 30, 2025, as required by Rule 13a-15(b) under the Exchange Act. Based on that evaluation, the Chief Executive Officer and the Chief Financial Officer concluded that, as of June 30, 2025,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June 30, 2025 that have materially affected, or are reasonably likely to materially affect, the Company’s internal control over financial reporting.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Part I, Item 1A of the Company’s Annual Report on Form 10-K for the year ended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April 30, 2025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255,270</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91.18</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2025</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76,630</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103.41</w:t>
            </w: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June 30,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331,900</w:t>
            </w:r>
          </w:p>
        </w:tc>
        <w:tc>
          <w:tcPr>
            <w:tcW w:w="140" w:type="dxa"/>
            <w:vAlign w:val="bottom"/>
          </w:tcPr>
          <w:p>
            <w:pPr>
              <w:spacing w:after="0"/>
              <w:rPr>
                <w:sz w:val="18"/>
                <w:szCs w:val="18"/>
                <w:color w:val="auto"/>
              </w:rPr>
            </w:pP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94.01</w:t>
            </w: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Purchases of the Company’s common stock during the 2025 second quarter were made in the open market pursuant to a discretionary authorization by the Board of Directors. For more information about stock purchases in the 2025 first six months and other information responsive to this Item, see “Treasury Stock Purchases” in Financial Condition, Capital Resources and Liquidity included in Part I, Item 2. Management’s Discussion and Analysis of Financial Condition and Results of Operations.</w:t>
      </w:r>
    </w:p>
    <w:p>
      <w:pPr>
        <w:spacing w:after="0" w:line="1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There were no “Rule 10b5-1 trading arrangements” or “non-Rule 10b5-1 trading arrangements” (as defined in Item 408 of Regulation S-K of the Exchange Act) adopted, modified or terminated during the 2025 second quarter by the Company’s directors and Section 16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6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4"/>
        </w:trPr>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169"/>
        </w:trPr>
        <w:tc>
          <w:tcPr>
            <w:tcW w:w="8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4"/>
                <w:szCs w:val="14"/>
                <w:color w:val="auto"/>
              </w:rPr>
            </w:pPr>
          </w:p>
        </w:tc>
        <w:tc>
          <w:tcPr>
            <w:tcW w:w="10220" w:type="dxa"/>
            <w:vAlign w:val="bottom"/>
            <w:gridSpan w:val="16"/>
            <w:shd w:val="clear" w:color="auto" w:fill="CFF0FC"/>
          </w:tcPr>
          <w:p>
            <w:pPr>
              <w:ind w:left="1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51">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96"/>
        </w:trPr>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200" w:type="dxa"/>
            <w:vAlign w:val="bottom"/>
            <w:tcBorders>
              <w:top w:val="single" w:sz="8" w:color="0000FF"/>
            </w:tcBorders>
            <w:gridSpan w:val="12"/>
            <w:shd w:val="clear" w:color="auto" w:fill="CFF0FC"/>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Registrant’s Annual Report on Form 10-K for the year ended December 31, 2014).</w:t>
              </w:r>
            </w:hyperlink>
          </w:p>
        </w:tc>
        <w:tc>
          <w:tcPr>
            <w:tcW w:w="680" w:type="dxa"/>
            <w:vAlign w:val="bottom"/>
            <w:tcBorders>
              <w:top w:val="single" w:sz="8" w:color="CFF0FC"/>
            </w:tcBorders>
            <w:gridSpan w:val="3"/>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10220" w:type="dxa"/>
            <w:vAlign w:val="bottom"/>
            <w:gridSpan w:val="16"/>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52">
              <w:r>
                <w:rPr>
                  <w:rFonts w:ascii="Times New Roman" w:cs="Times New Roman" w:eastAsia="Times New Roman" w:hAnsi="Times New Roman"/>
                  <w:sz w:val="18"/>
                  <w:szCs w:val="18"/>
                  <w:color w:val="0000FF"/>
                </w:rPr>
                <w:t>Bylaws of the Company, as amended to April 25, 2024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Form 8-K filed with the Commission on October 28, 2022).</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5"/>
                <w:szCs w:val="15"/>
                <w:color w:val="auto"/>
              </w:rPr>
            </w:pPr>
          </w:p>
        </w:tc>
        <w:tc>
          <w:tcPr>
            <w:tcW w:w="10220" w:type="dxa"/>
            <w:vAlign w:val="bottom"/>
            <w:gridSpan w:val="16"/>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53">
              <w:r>
                <w:rPr>
                  <w:rFonts w:ascii="Times New Roman" w:cs="Times New Roman" w:eastAsia="Times New Roman" w:hAnsi="Times New Roman"/>
                  <w:sz w:val="18"/>
                  <w:szCs w:val="18"/>
                  <w:color w:val="0000FF"/>
                </w:rPr>
                <w:t>Amendment to Bylaws of Kirby Corporation dated April 26, 2024 (incorporated by reference to Exhibit 3.2 to the Registrant’s Current</w:t>
              </w:r>
            </w:hyperlink>
          </w:p>
        </w:tc>
        <w:tc>
          <w:tcPr>
            <w:tcW w:w="0" w:type="dxa"/>
            <w:vAlign w:val="bottom"/>
          </w:tcPr>
          <w:p>
            <w:pPr>
              <w:spacing w:after="0"/>
              <w:rPr>
                <w:sz w:val="1"/>
                <w:szCs w:val="1"/>
                <w:color w:val="auto"/>
              </w:rPr>
            </w:pPr>
          </w:p>
        </w:tc>
      </w:tr>
      <w:tr>
        <w:trPr>
          <w:trHeight w:val="196"/>
        </w:trPr>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760" w:type="dxa"/>
            <w:vAlign w:val="bottom"/>
            <w:tcBorders>
              <w:top w:val="single" w:sz="8" w:color="0000FF"/>
            </w:tcBorders>
            <w:gridSpan w:val="14"/>
            <w:shd w:val="clear" w:color="auto" w:fill="CFF0FC"/>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Report on Form 8-K filed with the Commission on April 26, 2024).</w:t>
              </w:r>
            </w:hyperlink>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10220" w:type="dxa"/>
            <w:vAlign w:val="bottom"/>
            <w:gridSpan w:val="16"/>
          </w:tcPr>
          <w:p>
            <w:pPr>
              <w:ind w:left="120"/>
              <w:spacing w:after="0" w:line="198" w:lineRule="exact"/>
              <w:rPr>
                <w:sz w:val="20"/>
                <w:szCs w:val="20"/>
                <w:color w:val="auto"/>
              </w:rPr>
            </w:pPr>
            <w:r>
              <w:rPr>
                <w:rFonts w:ascii="Times New Roman" w:cs="Times New Roman" w:eastAsia="Times New Roman" w:hAnsi="Times New Roman"/>
                <w:sz w:val="18"/>
                <w:szCs w:val="18"/>
                <w:color w:val="auto"/>
              </w:rPr>
              <w:t>–  See Exhibits 3.1, 3.2 and 3.3 hereof for provisions of the Restated Articles of Incorporation of the Company with all amendments to date</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Bylaws of the Company with all amendments to date (incorporated, respectively, by reference to Exhibit </w:t>
            </w:r>
            <w:hyperlink r:id="rId351">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Exhibit </w:t>
            </w:r>
            <w:hyperlink r:id="rId352">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Commission on October 28, 2022, and Exhibit </w:t>
            </w:r>
            <w:hyperlink r:id="rId353">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 with the Commission</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April 26, 2024).</w:t>
            </w:r>
          </w:p>
        </w:tc>
        <w:tc>
          <w:tcPr>
            <w:tcW w:w="220" w:type="dxa"/>
            <w:vAlign w:val="bottom"/>
            <w:tcBorders>
              <w:top w:val="single" w:sz="8" w:color="0000FF"/>
            </w:tcBorders>
          </w:tcPr>
          <w:p>
            <w:pPr>
              <w:spacing w:after="0"/>
              <w:rPr>
                <w:sz w:val="20"/>
                <w:szCs w:val="20"/>
                <w:color w:val="auto"/>
              </w:rPr>
            </w:pPr>
          </w:p>
        </w:tc>
        <w:tc>
          <w:tcPr>
            <w:tcW w:w="56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5"/>
                <w:szCs w:val="15"/>
                <w:color w:val="auto"/>
              </w:rPr>
            </w:pPr>
          </w:p>
        </w:tc>
        <w:tc>
          <w:tcPr>
            <w:tcW w:w="10220" w:type="dxa"/>
            <w:vAlign w:val="bottom"/>
            <w:gridSpan w:val="16"/>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5"/>
                <w:szCs w:val="15"/>
                <w:color w:val="auto"/>
              </w:rPr>
            </w:pPr>
          </w:p>
        </w:tc>
        <w:tc>
          <w:tcPr>
            <w:tcW w:w="10220" w:type="dxa"/>
            <w:vAlign w:val="bottom"/>
            <w:gridSpan w:val="16"/>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5"/>
                <w:szCs w:val="15"/>
                <w:color w:val="auto"/>
              </w:rPr>
            </w:pPr>
          </w:p>
        </w:tc>
        <w:tc>
          <w:tcPr>
            <w:tcW w:w="10220" w:type="dxa"/>
            <w:vAlign w:val="bottom"/>
            <w:gridSpan w:val="16"/>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10220" w:type="dxa"/>
            <w:vAlign w:val="bottom"/>
            <w:gridSpan w:val="16"/>
          </w:tcPr>
          <w:p>
            <w:pPr>
              <w:ind w:left="120"/>
              <w:spacing w:after="0" w:line="198"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FF0FC"/>
          </w:tcPr>
          <w:p>
            <w:pPr>
              <w:spacing w:after="0"/>
              <w:rPr>
                <w:sz w:val="18"/>
                <w:szCs w:val="18"/>
                <w:color w:val="auto"/>
              </w:rPr>
            </w:pPr>
          </w:p>
        </w:tc>
        <w:tc>
          <w:tcPr>
            <w:tcW w:w="10220" w:type="dxa"/>
            <w:vAlign w:val="bottom"/>
            <w:gridSpan w:val="16"/>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With Embedded Linkbase Documents</w:t>
            </w: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16"/>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Raj Kumar</w:t>
            </w:r>
          </w:p>
        </w:tc>
      </w:tr>
      <w:tr>
        <w:trPr>
          <w:trHeight w:val="189"/>
        </w:trPr>
        <w:tc>
          <w:tcPr>
            <w:tcW w:w="56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Raj Kumar</w:t>
            </w:r>
          </w:p>
        </w:tc>
      </w:tr>
      <w:tr>
        <w:trPr>
          <w:trHeight w:val="216"/>
        </w:trPr>
        <w:tc>
          <w:tcPr>
            <w:tcW w:w="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ind w:left="380"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2025 by Kirby Corporation, David W. Grzebinski certifies that:</w:t>
      </w:r>
    </w:p>
    <w:p>
      <w:pPr>
        <w:spacing w:after="0" w:line="54"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7" w:lineRule="exact"/>
        <w:rPr>
          <w:sz w:val="20"/>
          <w:szCs w:val="20"/>
          <w:color w:val="auto"/>
        </w:rPr>
      </w:pPr>
    </w:p>
    <w:p>
      <w:pPr>
        <w:ind w:left="380" w:right="30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2025 by Kirby Corporation, Raj Kumar certifies that:</w:t>
      </w:r>
    </w:p>
    <w:p>
      <w:pPr>
        <w:spacing w:after="0" w:line="54"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07"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2025 (the “Report”) by Kirby Corporation (the “Company”), each of the undersigned hereby certifies that:</w:t>
      </w:r>
    </w:p>
    <w:p>
      <w:pPr>
        <w:spacing w:after="0" w:line="54"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13"/>
    </w:lvl>
    <w:lvl w:ilvl="1">
      <w:lvlJc w:val="left"/>
      <w:lvlText w:val="%2"/>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51" Type="http://schemas.openxmlformats.org/officeDocument/2006/relationships/hyperlink" Target="https://www.sec.gov/Archives/edgar/data/56047/000114036115008395/ex3_1.htm" TargetMode="External"/><Relationship Id="rId352" Type="http://schemas.openxmlformats.org/officeDocument/2006/relationships/hyperlink" Target="https://www.sec.gov/Archives/edgar/data/56047/000095017022020426/kex-ex3_1.htm" TargetMode="External"/><Relationship Id="rId353" Type="http://schemas.openxmlformats.org/officeDocument/2006/relationships/hyperlink" Target="https://www.sec.gov/Archives/edgar/data/0000056047/000095017024049254/kex-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2025-08-11T11:55:00Z</dcterms:created>
  <dcterms:modified xsi:type="dcterms:W3CDTF">2025-08-11T11:55:00Z</dcterms:modified>
</cp:coreProperties>
</file>