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45"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4"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70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Nevada</w:t>
            </w:r>
          </w:p>
        </w:tc>
        <w:tc>
          <w:tcPr>
            <w:tcW w:w="366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74-1884980</w:t>
            </w:r>
          </w:p>
        </w:tc>
      </w:tr>
      <w:tr>
        <w:trPr>
          <w:trHeight w:val="234"/>
        </w:trPr>
        <w:tc>
          <w:tcPr>
            <w:tcW w:w="5700" w:type="dxa"/>
            <w:vAlign w:val="bottom"/>
          </w:tcPr>
          <w:p>
            <w:pPr>
              <w:jc w:val="center"/>
              <w:ind w:right="9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660" w:type="dxa"/>
            <w:vAlign w:val="bottom"/>
          </w:tcPr>
          <w:p>
            <w:pPr>
              <w:jc w:val="center"/>
              <w:ind w:left="95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570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55 Waugh Drive, Suite 1000</w:t>
            </w:r>
          </w:p>
        </w:tc>
        <w:tc>
          <w:tcPr>
            <w:tcW w:w="3660" w:type="dxa"/>
            <w:vAlign w:val="bottom"/>
          </w:tcPr>
          <w:p>
            <w:pPr>
              <w:spacing w:after="0"/>
              <w:rPr>
                <w:sz w:val="24"/>
                <w:szCs w:val="24"/>
                <w:color w:val="auto"/>
              </w:rPr>
            </w:pPr>
          </w:p>
        </w:tc>
      </w:tr>
      <w:tr>
        <w:trPr>
          <w:trHeight w:val="216"/>
        </w:trPr>
        <w:tc>
          <w:tcPr>
            <w:tcW w:w="5700" w:type="dxa"/>
            <w:vAlign w:val="bottom"/>
          </w:tcPr>
          <w:p>
            <w:pPr>
              <w:jc w:val="center"/>
              <w:ind w:right="930"/>
              <w:spacing w:after="0"/>
              <w:rPr>
                <w:sz w:val="20"/>
                <w:szCs w:val="20"/>
                <w:color w:val="auto"/>
              </w:rPr>
            </w:pPr>
            <w:r>
              <w:rPr>
                <w:rFonts w:ascii="Arial" w:cs="Arial" w:eastAsia="Arial" w:hAnsi="Arial"/>
                <w:sz w:val="18"/>
                <w:szCs w:val="18"/>
                <w:b w:val="1"/>
                <w:bCs w:val="1"/>
                <w:color w:val="auto"/>
                <w:w w:val="94"/>
              </w:rPr>
              <w:t>Houston, TX</w:t>
            </w:r>
          </w:p>
        </w:tc>
        <w:tc>
          <w:tcPr>
            <w:tcW w:w="3660" w:type="dxa"/>
            <w:vAlign w:val="bottom"/>
          </w:tcPr>
          <w:p>
            <w:pPr>
              <w:jc w:val="center"/>
              <w:ind w:left="930"/>
              <w:spacing w:after="0"/>
              <w:rPr>
                <w:sz w:val="20"/>
                <w:szCs w:val="20"/>
                <w:color w:val="auto"/>
              </w:rPr>
            </w:pPr>
            <w:r>
              <w:rPr>
                <w:rFonts w:ascii="Arial" w:cs="Arial" w:eastAsia="Arial" w:hAnsi="Arial"/>
                <w:sz w:val="18"/>
                <w:szCs w:val="18"/>
                <w:b w:val="1"/>
                <w:bCs w:val="1"/>
                <w:color w:val="auto"/>
                <w:w w:val="87"/>
              </w:rPr>
              <w:t>77007</w:t>
            </w:r>
          </w:p>
        </w:tc>
      </w:tr>
      <w:tr>
        <w:trPr>
          <w:trHeight w:val="234"/>
        </w:trPr>
        <w:tc>
          <w:tcPr>
            <w:tcW w:w="5700" w:type="dxa"/>
            <w:vAlign w:val="bottom"/>
          </w:tcPr>
          <w:p>
            <w:pPr>
              <w:jc w:val="center"/>
              <w:ind w:right="9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660" w:type="dxa"/>
            <w:vAlign w:val="bottom"/>
          </w:tcPr>
          <w:p>
            <w:pPr>
              <w:jc w:val="center"/>
              <w:ind w:left="93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3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1"/>
              </w:rPr>
              <w:t>Trading Symbol(s)</w:t>
            </w:r>
          </w:p>
        </w:tc>
        <w:tc>
          <w:tcPr>
            <w:tcW w:w="41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3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rPr>
              <w:t>KEX</w:t>
            </w:r>
          </w:p>
        </w:tc>
        <w:tc>
          <w:tcPr>
            <w:tcW w:w="41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5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98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52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498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216"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2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80" w:type="dxa"/>
            <w:vAlign w:val="bottom"/>
          </w:tcPr>
          <w:p>
            <w:pPr>
              <w:ind w:left="252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7"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As of August 5, 2020, 60,038,000 shares of the Registrant’s $0.10 par value per share common stock were outstanding.</w:t>
      </w:r>
    </w:p>
    <w:p>
      <w:pPr>
        <w:sectPr>
          <w:pgSz w:w="11900" w:h="16838" w:orient="portrait"/>
          <w:cols w:equalWidth="0" w:num="1">
            <w:col w:w="11240"/>
          </w:cols>
          <w:pgMar w:left="320" w:top="1062"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 less allowance for doubtful accounts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379,174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228,409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104,175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351,401</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57,023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58,092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1,078,314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5,611,184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5,324,090</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(1,635,159)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(1,546,980)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 –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3,976,025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3,777,110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159,641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657,832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953,826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73,556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210,682</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48,236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60,259</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6,017,011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6,079,097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notes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230,296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236,350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33,761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27,324</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16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36,648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42,982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478,696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 less current portion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1,642,832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1,369,751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568,816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588,204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 less current portion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139,457</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103,054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95,978</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2,486,331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2,193,390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Kirby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$0.10 par value per share. Authorized 120,000,000 shares, issued 65,472,000 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838,874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835,899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(41,117)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(37,799)</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2,543,700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2,865,939</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 at cost, 5,434,000 shares at June 30, 2020 and 5,513,000 at December 31, 2019</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(299,124)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(301,963)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Kirby stockholders’ equity</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3,048,880</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3,368,623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3,051,984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3,371,592</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6,017,011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6,079,097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700" w:type="dxa"/>
            <w:vAlign w:val="bottom"/>
            <w:gridSpan w:val="8"/>
          </w:tcPr>
          <w:p>
            <w:pPr>
              <w:jc w:val="center"/>
              <w:ind w:left="24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500" w:type="dxa"/>
            <w:vAlign w:val="bottom"/>
          </w:tcPr>
          <w:p>
            <w:pPr>
              <w:spacing w:after="0"/>
              <w:rPr>
                <w:sz w:val="24"/>
                <w:szCs w:val="24"/>
                <w:color w:val="auto"/>
              </w:rPr>
            </w:pPr>
          </w:p>
        </w:tc>
        <w:tc>
          <w:tcPr>
            <w:tcW w:w="410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8"/>
              </w:rPr>
              <w:t>CONDENSED STATEMENTS OF EARNINGS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60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w w:val="91"/>
              </w:rPr>
              <w:t>(Unaudited)</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4"/>
                <w:szCs w:val="24"/>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4"/>
              </w:rPr>
              <w:t>in</w:t>
            </w:r>
          </w:p>
        </w:tc>
        <w:tc>
          <w:tcPr>
            <w:tcW w:w="2940" w:type="dxa"/>
            <w:vAlign w:val="bottom"/>
            <w:gridSpan w:val="7"/>
          </w:tcPr>
          <w:p>
            <w:pPr>
              <w:spacing w:after="0"/>
              <w:rPr>
                <w:sz w:val="20"/>
                <w:szCs w:val="20"/>
                <w:color w:val="auto"/>
              </w:rPr>
            </w:pPr>
            <w:r>
              <w:rPr>
                <w:rFonts w:ascii="Arial" w:cs="Arial" w:eastAsia="Arial" w:hAnsi="Arial"/>
                <w:sz w:val="18"/>
                <w:szCs w:val="18"/>
                <w:b w:val="1"/>
                <w:bCs w:val="1"/>
                <w:color w:val="auto"/>
                <w:w w:val="88"/>
              </w:rPr>
              <w:t>thousands, except per share amounts)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380,987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404,286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784,244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772,407</w:t>
            </w: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160,172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366,756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400,841</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743,256</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541,159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771,042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7"/>
              </w:rPr>
              <w:t>1,185,085</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1,515,663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Costs of sales and operating expenses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373,539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563,495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827,107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1,100,150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137,692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141,946</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Taxes, other than on income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10,579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24,471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20,577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110,288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110,316</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Impairments and other charges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561,274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on disposition of assets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506,907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695,199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1,660,529</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1,367,714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75,843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(475,444)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147,949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Interest expense</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(12,708)</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(15,515)</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(25,507)</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(28,716)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40"/>
              <w:spacing w:after="0"/>
              <w:rPr>
                <w:sz w:val="20"/>
                <w:szCs w:val="20"/>
                <w:color w:val="auto"/>
              </w:rPr>
            </w:pPr>
            <w:r>
              <w:rPr>
                <w:rFonts w:ascii="Arial" w:cs="Arial" w:eastAsia="Arial" w:hAnsi="Arial"/>
                <w:sz w:val="18"/>
                <w:szCs w:val="18"/>
                <w:color w:val="auto"/>
              </w:rPr>
              <w:t>Earnings (loss) before taxes on income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62,709</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(495,938)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121,046</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taxes on income</w:t>
            </w:r>
          </w:p>
        </w:tc>
        <w:tc>
          <w:tcPr>
            <w:tcW w:w="2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(15,269)</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174,238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(29,149)</w:t>
            </w:r>
          </w:p>
        </w:tc>
        <w:tc>
          <w:tcPr>
            <w:tcW w:w="0" w:type="dxa"/>
            <w:vAlign w:val="bottom"/>
          </w:tcPr>
          <w:p>
            <w:pPr>
              <w:spacing w:after="0"/>
              <w:rPr>
                <w:sz w:val="1"/>
                <w:szCs w:val="1"/>
                <w:color w:val="auto"/>
              </w:rPr>
            </w:pPr>
          </w:p>
        </w:tc>
      </w:tr>
      <w:tr>
        <w:trPr>
          <w:trHeight w:val="216"/>
        </w:trPr>
        <w:tc>
          <w:tcPr>
            <w:tcW w:w="3500" w:type="dxa"/>
            <w:vAlign w:val="bottom"/>
            <w:tcBorders>
              <w:top w:val="single" w:sz="8" w:color="CCEEFF"/>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 (loss)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47,440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(321,700)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91,897</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120" w:type="dxa"/>
            <w:vAlign w:val="bottom"/>
          </w:tcPr>
          <w:p>
            <w:pPr>
              <w:spacing w:after="0"/>
              <w:rPr>
                <w:sz w:val="19"/>
                <w:szCs w:val="19"/>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340"/>
              <w:spacing w:after="0"/>
              <w:rPr>
                <w:sz w:val="20"/>
                <w:szCs w:val="20"/>
                <w:color w:val="auto"/>
              </w:rPr>
            </w:pPr>
            <w:r>
              <w:rPr>
                <w:rFonts w:ascii="Arial" w:cs="Arial" w:eastAsia="Arial" w:hAnsi="Arial"/>
                <w:sz w:val="18"/>
                <w:szCs w:val="18"/>
                <w:color w:val="auto"/>
              </w:rPr>
              <w:t>Net earnings (loss) attributable to Kirby</w:t>
            </w:r>
          </w:p>
        </w:tc>
        <w:tc>
          <w:tcPr>
            <w:tcW w:w="2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25,002</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47,287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(322,239)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91,583</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100" w:type="dxa"/>
            <w:vAlign w:val="bottom"/>
            <w:gridSpan w:val="3"/>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Arial" w:cs="Arial" w:eastAsia="Arial" w:hAnsi="Arial"/>
                <w:sz w:val="18"/>
                <w:szCs w:val="18"/>
                <w:color w:val="auto"/>
              </w:rPr>
              <w:t>Net earnings (loss) per share attributable to Kirby common stockholders: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256"/>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 in</w:t>
            </w:r>
          </w:p>
        </w:tc>
        <w:tc>
          <w:tcPr>
            <w:tcW w:w="1320" w:type="dxa"/>
            <w:vAlign w:val="bottom"/>
            <w:gridSpan w:val="3"/>
          </w:tcPr>
          <w:p>
            <w:pPr>
              <w:jc w:val="right"/>
              <w:ind w:right="550"/>
              <w:spacing w:after="0"/>
              <w:rPr>
                <w:sz w:val="20"/>
                <w:szCs w:val="20"/>
                <w:color w:val="auto"/>
              </w:rPr>
            </w:pPr>
            <w:r>
              <w:rPr>
                <w:rFonts w:ascii="Arial" w:cs="Arial" w:eastAsia="Arial" w:hAnsi="Arial"/>
                <w:sz w:val="17"/>
                <w:szCs w:val="17"/>
                <w:b w:val="1"/>
                <w:bCs w:val="1"/>
                <w:color w:val="auto"/>
                <w:w w:val="71"/>
              </w:rPr>
              <w:t>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47,440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(321,700)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91,897</w:t>
            </w:r>
          </w:p>
        </w:tc>
      </w:tr>
      <w:tr>
        <w:trPr>
          <w:trHeight w:val="216"/>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6,057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6,468</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76"/>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(923)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 net of taxes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 net of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53,444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98,441</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Net earnings attributable to noncontrolling interests</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9"/>
                <w:szCs w:val="19"/>
                <w:color w:val="auto"/>
              </w:rPr>
            </w:pPr>
          </w:p>
        </w:tc>
        <w:tc>
          <w:tcPr>
            <w:tcW w:w="1100" w:type="dxa"/>
            <w:vAlign w:val="bottom"/>
            <w:gridSpan w:val="2"/>
          </w:tcPr>
          <w:p>
            <w:pPr>
              <w:jc w:val="right"/>
              <w:ind w:right="76"/>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Comprehensive income (loss) attributable to Kirby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22,876</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53,291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(325,557)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98,127</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STATEMENTS OF CASH FLOWS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9"/>
              </w:rPr>
              <w:t>Six months ended June 30,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(321,700)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91,897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earnings (loss) to net cash provided by operations: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110,288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110,316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Provision (benefit) for deferred income taxes</w:t>
            </w:r>
          </w:p>
        </w:tc>
        <w:tc>
          <w:tcPr>
            <w:tcW w:w="1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(18,588)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Impairments and other charges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unearned share-based compensation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major maintenance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14,473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10,431</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 cash flows resulting from changes in operating assets and liabilities, net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(115,768)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(53,120)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242,144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188,197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(92,830)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(127,268)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Acquisitions of businesses and marine equipment</w:t>
            </w:r>
          </w:p>
        </w:tc>
        <w:tc>
          <w:tcPr>
            <w:tcW w:w="1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(342,247)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(252,840)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disposition of assets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(430,159)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(356,744)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(payments) on bank credit facilities,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(313,805)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Borrowings on long-term debt</w:t>
            </w:r>
          </w:p>
        </w:tc>
        <w:tc>
          <w:tcPr>
            <w:tcW w:w="14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debt issue costs</w:t>
            </w:r>
          </w:p>
        </w:tc>
        <w:tc>
          <w:tcPr>
            <w:tcW w:w="14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related to tax withholding for share-based compensation</w:t>
            </w:r>
          </w:p>
        </w:tc>
        <w:tc>
          <w:tcPr>
            <w:tcW w:w="14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(3,191)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271,749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183,268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in cash and cash equivalents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24,737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108,471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(received) during the period: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26,265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 (refunded)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(37,704)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Operating cash outflow from operating leases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21,323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19,786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investing activity: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Capital expenditures included in 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4,936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Right-of-use assets obtained in exchange for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38,754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96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19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2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Retained</w:t>
            </w:r>
          </w:p>
        </w:tc>
        <w:tc>
          <w:tcPr>
            <w:tcW w:w="1980" w:type="dxa"/>
            <w:vAlign w:val="bottom"/>
            <w:gridSpan w:val="5"/>
            <w:vMerge w:val="continue"/>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Noncontrolling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Income, 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Interests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77"/>
              </w:rPr>
              <w:t>(in thousands)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837,879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(38,991)</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$ 2,518,698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(301,424)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3,025,754</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stock for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w w:val="99"/>
              </w:rPr>
              <w:t>equity awards,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net of</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forfeitures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withholdings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 equity</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award vesting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Amortization of</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unearned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share-based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comprehensive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net of</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(2,126)</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Return of</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investment to</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noncontrolling</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20" w:type="dxa"/>
            <w:vAlign w:val="bottom"/>
          </w:tcPr>
          <w:p>
            <w:pPr>
              <w:ind w:left="140"/>
              <w:spacing w:after="0"/>
              <w:rPr>
                <w:sz w:val="20"/>
                <w:szCs w:val="20"/>
                <w:color w:val="auto"/>
              </w:rPr>
            </w:pPr>
            <w:r>
              <w:rPr>
                <w:rFonts w:ascii="Arial" w:cs="Arial" w:eastAsia="Arial" w:hAnsi="Arial"/>
                <w:sz w:val="18"/>
                <w:szCs w:val="18"/>
                <w:color w:val="auto"/>
              </w:rPr>
              <w:t>interests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June</w:t>
            </w: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30, 2020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838,874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(41,117)</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$ 2,543,700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(299,124)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3,051,984</w:t>
            </w:r>
          </w:p>
        </w:tc>
        <w:tc>
          <w:tcPr>
            <w:tcW w:w="0" w:type="dxa"/>
            <w:vAlign w:val="bottom"/>
          </w:tcPr>
          <w:p>
            <w:pPr>
              <w:spacing w:after="0"/>
              <w:rPr>
                <w:sz w:val="1"/>
                <w:szCs w:val="1"/>
                <w:color w:val="auto"/>
              </w:rPr>
            </w:pPr>
          </w:p>
        </w:tc>
      </w:tr>
      <w:tr>
        <w:trPr>
          <w:trHeight w:val="434"/>
        </w:trPr>
        <w:tc>
          <w:tcPr>
            <w:tcW w:w="13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96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Common Stock</w:t>
            </w: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19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Paid-in-</w:t>
            </w:r>
          </w:p>
        </w:tc>
        <w:tc>
          <w:tcPr>
            <w:tcW w:w="12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Retained</w:t>
            </w:r>
          </w:p>
        </w:tc>
        <w:tc>
          <w:tcPr>
            <w:tcW w:w="1980" w:type="dxa"/>
            <w:vAlign w:val="bottom"/>
            <w:gridSpan w:val="5"/>
            <w:vMerge w:val="continue"/>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Noncontrolling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Income, 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Interests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77"/>
              </w:rPr>
              <w:t>(in thousands)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31,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827,497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(32,971)</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$ 2,767,888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(306,625)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3,265,408</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Stock option</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exercises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for</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equity awards,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Tax</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withholdings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on equity</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award vesting</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3,007</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w w:val="95"/>
              </w:rPr>
              <w:t>comprehensive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income, net of</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taxes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6,004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47,287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53,444</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Return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to</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2"/>
        </w:trPr>
        <w:tc>
          <w:tcPr>
            <w:tcW w:w="1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 June</w:t>
            </w: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30, 2019</w:t>
            </w:r>
          </w:p>
        </w:tc>
        <w:tc>
          <w:tcPr>
            <w:tcW w:w="760" w:type="dxa"/>
            <w:vAlign w:val="bottom"/>
          </w:tcPr>
          <w:p>
            <w:pPr>
              <w:jc w:val="right"/>
              <w:spacing w:after="0"/>
              <w:rPr>
                <w:sz w:val="20"/>
                <w:szCs w:val="20"/>
                <w:color w:val="auto"/>
              </w:rPr>
            </w:pPr>
            <w:r>
              <w:rPr>
                <w:rFonts w:ascii="Arial" w:cs="Arial" w:eastAsia="Arial" w:hAnsi="Arial"/>
                <w:sz w:val="18"/>
                <w:szCs w:val="18"/>
                <w:color w:val="auto"/>
              </w:rPr>
              <w:t>65,472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6,547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829,460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(26,967)</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$ 2,815,175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(5,570)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(305,061)</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3,322,172</w:t>
            </w: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11240"/>
          </w:cols>
          <w:pgMar w:left="320" w:top="364" w:right="339" w:bottom="38" w:gutter="0" w:footer="0" w:header="0"/>
        </w:sectPr>
      </w:pPr>
    </w:p>
    <w:bookmarkStart w:id="7" w:name="page8"/>
    <w:bookmarkEnd w:id="7"/>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gridSpan w:val="6"/>
            <w:vMerge w:val="restart"/>
          </w:tcPr>
          <w:p>
            <w:pPr>
              <w:ind w:left="28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186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360" w:type="dxa"/>
            <w:vAlign w:val="bottom"/>
            <w:gridSpan w:val="6"/>
          </w:tcPr>
          <w:p>
            <w:pPr>
              <w:ind w:left="6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b w:val="1"/>
                <w:bCs w:val="1"/>
                <w:color w:val="auto"/>
              </w:rPr>
              <w:t>Retained</w:t>
            </w:r>
          </w:p>
        </w:tc>
        <w:tc>
          <w:tcPr>
            <w:tcW w:w="1980" w:type="dxa"/>
            <w:vAlign w:val="bottom"/>
            <w:gridSpan w:val="5"/>
            <w:vMerge w:val="continue"/>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Noncontrolling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Income, Net</w:t>
            </w:r>
          </w:p>
        </w:tc>
        <w:tc>
          <w:tcPr>
            <w:tcW w:w="1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8"/>
              </w:rPr>
              <w:t>Earnings</w:t>
            </w:r>
          </w:p>
        </w:tc>
        <w:tc>
          <w:tcPr>
            <w:tcW w:w="220" w:type="dxa"/>
            <w:vAlign w:val="bottom"/>
            <w:gridSpan w:val="2"/>
          </w:tcPr>
          <w:p>
            <w:pPr>
              <w:spacing w:after="0"/>
              <w:rPr>
                <w:sz w:val="19"/>
                <w:szCs w:val="19"/>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Interests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w w:val="76"/>
              </w:rPr>
              <w:t>(in thousands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6,547</w:t>
            </w:r>
          </w:p>
        </w:tc>
        <w:tc>
          <w:tcPr>
            <w:tcW w:w="8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835,899</w:t>
            </w:r>
          </w:p>
        </w:tc>
        <w:tc>
          <w:tcPr>
            <w:tcW w:w="120" w:type="dxa"/>
            <w:vAlign w:val="bottom"/>
            <w:shd w:val="clear" w:color="auto" w:fill="CCEEFF"/>
          </w:tcPr>
          <w:p>
            <w:pPr>
              <w:spacing w:after="0"/>
              <w:rPr>
                <w:sz w:val="20"/>
                <w:szCs w:val="20"/>
                <w:color w:val="auto"/>
              </w:rPr>
            </w:pPr>
          </w:p>
        </w:tc>
        <w:tc>
          <w:tcPr>
            <w:tcW w:w="1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(37,799)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$ 2,865,939</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(301,963)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3,371,592</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Stock option</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exercises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for</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equity awards,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(5,703)</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Tax</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withholdings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on equity</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award vesting</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8,652</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w w:val="95"/>
              </w:rPr>
              <w:t>comprehensive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loss, net of</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taxes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(3,318)</w:t>
            </w:r>
          </w:p>
        </w:tc>
        <w:tc>
          <w:tcPr>
            <w:tcW w:w="1180" w:type="dxa"/>
            <w:vAlign w:val="bottom"/>
            <w:gridSpan w:val="5"/>
          </w:tcPr>
          <w:p>
            <w:pPr>
              <w:jc w:val="right"/>
              <w:ind w:right="160"/>
              <w:spacing w:after="0"/>
              <w:rPr>
                <w:sz w:val="20"/>
                <w:szCs w:val="20"/>
                <w:color w:val="auto"/>
              </w:rPr>
            </w:pPr>
            <w:r>
              <w:rPr>
                <w:rFonts w:ascii="Arial" w:cs="Arial" w:eastAsia="Arial" w:hAnsi="Arial"/>
                <w:sz w:val="18"/>
                <w:szCs w:val="18"/>
                <w:color w:val="auto"/>
              </w:rPr>
              <w:t>(322,239)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(325,018)</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Return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to</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2"/>
        </w:trPr>
        <w:tc>
          <w:tcPr>
            <w:tcW w:w="1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 June</w:t>
            </w: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30, 2020</w:t>
            </w:r>
          </w:p>
        </w:tc>
        <w:tc>
          <w:tcPr>
            <w:tcW w:w="760" w:type="dxa"/>
            <w:vAlign w:val="bottom"/>
          </w:tcPr>
          <w:p>
            <w:pPr>
              <w:jc w:val="right"/>
              <w:spacing w:after="0"/>
              <w:rPr>
                <w:sz w:val="20"/>
                <w:szCs w:val="20"/>
                <w:color w:val="auto"/>
              </w:rPr>
            </w:pPr>
            <w:r>
              <w:rPr>
                <w:rFonts w:ascii="Arial" w:cs="Arial" w:eastAsia="Arial" w:hAnsi="Arial"/>
                <w:sz w:val="18"/>
                <w:szCs w:val="18"/>
                <w:color w:val="auto"/>
              </w:rPr>
              <w:t>65,472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838,874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(41,117)</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w w:val="98"/>
              </w:rPr>
              <w:t>$ 2,543,700</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(5,434)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(299,124)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3,051,984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gridSpan w:val="6"/>
            <w:vMerge w:val="restart"/>
          </w:tcPr>
          <w:p>
            <w:pPr>
              <w:ind w:left="28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186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Retained</w:t>
            </w:r>
          </w:p>
        </w:tc>
        <w:tc>
          <w:tcPr>
            <w:tcW w:w="1980" w:type="dxa"/>
            <w:vAlign w:val="bottom"/>
            <w:gridSpan w:val="5"/>
            <w:vMerge w:val="continue"/>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Noncontrolling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88"/>
              </w:rPr>
              <w:t>Amount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2"/>
              </w:rPr>
              <w:t>Income, 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Earnings</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Interests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ind w:left="40"/>
              <w:spacing w:after="0"/>
              <w:rPr>
                <w:sz w:val="20"/>
                <w:szCs w:val="20"/>
                <w:color w:val="auto"/>
              </w:rPr>
            </w:pPr>
            <w:r>
              <w:rPr>
                <w:rFonts w:ascii="Arial" w:cs="Arial" w:eastAsia="Arial" w:hAnsi="Arial"/>
                <w:sz w:val="18"/>
                <w:szCs w:val="18"/>
                <w:b w:val="1"/>
                <w:bCs w:val="1"/>
                <w:color w:val="auto"/>
                <w:w w:val="74"/>
              </w:rPr>
              <w:t>(in thousands)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823,347</w:t>
            </w: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(33,511)</w:t>
            </w:r>
          </w:p>
        </w:tc>
        <w:tc>
          <w:tcPr>
            <w:tcW w:w="11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$ 2,723,592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(306,788)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3,216,301</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Stock option</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exercises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for</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equity awards,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of</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Tax</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withholdings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on equity</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award vesting</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7,907</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7,907</w:t>
            </w:r>
          </w:p>
        </w:tc>
        <w:tc>
          <w:tcPr>
            <w:tcW w:w="0" w:type="dxa"/>
            <w:vAlign w:val="bottom"/>
          </w:tcPr>
          <w:p>
            <w:pPr>
              <w:spacing w:after="0"/>
              <w:rPr>
                <w:sz w:val="1"/>
                <w:szCs w:val="1"/>
                <w:color w:val="auto"/>
              </w:rPr>
            </w:pPr>
          </w:p>
        </w:tc>
      </w:tr>
      <w:tr>
        <w:trPr>
          <w:trHeight w:val="202"/>
        </w:trPr>
        <w:tc>
          <w:tcPr>
            <w:tcW w:w="132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w w:val="95"/>
              </w:rPr>
              <w:t>comprehensive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40"/>
              <w:spacing w:after="0"/>
              <w:rPr>
                <w:sz w:val="20"/>
                <w:szCs w:val="20"/>
                <w:color w:val="auto"/>
              </w:rPr>
            </w:pPr>
            <w:r>
              <w:rPr>
                <w:rFonts w:ascii="Arial" w:cs="Arial" w:eastAsia="Arial" w:hAnsi="Arial"/>
                <w:sz w:val="18"/>
                <w:szCs w:val="18"/>
                <w:color w:val="auto"/>
              </w:rPr>
              <w:t>income, net of</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taxes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6,544</w:t>
            </w:r>
          </w:p>
        </w:tc>
        <w:tc>
          <w:tcPr>
            <w:tcW w:w="1180" w:type="dxa"/>
            <w:vAlign w:val="bottom"/>
            <w:gridSpan w:val="5"/>
          </w:tcPr>
          <w:p>
            <w:pPr>
              <w:jc w:val="right"/>
              <w:ind w:right="200"/>
              <w:spacing w:after="0"/>
              <w:rPr>
                <w:sz w:val="20"/>
                <w:szCs w:val="20"/>
                <w:color w:val="auto"/>
              </w:rPr>
            </w:pPr>
            <w:r>
              <w:rPr>
                <w:rFonts w:ascii="Arial" w:cs="Arial" w:eastAsia="Arial" w:hAnsi="Arial"/>
                <w:sz w:val="18"/>
                <w:szCs w:val="18"/>
                <w:color w:val="auto"/>
              </w:rPr>
              <w:t>91,583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98,441</w:t>
            </w:r>
          </w:p>
        </w:tc>
        <w:tc>
          <w:tcPr>
            <w:tcW w:w="0" w:type="dxa"/>
            <w:vAlign w:val="bottom"/>
          </w:tcPr>
          <w:p>
            <w:pPr>
              <w:spacing w:after="0"/>
              <w:rPr>
                <w:sz w:val="1"/>
                <w:szCs w:val="1"/>
                <w:color w:val="auto"/>
              </w:rPr>
            </w:pPr>
          </w:p>
        </w:tc>
      </w:tr>
      <w:tr>
        <w:trPr>
          <w:trHeight w:val="202"/>
        </w:trPr>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Return of</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to</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2"/>
        </w:trPr>
        <w:tc>
          <w:tcPr>
            <w:tcW w:w="13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 June</w:t>
            </w: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140"/>
              <w:spacing w:after="0"/>
              <w:rPr>
                <w:sz w:val="20"/>
                <w:szCs w:val="20"/>
                <w:color w:val="auto"/>
              </w:rPr>
            </w:pPr>
            <w:r>
              <w:rPr>
                <w:rFonts w:ascii="Arial" w:cs="Arial" w:eastAsia="Arial" w:hAnsi="Arial"/>
                <w:sz w:val="18"/>
                <w:szCs w:val="18"/>
                <w:color w:val="auto"/>
              </w:rPr>
              <w:t>30, 2019</w:t>
            </w:r>
          </w:p>
        </w:tc>
        <w:tc>
          <w:tcPr>
            <w:tcW w:w="760" w:type="dxa"/>
            <w:vAlign w:val="bottom"/>
          </w:tcPr>
          <w:p>
            <w:pPr>
              <w:jc w:val="right"/>
              <w:spacing w:after="0"/>
              <w:rPr>
                <w:sz w:val="20"/>
                <w:szCs w:val="20"/>
                <w:color w:val="auto"/>
              </w:rPr>
            </w:pPr>
            <w:r>
              <w:rPr>
                <w:rFonts w:ascii="Arial" w:cs="Arial" w:eastAsia="Arial" w:hAnsi="Arial"/>
                <w:sz w:val="18"/>
                <w:szCs w:val="18"/>
                <w:color w:val="auto"/>
              </w:rPr>
              <w:t>65,472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6,547</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829,460</w:t>
            </w: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(26,967)</w:t>
            </w:r>
          </w:p>
        </w:tc>
        <w:tc>
          <w:tcPr>
            <w:tcW w:w="1180" w:type="dxa"/>
            <w:vAlign w:val="bottom"/>
            <w:gridSpan w:val="5"/>
          </w:tcPr>
          <w:p>
            <w:pPr>
              <w:jc w:val="right"/>
              <w:ind w:right="200"/>
              <w:spacing w:after="0"/>
              <w:rPr>
                <w:sz w:val="20"/>
                <w:szCs w:val="20"/>
                <w:color w:val="auto"/>
              </w:rPr>
            </w:pPr>
            <w:r>
              <w:rPr>
                <w:rFonts w:ascii="Arial" w:cs="Arial" w:eastAsia="Arial" w:hAnsi="Arial"/>
                <w:sz w:val="18"/>
                <w:szCs w:val="18"/>
                <w:color w:val="auto"/>
              </w:rPr>
              <w:t>$ 2,815,175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(5,570)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(305,061)</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3,322,172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68" w:orient="portrait"/>
          <w:cols w:equalWidth="0" w:num="1">
            <w:col w:w="11240"/>
          </w:cols>
          <w:pgMar w:left="320" w:top="364" w:right="3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Preparation of the Condensed Financial Statements</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condensed financial statements included herein have been prepared by Kirby Corporation and its consolidated subsidiaries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2019. Certain reclassifications have been made to reflect the current presentation of financial information.</w:t>
      </w:r>
    </w:p>
    <w:p>
      <w:pPr>
        <w:spacing w:after="0" w:line="20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Adoptions</w:t>
      </w:r>
    </w:p>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which simplifies the accounting for income taxes by removing certain exceptions to the general principles in Topic 740, Income Taxes. The guidance is effective for fiscal years, and interim periods within those fiscal years, beginning after December 15, 2020. Early adoption is permitted. The Company is currently evaluating this guidance to determine the impact on its consolidated financial statements.</w:t>
      </w:r>
    </w:p>
    <w:p>
      <w:pPr>
        <w:spacing w:after="0" w:line="2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August 2018, the FASB issued ASU 2018-14, “Compensation – Retirement Benefits - Defined Benefit Plans – General (Subtopic 715-20): Disclosure Framework – Changes to the Disclosure Requirements for Defined Benefit Plans” which amends the annual disclosure requirements for employers that sponsor defined benefit pension or other postretirement plans by removing certain requirements, providing clarification on existing requirements and adding new requirements including adding an explanation of the reasons for significant gains and losses related to changes in the benefit obligation for the period. The guidance is effective for fiscal years ending after December 15, 2020. Early adoption is permitted. The amendments in this update are required to be applied on a retrospective basis to all periods presented. The Company is currently evaluating this guidance to determine the impact on its disclosures.</w:t>
      </w:r>
    </w:p>
    <w:p>
      <w:pPr>
        <w:spacing w:after="0" w:line="22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shall perform its annual, or interim, goodwill impairment test by comparing the fair value of a reporting unit with its carrying value and record an impairment charge based on the excess of a reporting unit’s carrying amount over its fair value, incorporating all tax impacts caused by the recognition of the impairment loss. An entity still has the option to perform the qualitative assessment for a reporting unit to determine if the quantitative impairment test is necessary. The Company adopted ASU 2017-04 on January 1, 2020 on a prospective basis. See Note 8, Impairments and Other Charges for further details.</w:t>
      </w:r>
    </w:p>
    <w:p>
      <w:pPr>
        <w:spacing w:after="0" w:line="20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During the six months ended June 30, 2020, the Company purchased four newly constructed inland pressure barges for $26,625,000 in cash.</w:t>
      </w:r>
    </w:p>
    <w:p>
      <w:pPr>
        <w:spacing w:after="0" w:line="2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April 1, 2020, the Company completed the acquisition of the inland tank barge fleet of Savage Inland Marine, LLC (“Savage”) for $278,999,000 in cash. Savage’s tank barge fleet consisted of 92 inland tank barges with approximately 2.5 million barrels of capacity and 45 inland towboats. The Savage assets that were acquired primarily move petrochemicals, refined products, and crude oil on the Mississippi River, its tributaries, and the Gulf Intracoastal Waterway. The Company also acquired Savage’s ship bunkering business and barge fleeting business along the Gulf Coast. The Company considers Savage to be a natural extension of the current marine transportation segment, expanding the capabilities of the Company's inland based marine transportation business and lowers the average age of its fleet.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jc w:val="both"/>
        <w:ind w:firstLine="486"/>
        <w:spacing w:after="0" w:line="263" w:lineRule="auto"/>
        <w:rPr>
          <w:sz w:val="20"/>
          <w:szCs w:val="20"/>
          <w:color w:val="auto"/>
        </w:rPr>
      </w:pPr>
      <w:r>
        <w:rPr>
          <w:rFonts w:ascii="Arial" w:cs="Arial" w:eastAsia="Arial" w:hAnsi="Arial"/>
          <w:sz w:val="18"/>
          <w:szCs w:val="18"/>
          <w:color w:val="auto"/>
        </w:rPr>
        <w:t>On January 3, 2020, the Company completed the acquisition of substantially all the assets of Convoy Servicing Company and Agility Fleet Services, LLC (collectively “Convoy”) for $37,180,000 in cash. Convoy is an authorized dealer for Thermo King refrigeration systems for trucks, railroad cars and other land transportation markets for North and East Texas and Colorado.</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fair values of the assets acquired and liabilities assumed from the Savage and Convoy acquisitions recorded at the respective acquisition dates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Savage</w:t>
            </w: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Convoy</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11,771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210,065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81,667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10,309</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322,754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49,232</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8,339</w:t>
            </w: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liabilities, including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43,755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12,052</w:t>
            </w: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assets acquired</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278,999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acquired customer relationships with an estimated value of $2,200,000 from Savage with an amortization period of 10 years. The fair values of the Savage acquisition have not been finalized and are provisional, pending completion of the tangible and intangible valuation studies. As additional information becomes known concerning the assets acquired, the Company may make adjustments to the fair value of assets acquired and liabilities assumed for up to one year following the acquisition date. Acquisition related costs of $281,000, consisting primarily of legal and other professional fees, were expensed as incurred to selling, general and administrative expense in the 2020 second quarter. All goodwill recorded for the Savage acquisition will be deductible for tax purposes.</w:t>
      </w:r>
    </w:p>
    <w:p>
      <w:pPr>
        <w:spacing w:after="0" w:line="21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acquired intangible assets from Convoy with a weighted average amortization period of 11 years, consisting of $9,000,000 for customer relationships with an amortization period of 10 years, $8,000,000 for distributorships with an amortization period of 12 years and $170,000 for non-compete agreements with an amortization period of three years. All goodwill recorded for the Convoy acquisition will be deductible for tax purposes.</w:t>
      </w:r>
    </w:p>
    <w:p>
      <w:pPr>
        <w:spacing w:after="0" w:line="1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Pro forma results of the acquisitions made in the 2020 first six months have not been presented as the pro forma revenues and net earnings attributable to Kirby would not be materially different from the Company’s actual results.</w:t>
      </w:r>
    </w:p>
    <w:p>
      <w:pPr>
        <w:spacing w:after="0" w:line="19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Company’s revenues by major source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Marine transportation segment: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Inland transportation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303,012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310,162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621,577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593,247</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Coastal transportation</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77,975</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94,124</w:t>
            </w:r>
          </w:p>
        </w:tc>
        <w:tc>
          <w:tcPr>
            <w:tcW w:w="140" w:type="dxa"/>
            <w:vAlign w:val="bottom"/>
          </w:tcPr>
          <w:p>
            <w:pPr>
              <w:spacing w:after="0"/>
              <w:rPr>
                <w:sz w:val="19"/>
                <w:szCs w:val="19"/>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162,667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179,160</w:t>
            </w:r>
          </w:p>
        </w:tc>
      </w:tr>
      <w:tr>
        <w:trPr>
          <w:trHeight w:val="257"/>
        </w:trPr>
        <w:tc>
          <w:tcPr>
            <w:tcW w:w="5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380,987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404,286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784,244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772,407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Distribution and services segment: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and gas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30,624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109,302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421,965</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129,548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167,892</w:t>
            </w:r>
          </w:p>
        </w:tc>
        <w:tc>
          <w:tcPr>
            <w:tcW w:w="140" w:type="dxa"/>
            <w:vAlign w:val="bottom"/>
          </w:tcPr>
          <w:p>
            <w:pPr>
              <w:spacing w:after="0"/>
              <w:rPr>
                <w:sz w:val="19"/>
                <w:szCs w:val="19"/>
                <w:color w:val="auto"/>
              </w:rPr>
            </w:pPr>
          </w:p>
        </w:tc>
        <w:tc>
          <w:tcPr>
            <w:tcW w:w="1180" w:type="dxa"/>
            <w:vAlign w:val="bottom"/>
            <w:gridSpan w:val="2"/>
          </w:tcPr>
          <w:p>
            <w:pPr>
              <w:ind w:left="380"/>
              <w:spacing w:after="0"/>
              <w:rPr>
                <w:sz w:val="20"/>
                <w:szCs w:val="20"/>
                <w:color w:val="auto"/>
              </w:rPr>
            </w:pPr>
            <w:r>
              <w:rPr>
                <w:rFonts w:ascii="Arial" w:cs="Arial" w:eastAsia="Arial" w:hAnsi="Arial"/>
                <w:sz w:val="18"/>
                <w:szCs w:val="18"/>
                <w:color w:val="auto"/>
              </w:rPr>
              <w:t>291,539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321,291</w:t>
            </w:r>
          </w:p>
        </w:tc>
      </w:tr>
      <w:tr>
        <w:trPr>
          <w:trHeight w:val="257"/>
        </w:trPr>
        <w:tc>
          <w:tcPr>
            <w:tcW w:w="5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160,172</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366,756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400,841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743,256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i w:val="1"/>
          <w:iCs w:val="1"/>
          <w:color w:val="auto"/>
        </w:rPr>
        <w:t xml:space="preserve">Contract Assets and Liabilities. </w:t>
      </w:r>
      <w:r>
        <w:rPr>
          <w:rFonts w:ascii="Arial" w:cs="Arial" w:eastAsia="Arial" w:hAnsi="Arial"/>
          <w:sz w:val="17"/>
          <w:szCs w:val="17"/>
          <w:color w:val="auto"/>
        </w:rPr>
        <w:t>Contract liabilities represent advance consideration received from customers, and are recognized as revenue over</w:t>
      </w:r>
      <w:r>
        <w:rPr>
          <w:rFonts w:ascii="Arial" w:cs="Arial" w:eastAsia="Arial" w:hAnsi="Arial"/>
          <w:sz w:val="17"/>
          <w:szCs w:val="17"/>
          <w:i w:val="1"/>
          <w:iCs w:val="1"/>
          <w:color w:val="auto"/>
        </w:rPr>
        <w:t xml:space="preserve"> </w:t>
      </w:r>
      <w:r>
        <w:rPr>
          <w:rFonts w:ascii="Arial" w:cs="Arial" w:eastAsia="Arial" w:hAnsi="Arial"/>
          <w:sz w:val="17"/>
          <w:szCs w:val="17"/>
          <w:color w:val="auto"/>
        </w:rPr>
        <w:t>time as the related performance obligation is satisfied. Revenues recognized in the 2020 and 2019 first six months that were included in the opening contract liability balances were $33,693,000 and $73,370,000, respectively. The Company presents all contract liabilities within the deferred revenues financial statement caption on the balance sheets. The Company did not have any contract assets at June 30, 2020 or December 31, 2019.</w:t>
      </w:r>
    </w:p>
    <w:p>
      <w:pPr>
        <w:sectPr>
          <w:pgSz w:w="11900" w:h="16838" w:orient="portrait"/>
          <w:cols w:equalWidth="0" w:num="1">
            <w:col w:w="11240"/>
          </w:cols>
          <w:pgMar w:left="320" w:top="368"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2" w:name="page13"/>
    <w:bookmarkEnd w:id="12"/>
    <w:p>
      <w:pPr>
        <w:ind w:firstLine="486"/>
        <w:spacing w:after="0" w:line="277" w:lineRule="auto"/>
        <w:rPr>
          <w:sz w:val="20"/>
          <w:szCs w:val="20"/>
          <w:color w:val="auto"/>
        </w:rPr>
      </w:pPr>
      <w:r>
        <w:rPr>
          <w:rFonts w:ascii="Arial" w:cs="Arial" w:eastAsia="Arial" w:hAnsi="Arial"/>
          <w:sz w:val="18"/>
          <w:szCs w:val="18"/>
          <w:color w:val="auto"/>
        </w:rPr>
        <w:t>The Company applies the practical expedient that allows non-disclosure of information about remaining performance obligations that have original expected durations of one year or less.</w:t>
      </w:r>
    </w:p>
    <w:p>
      <w:pPr>
        <w:spacing w:after="0" w:line="19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i w:val="1"/>
          <w:iCs w:val="1"/>
          <w:color w:val="auto"/>
        </w:rPr>
        <w:t xml:space="preserve">Marine Transportation </w:t>
      </w:r>
      <w:r>
        <w:rPr>
          <w:rFonts w:ascii="Arial" w:cs="Arial" w:eastAsia="Arial" w:hAnsi="Arial"/>
          <w:sz w:val="16"/>
          <w:szCs w:val="16"/>
          <w:color w:val="auto"/>
        </w:rPr>
        <w:t>— Provides marine transportation principally by United States flag vessels of liquid cargoes throughout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inland 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1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i w:val="1"/>
          <w:iCs w:val="1"/>
          <w:color w:val="auto"/>
        </w:rPr>
        <w:t xml:space="preserve">Distribution and Services </w:t>
      </w:r>
      <w:r>
        <w:rPr>
          <w:rFonts w:ascii="Arial" w:cs="Arial" w:eastAsia="Arial" w:hAnsi="Arial"/>
          <w:sz w:val="17"/>
          <w:szCs w:val="17"/>
          <w:color w:val="auto"/>
        </w:rPr>
        <w:t>— Provides after-market services and parts for engines, transmissions, reduction gears and related equipment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oilfield service,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19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$6,061,000 and $16,347,000 for the three months and six months ended June 30, 2020, respectively, and $7,446,000 and $14,981,000 for the three months and six months ended June 30, 2019, respectively, have been eliminated from the tables below. The related intersegment profit of $606,000 and $1,635,000 for the three months and six months ending June 30, 2020, respectively, and $744,000 and $1,498,000 for the three months and six months ended June 30, 2019, respectively, have also been eliminated from the tables below.</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set forth the Company’s revenues and profit or loss by reportable segment and total assets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60" w:type="dxa"/>
            <w:vAlign w:val="bottom"/>
          </w:tcPr>
          <w:p>
            <w:pPr>
              <w:spacing w:after="0"/>
              <w:rPr>
                <w:sz w:val="20"/>
                <w:szCs w:val="20"/>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404,286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784,244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772,407</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160,172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366,756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400,841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743,256</w:t>
            </w:r>
          </w:p>
        </w:tc>
      </w:tr>
      <w:tr>
        <w:trPr>
          <w:trHeight w:val="257"/>
        </w:trPr>
        <w:tc>
          <w:tcPr>
            <w:tcW w:w="5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541,159</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771,042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1,185,085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1,515,663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Segment profit (loss):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88,667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(14,147)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23,128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(10,429)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60,737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(13,394)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(587,600)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(28,358)</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23,834</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62,709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(495,938)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121,046</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37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Total assets:</w:t>
            </w: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5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4,843,477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4,536,368</w:t>
            </w: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846,986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1,422,394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326,548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120,335</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Pr>
          <w:p>
            <w:pPr>
              <w:spacing w:after="0"/>
              <w:rPr>
                <w:sz w:val="18"/>
                <w:szCs w:val="18"/>
                <w:color w:val="auto"/>
              </w:rPr>
            </w:pPr>
          </w:p>
        </w:tc>
        <w:tc>
          <w:tcPr>
            <w:tcW w:w="5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6,017,011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6,079,097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900" w:type="dxa"/>
            <w:vAlign w:val="bottom"/>
            <w:vMerge w:val="restart"/>
          </w:tcPr>
          <w:p>
            <w:pPr>
              <w:jc w:val="right"/>
              <w:ind w:right="2936"/>
              <w:spacing w:after="0"/>
              <w:rPr>
                <w:sz w:val="20"/>
                <w:szCs w:val="20"/>
                <w:color w:val="auto"/>
              </w:rPr>
            </w:pPr>
            <w:r>
              <w:rPr>
                <w:rFonts w:ascii="Arial" w:cs="Arial" w:eastAsia="Arial" w:hAnsi="Arial"/>
                <w:sz w:val="14"/>
                <w:szCs w:val="14"/>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9"/>
        </w:trPr>
        <w:tc>
          <w:tcPr>
            <w:tcW w:w="37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780" w:type="dxa"/>
            <w:vAlign w:val="bottom"/>
            <w:tcBorders>
              <w:bottom w:val="single" w:sz="8" w:color="auto"/>
            </w:tcBorders>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3" w:name="page14"/>
    <w:bookmarkEnd w:id="13"/>
    <w:p>
      <w:pPr>
        <w:ind w:left="500"/>
        <w:spacing w:after="0"/>
        <w:rPr>
          <w:sz w:val="20"/>
          <w:szCs w:val="20"/>
          <w:color w:val="auto"/>
        </w:rPr>
      </w:pPr>
      <w:r>
        <w:rPr>
          <w:rFonts w:ascii="Arial" w:cs="Arial" w:eastAsia="Arial" w:hAnsi="Arial"/>
          <w:sz w:val="18"/>
          <w:szCs w:val="18"/>
          <w:color w:val="auto"/>
        </w:rPr>
        <w:t>The following table presents the details of “Other” segment loss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36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Gain (loss) on disposition of assets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3,118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5,275</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 and other charges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(561,274)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(12,708)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(15,515)</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(25,507)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(28,716)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2,290</w:t>
            </w: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w:t>
            </w:r>
          </w:p>
        </w:tc>
      </w:tr>
      <w:tr>
        <w:trPr>
          <w:trHeight w:val="27"/>
        </w:trPr>
        <w:tc>
          <w:tcPr>
            <w:tcW w:w="360" w:type="dxa"/>
            <w:vAlign w:val="bottom"/>
            <w:shd w:val="clear" w:color="auto" w:fill="CCEEFF"/>
          </w:tcPr>
          <w:p>
            <w:pPr>
              <w:spacing w:after="0"/>
              <w:rPr>
                <w:sz w:val="2"/>
                <w:szCs w:val="2"/>
                <w:color w:val="auto"/>
              </w:rPr>
            </w:pPr>
          </w:p>
        </w:tc>
        <w:tc>
          <w:tcPr>
            <w:tcW w:w="5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(13,394)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(13,662)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(587,600)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(28,358)</w:t>
            </w:r>
          </w:p>
        </w:tc>
      </w:tr>
      <w:tr>
        <w:trPr>
          <w:trHeight w:val="21"/>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60" w:type="dxa"/>
            <w:vAlign w:val="bottom"/>
          </w:tcPr>
          <w:p>
            <w:pPr>
              <w:spacing w:after="0"/>
              <w:rPr>
                <w:sz w:val="24"/>
                <w:szCs w:val="24"/>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w w:val="90"/>
              </w:rPr>
              <w:t>The following table presents the details of “Other” total assets (in thousands):</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3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118,310</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Investment in affiliates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326,548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360" w:type="dxa"/>
            <w:vAlign w:val="bottom"/>
          </w:tcPr>
          <w:p>
            <w:pPr>
              <w:spacing w:after="0"/>
              <w:rPr>
                <w:sz w:val="20"/>
                <w:szCs w:val="20"/>
                <w:color w:val="auto"/>
              </w:rPr>
            </w:pPr>
            <w:r>
              <w:rPr>
                <w:rFonts w:ascii="Arial" w:cs="Arial" w:eastAsia="Arial" w:hAnsi="Arial"/>
                <w:sz w:val="18"/>
                <w:szCs w:val="18"/>
                <w:b w:val="1"/>
                <w:bCs w:val="1"/>
                <w:color w:val="auto"/>
              </w:rPr>
              <w:t>(6)</w:t>
            </w:r>
          </w:p>
        </w:tc>
        <w:tc>
          <w:tcPr>
            <w:tcW w:w="5620" w:type="dxa"/>
            <w:vAlign w:val="bottom"/>
          </w:tcPr>
          <w:p>
            <w:pPr>
              <w:ind w:left="140"/>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has an amended and restated credit agreement (the “Credit Agreement”) with a group of commercial banks, with JPMorgan Chase Bank, N.A. as the administrative agent bank, allowing for an $850,000,000 unsecured revolving credit facility (“Revolving Credit Facility”) and an unsecured term loan (“Term Loan”) with a maturity date of March 27, 2024. The Term Loan is repayable in quarterly installments currently scheduled to commence September 30, 2023, with $343,750,000 due on March 27, 2024. The Term Loan is prepayable, in whole or in part, without penalty. As of June 30, 2020, the Company had outstanding borrowings of $425,000,000 and availability of $419,637,000 under the Revolving Credit Facility and borrowings of $375,000,000 under the Term Loan. The interest rates under the Revolving Credit Facility and Term Loan were each 1.6% at June 30, 2020.</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February 27, 2020, upon maturity, the Company repaid in full $150,000,000 of 2.72% unsecured senior notes.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carrying value and fair value of debt outstanding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b w:val="1"/>
                <w:bCs w:val="1"/>
                <w:color w:val="auto"/>
              </w:rPr>
              <w:t>December 31, 2019</w:t>
            </w:r>
          </w:p>
        </w:tc>
      </w:tr>
      <w:tr>
        <w:trPr>
          <w:trHeight w:val="198"/>
        </w:trPr>
        <w:tc>
          <w:tcPr>
            <w:tcW w:w="5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Fair Value</w:t>
            </w:r>
          </w:p>
        </w:tc>
        <w:tc>
          <w:tcPr>
            <w:tcW w:w="14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4"/>
              </w:rPr>
              <w:t>Carrying Value</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Term Loan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2.72% senior notes due February 27, 2020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151,547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3.29% senior notes due February 27, 2023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366,605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353,216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4.2% senior notes due March 1, 2028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591,992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541,546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Bank notes payable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discounts and issuance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(7,168)</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1,642,839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1,758,604</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1,369,767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1,421,325</w:t>
            </w:r>
          </w:p>
        </w:tc>
      </w:tr>
      <w:tr>
        <w:trPr>
          <w:trHeight w:val="21"/>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debt outstanding was determined using inputs characteristic of a Level 2 fair value measurement.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borrowings and payments under the bank credit facilities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40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Borrowings on bank credit facilities</w:t>
            </w: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9"/>
              </w:rPr>
              <w:t>582,038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1,276,716</w:t>
            </w:r>
          </w:p>
        </w:tc>
        <w:tc>
          <w:tcPr>
            <w:tcW w:w="10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Payments on bank credit facilities</w:t>
            </w:r>
          </w:p>
        </w:tc>
        <w:tc>
          <w:tcPr>
            <w:tcW w:w="4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(157,047)</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(1,590,521)</w:t>
            </w:r>
          </w:p>
        </w:tc>
      </w:tr>
      <w:tr>
        <w:trPr>
          <w:trHeight w:val="256"/>
        </w:trPr>
        <w:tc>
          <w:tcPr>
            <w:tcW w:w="4080" w:type="dxa"/>
            <w:vAlign w:val="bottom"/>
            <w:tcBorders>
              <w:bottom w:val="single" w:sz="8" w:color="CCEEFF"/>
            </w:tcBorders>
            <w:shd w:val="clear" w:color="auto" w:fill="CCEEFF"/>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89"/>
              </w:rPr>
              <w:t>424,991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(313,805)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819"/>
        </w:trPr>
        <w:tc>
          <w:tcPr>
            <w:tcW w:w="4080" w:type="dxa"/>
            <w:vAlign w:val="bottom"/>
          </w:tcPr>
          <w:p>
            <w:pPr>
              <w:spacing w:after="0"/>
              <w:rPr>
                <w:sz w:val="24"/>
                <w:szCs w:val="24"/>
                <w:color w:val="auto"/>
              </w:rPr>
            </w:pPr>
          </w:p>
        </w:tc>
        <w:tc>
          <w:tcPr>
            <w:tcW w:w="4600" w:type="dxa"/>
            <w:vAlign w:val="bottom"/>
          </w:tcPr>
          <w:p>
            <w:pPr>
              <w:jc w:val="right"/>
              <w:ind w:right="290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08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8" w:right="339" w:bottom="1440" w:gutter="0" w:footer="0" w:header="0"/>
        </w:sectPr>
      </w:pPr>
    </w:p>
    <w:bookmarkStart w:id="14" w:name="page15"/>
    <w:bookmarkEnd w:id="14"/>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75% of the costs relate to service costs and other non-lease components. Variable lease costs relate primarily to real estate executory costs (i.e. taxes, insurance and maintenance).</w:t>
      </w:r>
    </w:p>
    <w:p>
      <w:pPr>
        <w:spacing w:after="0" w:line="22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4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June 30, 2020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33,374</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2021</w:t>
            </w: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37,597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25,911</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32,286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23,098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2023</w:t>
            </w: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26,779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19,162</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22,617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15,330</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115,806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92,991</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256,784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209,866</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(51,394)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(43,085)</w:t>
            </w:r>
          </w:p>
        </w:tc>
      </w:tr>
      <w:tr>
        <w:trPr>
          <w:trHeight w:val="25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205,390</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166,781</w:t>
            </w:r>
          </w:p>
        </w:tc>
        <w:tc>
          <w:tcPr>
            <w:tcW w:w="100" w:type="dxa"/>
            <w:vAlign w:val="bottom"/>
            <w:shd w:val="clear" w:color="auto" w:fill="CCEEFF"/>
          </w:tcPr>
          <w:p>
            <w:pPr>
              <w:spacing w:after="0"/>
              <w:rPr>
                <w:sz w:val="22"/>
                <w:szCs w:val="22"/>
                <w:color w:val="auto"/>
              </w:rPr>
            </w:pPr>
          </w:p>
        </w:tc>
      </w:tr>
      <w:tr>
        <w:trPr>
          <w:trHeight w:val="453"/>
        </w:trPr>
        <w:tc>
          <w:tcPr>
            <w:tcW w:w="598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The following table sets forth lease costs (in thousands):</w:t>
            </w:r>
          </w:p>
        </w:tc>
        <w:tc>
          <w:tcPr>
            <w:tcW w:w="1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6"/>
        </w:trPr>
        <w:tc>
          <w:tcPr>
            <w:tcW w:w="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Three months ended June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9"/>
          </w:tcPr>
          <w:p>
            <w:pPr>
              <w:jc w:val="right"/>
              <w:ind w:right="38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23"/>
        </w:trPr>
        <w:tc>
          <w:tcPr>
            <w:tcW w:w="4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20,914</w:t>
            </w:r>
          </w:p>
        </w:tc>
        <w:tc>
          <w:tcPr>
            <w:tcW w:w="1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Variable lease cost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596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13,353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16,855</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Sublease income</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(558)</w:t>
            </w:r>
          </w:p>
        </w:tc>
      </w:tr>
      <w:tr>
        <w:trPr>
          <w:trHeight w:val="257"/>
        </w:trPr>
        <w:tc>
          <w:tcPr>
            <w:tcW w:w="44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34,489</w:t>
            </w: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37,299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440" w:type="dxa"/>
            <w:vAlign w:val="bottom"/>
          </w:tcPr>
          <w:p>
            <w:pPr>
              <w:spacing w:after="0"/>
              <w:rPr>
                <w:sz w:val="24"/>
                <w:szCs w:val="24"/>
                <w:color w:val="auto"/>
              </w:rPr>
            </w:pPr>
          </w:p>
        </w:tc>
        <w:tc>
          <w:tcPr>
            <w:tcW w:w="8160" w:type="dxa"/>
            <w:vAlign w:val="bottom"/>
            <w:gridSpan w:val="7"/>
          </w:tcPr>
          <w:p>
            <w:pPr>
              <w:ind w:left="60"/>
              <w:spacing w:after="0"/>
              <w:rPr>
                <w:sz w:val="20"/>
                <w:szCs w:val="20"/>
                <w:color w:val="auto"/>
              </w:rPr>
            </w:pPr>
            <w:r>
              <w:rPr>
                <w:rFonts w:ascii="Arial" w:cs="Arial" w:eastAsia="Arial" w:hAnsi="Arial"/>
                <w:sz w:val="18"/>
                <w:szCs w:val="18"/>
                <w:color w:val="auto"/>
                <w:w w:val="98"/>
              </w:rPr>
              <w:t>The following table summarizes other supplemental information about the Company’s operating leases: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280" w:type="dxa"/>
            <w:vAlign w:val="bottom"/>
            <w:gridSpan w:val="3"/>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10 years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11 years</w:t>
            </w:r>
          </w:p>
        </w:tc>
      </w:tr>
      <w:tr>
        <w:trPr>
          <w:trHeight w:val="445"/>
        </w:trPr>
        <w:tc>
          <w:tcPr>
            <w:tcW w:w="440" w:type="dxa"/>
            <w:vAlign w:val="bottom"/>
          </w:tcPr>
          <w:p>
            <w:pPr>
              <w:spacing w:after="0"/>
              <w:rPr>
                <w:sz w:val="20"/>
                <w:szCs w:val="20"/>
                <w:color w:val="auto"/>
              </w:rPr>
            </w:pPr>
            <w:r>
              <w:rPr>
                <w:rFonts w:ascii="Arial" w:cs="Arial" w:eastAsia="Arial" w:hAnsi="Arial"/>
                <w:sz w:val="18"/>
                <w:szCs w:val="18"/>
                <w:b w:val="1"/>
                <w:bCs w:val="1"/>
                <w:color w:val="auto"/>
              </w:rPr>
              <w:t>(8)</w:t>
            </w:r>
          </w:p>
        </w:tc>
        <w:tc>
          <w:tcPr>
            <w:tcW w:w="5540" w:type="dxa"/>
            <w:vAlign w:val="bottom"/>
          </w:tcPr>
          <w:p>
            <w:pPr>
              <w:ind w:left="60"/>
              <w:spacing w:after="0"/>
              <w:rPr>
                <w:sz w:val="20"/>
                <w:szCs w:val="20"/>
                <w:color w:val="auto"/>
              </w:rPr>
            </w:pPr>
            <w:r>
              <w:rPr>
                <w:rFonts w:ascii="Arial" w:cs="Arial" w:eastAsia="Arial" w:hAnsi="Arial"/>
                <w:sz w:val="18"/>
                <w:szCs w:val="18"/>
                <w:b w:val="1"/>
                <w:bCs w:val="1"/>
                <w:color w:val="auto"/>
              </w:rPr>
              <w:t>Impairments and Other Charges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the 2020 first quarter, Kirby’s market capitalization declined significantly compared to the 2019 fourth quarter. Over the same period, the overall United States stock market also declined significantly amid market volatility. In addition, as a result of uncertainty surrounding the outbreak of COVID-19 and a sharp decline in oil prices during the 2020 first quarter, many of the Company’s oil and gas customers responded by quickly cutting 2020 capital spending budgets and activity levels quickly declined. Lower activity levels have resulted in a decline in drilling activity, resulting in lower demand for new and remanufactured oilfield equipment and related parts and service in the distribution and services segment. As a result, the Company concluded that a triggering event had occurred and performed interim quantitative impairment tests as of March 31, 2020 for certain of the distribution and services segment’s long-lived assets and goodwill.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both"/>
        <w:ind w:firstLine="486"/>
        <w:spacing w:after="0" w:line="286" w:lineRule="auto"/>
        <w:rPr>
          <w:sz w:val="20"/>
          <w:szCs w:val="20"/>
          <w:color w:val="auto"/>
        </w:rPr>
      </w:pPr>
      <w:r>
        <w:rPr>
          <w:rFonts w:ascii="Arial" w:cs="Arial" w:eastAsia="Arial" w:hAnsi="Arial"/>
          <w:sz w:val="17"/>
          <w:szCs w:val="17"/>
          <w:color w:val="auto"/>
        </w:rPr>
        <w:t>The Company determined the estimated fair value of such long-lived assets and reporting units using a discounted cash flow analysis and a market approach for comparable companies. This analysis included management’s judgment regarding short-term and long-term internal forecasts, updated for recent events, appropriate discount rates, and capital expenditures using inputs characteristic of a Level 3 fair value measurement.</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performing the impairment test of long-lived assets within the distribution and services segment, the Company determined that the carrying value of certain long-lived assets, including property and equipment as well as intangible assets associated with customer relationships, tradenames, and distributorships, were no longer recoverable, resulting in an impairment charge of $165,304,000 to reduce such long-lived assets to fair value during the three months ended March 31, 2020.</w:t>
      </w:r>
    </w:p>
    <w:p>
      <w:pPr>
        <w:spacing w:after="0" w:line="21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Based upon the results of the goodwill impairment test, the Company concluded that the carrying value of one reporting unit in the distribution and services segment exceeded its estimated fair value. For the three months ended March 31, 2020, the goodwill impairment charge of $387,970,000 was calculated as the amount that the carrying value of the reporting unit, including goodwill, and after recording impairments of long-lived assets identified above, exceeded its estimated fair value, incorporating all tax impacts caused by the recognition of the impairment loss.</w:t>
      </w:r>
    </w:p>
    <w:p>
      <w:pPr>
        <w:spacing w:after="0" w:line="19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the Company determined cost exceeded net realizable value for certain oilfield and pressure pumping related inventory, resulting in an $8,000,000 non-cash write-down during the three months ended March 31,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The following table summarizes the changes in goodwill (in thousands):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3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Marine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Transportation</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Services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 (gross)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424,149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549,846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973,995</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Accumulated impairment and amortization</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(18,574)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(1,595)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(20,169)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405,575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548,251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953,826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(387,970)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(387,970)</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Savage acquisition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81,667</w:t>
            </w:r>
          </w:p>
        </w:tc>
      </w:tr>
      <w:tr>
        <w:trPr>
          <w:trHeight w:val="22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Convoy acquisition</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10,309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10,309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2020 (gross)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505,816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560,155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1,065,971</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Accumulated impairment and amortization</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(18,574)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(389,565)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(408,139)</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487,242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170,590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360" w:type="dxa"/>
            <w:vAlign w:val="bottom"/>
          </w:tcPr>
          <w:p>
            <w:pPr>
              <w:spacing w:after="0"/>
              <w:rPr>
                <w:sz w:val="20"/>
                <w:szCs w:val="20"/>
                <w:color w:val="auto"/>
              </w:rPr>
            </w:pPr>
            <w:r>
              <w:rPr>
                <w:rFonts w:ascii="Arial" w:cs="Arial" w:eastAsia="Arial" w:hAnsi="Arial"/>
                <w:sz w:val="18"/>
                <w:szCs w:val="18"/>
                <w:b w:val="1"/>
                <w:bCs w:val="1"/>
                <w:color w:val="auto"/>
              </w:rPr>
              <w:t>(9)</w:t>
            </w:r>
          </w:p>
        </w:tc>
        <w:tc>
          <w:tcPr>
            <w:tcW w:w="6960" w:type="dxa"/>
            <w:vAlign w:val="bottom"/>
          </w:tcPr>
          <w:p>
            <w:pPr>
              <w:ind w:left="140"/>
              <w:spacing w:after="0"/>
              <w:rPr>
                <w:sz w:val="20"/>
                <w:szCs w:val="20"/>
                <w:color w:val="auto"/>
              </w:rPr>
            </w:pPr>
            <w:r>
              <w:rPr>
                <w:rFonts w:ascii="Arial" w:cs="Arial" w:eastAsia="Arial" w:hAnsi="Arial"/>
                <w:sz w:val="18"/>
                <w:szCs w:val="18"/>
                <w:b w:val="1"/>
                <w:bCs w:val="1"/>
                <w:color w:val="auto"/>
              </w:rPr>
              <w:t>Stock Award Plans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six months ended June 30, 2020, the Company granted 153,460 restricted stock units (“RSUs”) and 114,600 stock options to selected officers and other key employees under its employee stock award plan. The RSUs vest ratably over five years and the stock options become exercisable ratably over three years and expire after seven years.</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six months ended June 30, 2020, the Company granted 39,913 shares of restricted stock to nonemployee directors of the Company under the director stock award plan. The restricted stock vests six months after the date of grant except that restricted stock granted in lieu of cash director fees vests in equal quarterly increments through March 31, 2021.</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34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8,652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100" w:type="dxa"/>
            <w:vAlign w:val="bottom"/>
            <w:shd w:val="clear" w:color="auto" w:fill="CCEEFF"/>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Income tax benefit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889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560"/>
              <w:spacing w:after="0"/>
              <w:rPr>
                <w:sz w:val="20"/>
                <w:szCs w:val="20"/>
                <w:color w:val="auto"/>
              </w:rPr>
            </w:pPr>
            <w:r>
              <w:rPr>
                <w:rFonts w:ascii="Arial" w:cs="Arial" w:eastAsia="Arial" w:hAnsi="Arial"/>
                <w:sz w:val="18"/>
                <w:szCs w:val="18"/>
                <w:color w:val="auto"/>
              </w:rPr>
              <w:t>2,151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1,909</w:t>
            </w:r>
          </w:p>
        </w:tc>
      </w:tr>
      <w:tr>
        <w:trPr>
          <w:trHeight w:val="811"/>
        </w:trPr>
        <w:tc>
          <w:tcPr>
            <w:tcW w:w="3460" w:type="dxa"/>
            <w:vAlign w:val="bottom"/>
          </w:tcPr>
          <w:p>
            <w:pPr>
              <w:spacing w:after="0"/>
              <w:rPr>
                <w:sz w:val="24"/>
                <w:szCs w:val="24"/>
                <w:color w:val="auto"/>
              </w:rPr>
            </w:pPr>
          </w:p>
        </w:tc>
        <w:tc>
          <w:tcPr>
            <w:tcW w:w="2520" w:type="dxa"/>
            <w:vAlign w:val="bottom"/>
          </w:tcPr>
          <w:p>
            <w:pPr>
              <w:jc w:val="right"/>
              <w:ind w:right="19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46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8" w:right="339" w:bottom="1440" w:gutter="0" w:footer="0" w:header="0"/>
        </w:sectPr>
      </w:pPr>
    </w:p>
    <w:bookmarkStart w:id="16" w:name="page17"/>
    <w:bookmarkEnd w:id="16"/>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256"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On March 27, 2020, the United States Congress passed and the President signed the Coronavirus Aid, Relief, and Economic Security Act (“CARES Act”) into law to address the COVID-19 pandemic. One provision of the CARES Act allows net operating losses generated in 2018 through 2020 to be carried back up to five years. Pursuant to this provision of the CARES Act, the Company recorded a federal current benefit for taxes on income for the six months ended June 30, 2020 due to carrying back net operating losses generated between 2018 and 2020 used to offset taxable income generated between 2013 and 2017. This caused a reduction in the effective tax rate during the six months ended June 30, 2020 as net operating losses carried back to tax years 2013 through 2017 are applied at a federal tax rate of 35% applicable to those tax years, compared to a 21% tax rate effective at June 30, 2020. Net operating losses generated in 2018 and 2019 were used to offset taxable income generated between 2013 and 2017 taxed at 35% resulting in a tax benefit of $50,824,000. As a result, during the six months ended June 30, 2020, the Company’s deferred tax asset related to federal net operating losses decreased by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$77,262,000. During the six months ended June 30, 2020, the Company received a tax refund of $30,606,000 for its 2018 tax return related to net operating losses being carried back to offset taxable income generated during 2013. At June 30, 2020 the Company had a federal income tax receivable of $125,883,000 included in Accounts Receivable – Other on the balance sheet.</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Earnings (loss) before taxes on income and details of the provision (benefit) for taxes on income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Earnings (loss) before taxes on income: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(495,628)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121,655</w:t>
            </w:r>
          </w:p>
        </w:tc>
        <w:tc>
          <w:tcPr>
            <w:tcW w:w="0" w:type="dxa"/>
            <w:vAlign w:val="bottom"/>
          </w:tcPr>
          <w:p>
            <w:pPr>
              <w:spacing w:after="0"/>
              <w:rPr>
                <w:sz w:val="1"/>
                <w:szCs w:val="1"/>
                <w:color w:val="auto"/>
              </w:rPr>
            </w:pPr>
          </w:p>
        </w:tc>
      </w:tr>
      <w:tr>
        <w:trPr>
          <w:trHeight w:val="223"/>
        </w:trPr>
        <w:tc>
          <w:tcPr>
            <w:tcW w:w="4220" w:type="dxa"/>
            <w:vAlign w:val="bottom"/>
          </w:tcPr>
          <w:p>
            <w:pPr>
              <w:ind w:left="180"/>
              <w:spacing w:after="0"/>
              <w:rPr>
                <w:sz w:val="20"/>
                <w:szCs w:val="20"/>
                <w:color w:val="auto"/>
              </w:rPr>
            </w:pPr>
            <w:r>
              <w:rPr>
                <w:rFonts w:ascii="Arial" w:cs="Arial" w:eastAsia="Arial" w:hAnsi="Arial"/>
                <w:sz w:val="18"/>
                <w:szCs w:val="18"/>
                <w:color w:val="auto"/>
              </w:rPr>
              <w:t>Foreign</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23,834</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(495,938)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8"/>
                <w:szCs w:val="18"/>
                <w:color w:val="auto"/>
              </w:rPr>
              <w:t>Provision (benefit) for taxes on income: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40"/>
              <w:spacing w:after="0"/>
              <w:rPr>
                <w:sz w:val="20"/>
                <w:szCs w:val="20"/>
                <w:color w:val="auto"/>
              </w:rPr>
            </w:pPr>
            <w:r>
              <w:rPr>
                <w:rFonts w:ascii="Arial" w:cs="Arial" w:eastAsia="Arial" w:hAnsi="Arial"/>
                <w:sz w:val="18"/>
                <w:szCs w:val="18"/>
                <w:color w:val="auto"/>
              </w:rPr>
              <w:t>Current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(18,608)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(156,304)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13,517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16"/>
        </w:trPr>
        <w:tc>
          <w:tcPr>
            <w:tcW w:w="4220" w:type="dxa"/>
            <w:vAlign w:val="bottom"/>
          </w:tcPr>
          <w:p>
            <w:pPr>
              <w:ind w:left="340"/>
              <w:spacing w:after="0"/>
              <w:rPr>
                <w:sz w:val="20"/>
                <w:szCs w:val="20"/>
                <w:color w:val="auto"/>
              </w:rPr>
            </w:pPr>
            <w:r>
              <w:rPr>
                <w:rFonts w:ascii="Arial" w:cs="Arial" w:eastAsia="Arial" w:hAnsi="Arial"/>
                <w:sz w:val="18"/>
                <w:szCs w:val="18"/>
                <w:color w:val="auto"/>
              </w:rPr>
              <w:t>Deferred</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(11,294)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 current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(1,429)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15,269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(174,238)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29,149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60" w:type="dxa"/>
            <w:vAlign w:val="bottom"/>
            <w:vMerge w:val="restart"/>
          </w:tcPr>
          <w:p>
            <w:pPr>
              <w:jc w:val="right"/>
              <w:ind w:right="195"/>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8"/>
        </w:trPr>
        <w:tc>
          <w:tcPr>
            <w:tcW w:w="42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2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7" w:name="page18"/>
    <w:bookmarkEnd w:id="17"/>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components of basic and diluted earnings (loss) per share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attributable to Kirby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available to Kirby common stockholders – basic</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24,956</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(322,239)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reallocated to restricted shares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(loss) available to Kirby common stockholders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24,956</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47,165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(322,239)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91,343</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Shares outstanding:</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issued and outstanding</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59,882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Weighted average unvested restricted stock</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 – basic</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59,912</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 units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diluted</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59,937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attributable to Kirby common stockholders: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0"/>
                <w:szCs w:val="20"/>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Certain outstanding options to purchase approximately 681,000 and 297,000 shares of common stock were excluded in the computation of diluted earnings per share as of June 30, 2020 and 2019, respectively, as such stock options would have been antidilutive. Certain outstanding RSUs to convert to 162,000 and 4,000 shares of common stock were also excluded in the computation of diluted earnings per share as of June 30, 2020 and 2019, respectively, as such RSUs would have been antidilutive.</w:t>
      </w:r>
    </w:p>
    <w:p>
      <w:pPr>
        <w:spacing w:after="0" w:line="210"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details of inventories – net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3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291,214</w:t>
            </w:r>
          </w:p>
        </w:tc>
        <w:tc>
          <w:tcPr>
            <w:tcW w:w="100" w:type="dxa"/>
            <w:vAlign w:val="bottom"/>
            <w:shd w:val="clear" w:color="auto" w:fill="CCEEFF"/>
          </w:tcPr>
          <w:p>
            <w:pPr>
              <w:spacing w:after="0"/>
              <w:rPr>
                <w:sz w:val="18"/>
                <w:szCs w:val="18"/>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Work in process</w:t>
            </w:r>
          </w:p>
        </w:tc>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55,010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60,187</w:t>
            </w:r>
          </w:p>
        </w:tc>
      </w:tr>
      <w:tr>
        <w:trPr>
          <w:trHeight w:val="257"/>
        </w:trPr>
        <w:tc>
          <w:tcPr>
            <w:tcW w:w="3360" w:type="dxa"/>
            <w:vAlign w:val="bottom"/>
            <w:tcBorders>
              <w:bottom w:val="single" w:sz="8" w:color="CCEEFF"/>
            </w:tcBorders>
            <w:shd w:val="clear" w:color="auto" w:fill="CCEEFF"/>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335,958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818"/>
        </w:trPr>
        <w:tc>
          <w:tcPr>
            <w:tcW w:w="3360" w:type="dxa"/>
            <w:vAlign w:val="bottom"/>
          </w:tcPr>
          <w:p>
            <w:pPr>
              <w:spacing w:after="0"/>
              <w:rPr>
                <w:sz w:val="24"/>
                <w:szCs w:val="24"/>
                <w:color w:val="auto"/>
              </w:rPr>
            </w:pPr>
          </w:p>
        </w:tc>
        <w:tc>
          <w:tcPr>
            <w:tcW w:w="5320" w:type="dxa"/>
            <w:vAlign w:val="bottom"/>
          </w:tcPr>
          <w:p>
            <w:pPr>
              <w:jc w:val="right"/>
              <w:ind w:right="2908"/>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360" w:type="dxa"/>
            <w:vAlign w:val="bottom"/>
            <w:tcBorders>
              <w:bottom w:val="single" w:sz="8" w:color="auto"/>
            </w:tcBorders>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4" w:right="339" w:bottom="1440" w:gutter="0" w:footer="0" w:header="0"/>
        </w:sectPr>
      </w:pPr>
    </w:p>
    <w:bookmarkStart w:id="18" w:name="page19"/>
    <w:bookmarkEnd w:id="18"/>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2020.</w:t>
      </w:r>
    </w:p>
    <w:p>
      <w:pPr>
        <w:spacing w:after="0" w:line="21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$483,000 and $479,000 to the Higman pension plan in the 2020 first six months for the 2019 and 2020 plan years, respectively. In addition, the Company made a contribution of $479,000 to the Higman pension plan during July 2020 for the 2020 plan year. The Company expects to make an additional contribution of $314,000 to the Higman pension plan during 2020 for the 2019 plan year and contributions of $479,000 for the 2020 plan year.</w:t>
      </w:r>
    </w:p>
    <w:p>
      <w:pPr>
        <w:spacing w:after="0" w:line="20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periodic benefit cost for the Company’s defined benefit plans were as follows (in thousands):</w:t>
      </w:r>
    </w:p>
    <w:p>
      <w:pPr>
        <w:spacing w:after="0" w:line="248"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2746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9660" w:val="left"/>
        </w:tabs>
        <w:rPr>
          <w:sz w:val="20"/>
          <w:szCs w:val="20"/>
          <w:color w:val="auto"/>
        </w:rPr>
      </w:pPr>
      <w:r>
        <w:rPr>
          <w:rFonts w:ascii="Arial" w:cs="Arial" w:eastAsia="Arial" w:hAnsi="Arial"/>
          <w:sz w:val="18"/>
          <w:szCs w:val="18"/>
          <w:b w:val="1"/>
          <w:bCs w:val="1"/>
          <w:color w:val="auto"/>
        </w:rPr>
        <w:t>Pension Plan</w:t>
      </w:r>
      <w:r>
        <w:rPr>
          <w:sz w:val="20"/>
          <w:szCs w:val="20"/>
          <w:color w:val="auto"/>
        </w:rPr>
        <w:tab/>
      </w:r>
      <w:r>
        <w:rPr>
          <w:rFonts w:ascii="Arial" w:cs="Arial" w:eastAsia="Arial" w:hAnsi="Arial"/>
          <w:sz w:val="16"/>
          <w:szCs w:val="16"/>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2746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36" w:lineRule="exact"/>
        <w:rPr>
          <w:sz w:val="20"/>
          <w:szCs w:val="20"/>
          <w:color w:val="auto"/>
        </w:rPr>
      </w:pPr>
    </w:p>
    <w:p>
      <w:pPr>
        <w:jc w:val="center"/>
        <w:ind w:left="61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159448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ind w:left="6360"/>
        <w:spacing w:after="0"/>
        <w:tabs>
          <w:tab w:leader="none" w:pos="77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5715</wp:posOffset>
            </wp:positionV>
            <wp:extent cx="15430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tabs>
          <w:tab w:leader="none" w:pos="130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50" w:lineRule="exact"/>
        <w:rPr>
          <w:sz w:val="20"/>
          <w:szCs w:val="20"/>
          <w:color w:val="auto"/>
        </w:rPr>
      </w:pPr>
    </w:p>
    <w:p>
      <w:pPr>
        <w:sectPr>
          <w:pgSz w:w="11900" w:h="16838" w:orient="portrait"/>
          <w:cols w:equalWidth="0" w:num="2">
            <w:col w:w="8360" w:space="720"/>
            <w:col w:w="216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17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1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3,949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4,040</w:t>
            </w:r>
          </w:p>
        </w:tc>
        <w:tc>
          <w:tcPr>
            <w:tcW w:w="5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(5,254)</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240" w:type="dxa"/>
            <w:vAlign w:val="bottom"/>
          </w:tcPr>
          <w:p>
            <w:pPr>
              <w:ind w:left="180"/>
              <w:spacing w:after="0"/>
              <w:rPr>
                <w:sz w:val="20"/>
                <w:szCs w:val="20"/>
                <w:color w:val="auto"/>
              </w:rPr>
            </w:pPr>
            <w:r>
              <w:rPr>
                <w:rFonts w:ascii="Arial" w:cs="Arial" w:eastAsia="Arial" w:hAnsi="Arial"/>
                <w:sz w:val="18"/>
                <w:szCs w:val="18"/>
                <w:color w:val="auto"/>
              </w:rPr>
              <w:t>Amortization of actuarial loss</w:t>
            </w: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56"/>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periodic benefit cost</w:t>
            </w:r>
          </w:p>
        </w:tc>
        <w:tc>
          <w:tcPr>
            <w:tcW w:w="1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4240" w:type="dxa"/>
            <w:vAlign w:val="bottom"/>
          </w:tcPr>
          <w:p>
            <w:pPr>
              <w:spacing w:after="0"/>
              <w:rPr>
                <w:sz w:val="24"/>
                <w:szCs w:val="24"/>
                <w:color w:val="auto"/>
              </w:rPr>
            </w:pPr>
          </w:p>
        </w:tc>
        <w:tc>
          <w:tcPr>
            <w:tcW w:w="1740" w:type="dxa"/>
            <w:vAlign w:val="bottom"/>
          </w:tcPr>
          <w:p>
            <w:pPr>
              <w:jc w:val="right"/>
              <w:ind w:right="199"/>
              <w:spacing w:after="0"/>
              <w:rPr>
                <w:sz w:val="20"/>
                <w:szCs w:val="20"/>
                <w:color w:val="auto"/>
              </w:rPr>
            </w:pPr>
            <w:r>
              <w:rPr>
                <w:rFonts w:ascii="Arial" w:cs="Arial" w:eastAsia="Arial" w:hAnsi="Arial"/>
                <w:sz w:val="14"/>
                <w:szCs w:val="14"/>
                <w:color w:val="auto"/>
              </w:rPr>
              <w:t>15</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2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Pension Benefits</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6"/>
              </w:rPr>
              <w:t>Pension Plan</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3"/>
              </w:rPr>
              <w:t>SERP</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4"/>
          </w:tcPr>
          <w:p>
            <w:pPr>
              <w:jc w:val="center"/>
              <w:ind w:right="130"/>
              <w:spacing w:after="0" w:line="198" w:lineRule="exact"/>
              <w:rPr>
                <w:sz w:val="20"/>
                <w:szCs w:val="20"/>
                <w:color w:val="auto"/>
              </w:rPr>
            </w:pPr>
            <w:r>
              <w:rPr>
                <w:rFonts w:ascii="Arial" w:cs="Arial" w:eastAsia="Arial" w:hAnsi="Arial"/>
                <w:sz w:val="18"/>
                <w:szCs w:val="18"/>
                <w:b w:val="1"/>
                <w:bCs w:val="1"/>
                <w:color w:val="auto"/>
                <w:w w:val="87"/>
              </w:rPr>
              <w:t>Six months ended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4"/>
          </w:tcPr>
          <w:p>
            <w:pPr>
              <w:jc w:val="center"/>
              <w:ind w:right="150"/>
              <w:spacing w:after="0" w:line="198" w:lineRule="exact"/>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8,247</w:t>
            </w:r>
          </w:p>
        </w:tc>
        <w:tc>
          <w:tcPr>
            <w:tcW w:w="24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26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Amortization of actuarial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719</w:t>
            </w:r>
          </w:p>
        </w:tc>
        <w:tc>
          <w:tcPr>
            <w:tcW w:w="24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14</w:t>
            </w: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38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periodic benefit cost for the Company’s postretirement benefit plan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w w:val="90"/>
              </w:rPr>
              <w:t>Other Postretirement Benefits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w w:val="94"/>
              </w:rPr>
              <w:t>Postretirement Welfare Plan</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980" w:type="dxa"/>
            <w:vAlign w:val="bottom"/>
          </w:tcPr>
          <w:p>
            <w:pPr>
              <w:spacing w:after="0"/>
              <w:rPr>
                <w:sz w:val="17"/>
                <w:szCs w:val="17"/>
                <w:color w:val="auto"/>
              </w:rPr>
            </w:pPr>
          </w:p>
        </w:tc>
        <w:tc>
          <w:tcPr>
            <w:tcW w:w="2140" w:type="dxa"/>
            <w:vAlign w:val="bottom"/>
            <w:gridSpan w:val="4"/>
          </w:tcPr>
          <w:p>
            <w:pPr>
              <w:jc w:val="right"/>
              <w:ind w:right="17"/>
              <w:spacing w:after="0" w:line="198" w:lineRule="exact"/>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4"/>
          </w:tcPr>
          <w:p>
            <w:pPr>
              <w:jc w:val="right"/>
              <w:ind w:right="450"/>
              <w:spacing w:after="0" w:line="198" w:lineRule="exact"/>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actuarial gain</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(130)</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r>
      <w:tr>
        <w:trPr>
          <w:trHeight w:val="27"/>
        </w:trPr>
        <w:tc>
          <w:tcPr>
            <w:tcW w:w="59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Net periodic benefit cost</w:t>
            </w:r>
          </w:p>
        </w:tc>
        <w:tc>
          <w:tcPr>
            <w:tcW w:w="780" w:type="dxa"/>
            <w:vAlign w:val="bottom"/>
          </w:tcPr>
          <w:p>
            <w:pPr>
              <w:jc w:val="right"/>
              <w:ind w:right="618"/>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(125)</w:t>
            </w:r>
          </w:p>
        </w:tc>
        <w:tc>
          <w:tcPr>
            <w:tcW w:w="760" w:type="dxa"/>
            <w:vAlign w:val="bottom"/>
          </w:tcPr>
          <w:p>
            <w:pPr>
              <w:jc w:val="right"/>
              <w:ind w:right="59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r>
      <w:tr>
        <w:trPr>
          <w:trHeight w:val="21"/>
        </w:trPr>
        <w:tc>
          <w:tcPr>
            <w:tcW w:w="5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changes in other comprehensive income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8"/>
              </w:rPr>
              <w:t>Income Tax</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(Provision)</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(Provision)</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r>
      <w:tr>
        <w:trPr>
          <w:trHeight w:val="241"/>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Benefit</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Benefit</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 xml:space="preserve">Pension and postretirement benefits </w:t>
            </w:r>
            <w:r>
              <w:rPr>
                <w:rFonts w:ascii="Arial" w:cs="Arial" w:eastAsia="Arial" w:hAnsi="Arial"/>
                <w:sz w:val="14"/>
                <w:szCs w:val="14"/>
                <w:color w:val="auto"/>
              </w:rPr>
              <w:t>(</w:t>
            </w:r>
            <w:r>
              <w:rPr>
                <w:rFonts w:ascii="Arial" w:cs="Arial" w:eastAsia="Arial" w:hAnsi="Arial"/>
                <w:sz w:val="18"/>
                <w:szCs w:val="18"/>
                <w:color w:val="auto"/>
              </w:rPr>
              <w:t>a</w:t>
            </w:r>
            <w:r>
              <w:rPr>
                <w:rFonts w:ascii="Arial" w:cs="Arial" w:eastAsia="Arial" w:hAnsi="Arial"/>
                <w:sz w:val="14"/>
                <w:szCs w:val="14"/>
                <w:color w:val="auto"/>
              </w:rPr>
              <w:t>)</w:t>
            </w:r>
            <w:r>
              <w:rPr>
                <w:rFonts w:ascii="Arial" w:cs="Arial" w:eastAsia="Arial" w:hAnsi="Arial"/>
                <w:sz w:val="18"/>
                <w:szCs w:val="18"/>
                <w:color w:val="auto"/>
              </w:rPr>
              <w:t>:</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Actuarial gains (losses)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905</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8,167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6,123</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(2,126)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6,004</w:t>
            </w: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w w:val="87"/>
              </w:rPr>
              <w:t>Six months ended June 30,</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8"/>
              </w:rPr>
              <w:t>Income Tax</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(Provision)</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r>
      <w:tr>
        <w:trPr>
          <w:trHeight w:val="241"/>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Benefit</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Provision</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Actuarial gains (losses)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905</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(2,704)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8,167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6,123</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(3,318)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6,544</w:t>
            </w: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Actuarial gains (losses) are amortized into other income. (See Note 13, Retirement Plans)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May 10, 2019, two tank barges and a towboat, the M/V Voyager, owned and operated by Kirby Inland Marine, LP (“Kirby Inland Marine”), a wholly owned subsidiary of the Company, were struck by the LPG tanker, the Genesis River, in the Houston Ship Channel. The bow of the Genesis River penetrated the Kirby 30015T and capsized the MMI 3014. The collision penetrated the hull of the Kirby 30015T causing its cargo, reformate, to be discharged into the water. The United States Coast Guard (“USCG”) and the National Transportation Safety Board (“NTSB”) designated the owner and pilot of the Genesis River as well as the subsidiary of the Company as parties of interest in their investigation into the cause of the incident. On June 19, 2019, the Company filed a limitation action in the U.S. District Court of the Southern District of Texas - Galveston Division seeking limitation of liability and asserting that the Genesis River and her owner/manager are at fault for damages including removal costs and claims under the Oil Pollution Act of 1990 and maritime law. Multiple claimants have filed claims in the limitation seeking damages under the Oil Pollution Act of 1990. The Company has various insurance policies covering liabilities including pollution, marine and general liability and believes that it has satisfactory insurance coverage for the potential liabilities arising from the incident. The Company believes it has accrued adequate reserves for the incident and does not expect the incident to have a material adverse effect on its business or financial condition.</w:t>
      </w:r>
    </w:p>
    <w:p>
      <w:pPr>
        <w:spacing w:after="0" w:line="20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21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March 22, 2014, two tank barges and a towboat, the M/V Miss Susan, owned by Kirby Inland Marine, were involved in a collision with the M/S Summer Wind on the Houston Ship Channel near Texas City, Texas. The lead tank barge was damaged in the collision resulting in a discharge of intermediate fuel oil from one of its cargo tanks.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1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$23,169,000 at June 30, 2020, including $11,345,000 in letters of credit and $11,824,000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Statements contained in this Form 10-Q that are not historical facts, including, but not limited to, any projections contained herein, are forward-looking statements. These statements reflect management’s reasonable judgment with respect to future events. Forward-looking statements involve risks and uncertainties. Such statements can be identified by the use of forward-looking terminology such as “may,” “will,” “expect,” “anticipate,” “estimate,” or “continue,” or the negative thereof or other variations thereon or comparable terminology. Actual results could differ materially from those anticipated as a result of various factors including cyclical or other downturns in demand, significant pricing competition, unanticipated additions to industry capacity, changes in the Jones Act or in United States maritime policy and practice, fuel costs, interest rates, weather conditions and timing, magnitude and number of acquisitions made by the Company, and the impact of the COVID-19 pandemic and the related response of governments on global and regional market conditions. Forward-looking statements are based on currently available information and Kirby assumes no obligation to update any such statements. A list of additional risk factors can be found in the Company’s Annual Report on Form 10-K for the year ended December 31, 2019 and Item 1A — Risk Factors below.</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the Management’s Discussion, all net earnings (loss) per share attributable to Kirby common stockholders are “diluted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The weighted average number of common shares applicable to diluted earnings (loss) per share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2740" w:type="dxa"/>
            <w:vAlign w:val="bottom"/>
            <w:gridSpan w:val="4"/>
          </w:tcPr>
          <w:p>
            <w:pPr>
              <w:ind w:left="180"/>
              <w:spacing w:after="0"/>
              <w:rPr>
                <w:sz w:val="20"/>
                <w:szCs w:val="20"/>
                <w:color w:val="auto"/>
              </w:rPr>
            </w:pPr>
            <w:r>
              <w:rPr>
                <w:rFonts w:ascii="Arial" w:cs="Arial" w:eastAsia="Arial" w:hAnsi="Arial"/>
                <w:sz w:val="18"/>
                <w:szCs w:val="18"/>
                <w:b w:val="1"/>
                <w:bCs w:val="1"/>
                <w:color w:val="auto"/>
                <w:w w:val="99"/>
              </w:rPr>
              <w:t>Three months ended June 30,</w:t>
            </w:r>
          </w:p>
        </w:tc>
        <w:tc>
          <w:tcPr>
            <w:tcW w:w="2640" w:type="dxa"/>
            <w:vAlign w:val="bottom"/>
            <w:gridSpan w:val="4"/>
          </w:tcPr>
          <w:p>
            <w:pPr>
              <w:ind w:left="2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8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stock - diluted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59,937</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59,865</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 in the weighted average number of common shares for the 2020 second quarter and first six months compared with the 2019 second quarter and first six months primarily reflected the issuance of restricted stock, the issuance of common stock for the vesting of RSUs and the exercise of stock options, partially offset by the exclusion of antidilutive stock options and RSUs outstanding during the 2020 first six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June 30, 2020, the Company operated a fleet of 1,131 inland tank barges with 25.6 million barrels of capacity, and an average of 324 inland towboats. The Company’s coastal fleet consisted of 47 tank barges with 4.5 million barrels of capacity and an average of 44 coastal tugboats. The Company also owns and operates four offshore dry-bulk cargo barges, four offshore tugboats and one docking tugboat transporting dry-bulk commodities in United States coastal trade. Through its distribution and services segment,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21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2020 second quarter, net earnings attributable to Kirby were $25,002,000, or $0.42 per share, on revenues of $541,159,000, compared with 2019 second quarter net earnings attributable to Kirby of $47,287,000, or $0.79 per share, on revenues of $771,042,000. For the 2020 first six months, net loss attributable to Kirby was $322,239,000, or $5.38 per share, on revenues of $1,185,085,000, compared with 2019 first six months net earnings attributable to Kirby of $91,583,000, or $1.53 per share, on revenues of $1,515,663,000. The 2020 second quarter included $3,339,000 before taxes, $2,674,000 after taxes, or $0.04 per share of bad debt expense and $1,354,000 before taxes, $1,085,000 after taxes, or $0.02 per share of severance expenses. The 2020 first quarter included $561,274,000 before taxes, $433,341,000 after taxes, or $7.24 per share, non-cash charges related to inventory write-downs, impairment of long-lived assets, including intangible assets and property and equipment, and impairment of goodwill in the distribution and services segment. See Note 8, Impairments and Other Charges for additional information. In addition, the 2020 first quarter was favorably impacted by an income tax benefit of $50,824,000, or $0.85 per share related to net operating losses generated in 2018 and 2019 used to offset taxable income generated between 2013 and 2017. See Note 10, Taxes on Income for additional information.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2020 second quarter and first six months, the Company’s marine transportation segment generated 70% and 66%, respectively, of the Company’s revenue.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20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Company’s marine transportation segment’s revenues for the 2020 second quarter and first six months decreased 6% and increased 2%, respectively, and operating income decreased 4% and increased 15%, respectively, compared with the 2019 second quarter and first six months revenues and operating income. The decreases during the second quarter were primarily due to reduced utilization in the inland and coastal markets as a result of a reduction in demand due to the COVID-19 pandemic, lower fuel rebills, retirements of two large coastal barges, and planned shipyard activity in coastal. These reductions were partially offset by the acquisition of the Savage fleet acquired on April 1, 2020. The increases for the six months are primarily due to the addition of the Savage fleet and the Cenac Marine Services, LLC (“Cenac”) fleet acquired on March 14, 2019, partially offset by the effects of the COVID-19 pandemic on the Company’s operations during the 2020 second quarter. The 2020 first quarter and 2019 first six months were impacted by poor operating conditions and high delay days due to heavy fog and wind along the Gulf Coast, high water on the Mississippi River System, and closures of key waterways as a result of lock maintenance projects, as well as increased shipyard days on large capacity coastal vessels. The 2019 first six months was also impacted by prolonged periods of ice on the Illinois River and a fire at a chemical storage facility on the Houston Ship Channel. For the 2020 second quarter and first six months, the inland tank barge fleet contributed 80% and 79%, respectively, and the coastal fleet contributed 20% and 21%, respectively, of marine transportation revenues. For both the 2019 second quarter and first six months, the inland tank barge fleet contributed 77%, and the coastal fleet contributed 23% of marine transportation revenues.</w:t>
      </w:r>
    </w:p>
    <w:p>
      <w:pPr>
        <w:spacing w:after="0" w:line="21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Inland tank barge utilization levels averaged in the low to mid-90% range during the 2020 first quarter and the mid-80% range during the 2020 second quarter. In 2019, inland tank barge utilization levels averaged in the mid-90% range during both the 2019 first and second quarters. The 2020 first quarter and 2019 first six months each experienced strong demand from petrochemicals, black oil, and refined petroleum products customers. Extensive delay days due to poor operating conditions and lock maintenance projects in the 2020 first quarter and 2019 first six months slowed the transport of customer cargoes and contributed to strong utilization during those periods. Reduced demand as a result of the COVID-19 pandemic and resulting economic slowdown contributed to lower utilization during the 2020 second quarter.</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Coastal tank barge utilization levels averaged in the low to mid-80% range during the 2020 first quarter and the mid-70% range during the 2020 second quarter. In 2019, coastal tank barge utilization levels averaged in the low 80% range during the 2019 first quarter and the mid-80% range during the 2019 second quarter. Utilization in the coastal marine fleet continued to be impacted by the oversupply of smaller tank barges in the coastal industry during each of the 2020 and 2019 first six months.</w:t>
      </w:r>
    </w:p>
    <w:p>
      <w:pPr>
        <w:spacing w:after="0" w:line="21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During the 2020 second quarter and first six months, approximately 65% and 60%, respectively, of marine transportation’s inland revenues were under term contracts, which have contract terms of 12 months or longer, and 35% and 40%, respectively, were spot contract revenues, which have contract terms of less than 12 months. During both the 2019 second quarter and first six months, approximately 65% of marine transportation’s inland revenues were under term contracts, and 35% were spot contract revenues. Inland time charters during the 2020 second quarter and first six months represented 68% and 67%, respectively, of the inland revenues under term contracts compared with 63% and 62%, respectively, in the 2019 second quarter and first six months. Rates on inland term contracts renewed in the 2020 first quarter increased in the 1% to 3% average range compared with term contracts renewed in the 2019 first quarter. Rates on inland term contracts renewed in the 2020 second quarter were flat compared with term contracts renewed in the 2019 second quarter. Spot contract rates in the 2020 first quarter increased in the 4% to 6% average range compared to the 2019 first quarter. Spot contract rates in the 2020 second quarter decreased in the 5% to 10% average range compared to the 2019 second quarter. There was no material rate increase on January 1, 2020 related to annual escalators for labor and the producer price index on a number of inland multi-year contracts.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324"/>
        <w:spacing w:after="0" w:line="270" w:lineRule="auto"/>
        <w:rPr>
          <w:sz w:val="20"/>
          <w:szCs w:val="20"/>
          <w:color w:val="auto"/>
        </w:rPr>
      </w:pPr>
      <w:r>
        <w:rPr>
          <w:rFonts w:ascii="Arial" w:cs="Arial" w:eastAsia="Arial" w:hAnsi="Arial"/>
          <w:sz w:val="17"/>
          <w:szCs w:val="17"/>
          <w:color w:val="auto"/>
        </w:rPr>
        <w:t>During both the 2020 second quarter and first six months, approximately 85% of coastal revenues were under term contracts, and 15% were under spot contract revenues. During both the 2019 second quarter and first six months, approximately 80%, respectively, of the coastal revenues were under term contracts and 20% were spot contract revenues. Coastal time charters during both the 2020 second quarter and first six months each represented approximately 90%, of coastal revenues under term contracts compared with 85% during both the 2019 second quarter and first six months. Spot and term contract pricing in the coastal market are contingent on various factors including geographic location, vessel capacity, vessel type, and product serviced. Rates on coastal term contracts renewed in the 2020 first quarter increased in the 10% to 15% average range compared with term contracts renewed in the 2019 first quarter. Rates on coastal term contracts renewed in the 2020 second quarter were flat compared with term contracts renewed in the 2019 second quarter. Spot market rates in the 2020 first quarter improved in the 10% to 15% average range compared to the 2019 first quarter. Spot market rates in the 2020 second quarter were flat compared to the 2019 second quarter.</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marine transportation segment operating margin was 13.5% for the 2020 second quarter compared with 13.2% for the 2019 second quarter and 13.0% for the 2020 first six months compared to 11.5% for the 2019 first six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2020 second quarter and first six months, the distribution and services segment generated 30% and 34%, respectively, of the Company’s revenue, of which 99% and 94%, respectively, was generated from service and parts and 1% and 6%, respectively, from manufacturing. The results of the distribution and services segment are largely influenced by the economic cycles of the oilfield service and oil and gas operator and producer markets, marine, power generation, on-highway, and other industrial markets.</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Distribution and services revenues for the 2020 second quarter and first six months decreased 56% and 46%, respectively, and operating income decreased 161% and 117%, respectively, compared with the 2019 second quarter and first six months, revenue and operating income. The decreases were primarily attributable to reduced activity in the oilfield as a result of oil price volatility throughout 2019 and the 2020 first six months, the extensive downturn in oil and gas exploration due to low oil prices, caused in part by the COVID-19 pandemic, an oversupply of pressure pumping equipment in North America, and reduced spending and enhanced cash flow discipline for the Company’s major oilfield customers. As a result, customer demand and incremental orders for new and remanufactured pressure pumping equipment and sales of new and overhauled transmissions and related parts and service declined during the 2020 second quarter and first six months. For the 2020 second quarter and first six months, the oil and gas market contributed 19% and 27%, respectively, of the distribution and services revenues.</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commercial and industrial market revenues, which contributed 81% and 73%, respectively, of the distribution and services revenues for the 2020 second quarter and first six months, decreased compared to the 2019 second quarter and first six months, primarily due to reductions in on-highway and power generation service demand as a result of the COVID-19 pandemic and resulting economic slowdown and nationwide, state, and local stay-at-home orders, partially offset by contributions from the Convoy acquisition. Demand in the marine repair and nuclear power generation businesses remained solid in the 2020 second quarter and 2020 first six months, but were down modestly compared to the 2019 second quarter first six months due to reduced engine overhauls and engine sales.</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distribution and services segment operating margin for the 2020 second quarter was (8.8)% compared with 6.3% for the 2019 second quarter and (2.6)% for the 2020 first six months compared to 8.2% for the 2019 first six months. The 2020 second quarter results were adversely impacted by the bankruptcy of a large oil and gas customer, resulting in a $3,339,000 bad debt expense charge and severance expenses of $1,354,000 as a result of continued workforce reductions.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b w:val="1"/>
          <w:bCs w:val="1"/>
          <w:color w:val="auto"/>
        </w:rPr>
        <w:t>Cash Flows and Capital Expenditures</w:t>
      </w: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continued to generate favorable operating cash flows during the 2020 first six months with net cash provided by operating activities of $242,144,000 compared with $188,197,000 for the 2019 first six months, a 29% increase. The improvement was driven by increased revenues and operating income in the marine transportation segment driven by the Savage acquisition in April 2020, the Cenac acquisition in March 2019, and increased coastal pricing and inland term pricing, partially offset by decreased inland spot pricing. The improvement was also due to changes in certain operating assets and liabilities primarily related to reduced incentive compensation payouts in the 2020 first quarter and a decrease in trade accounts receivable compared to an increase in the 2019 first six months, driven by reduced business activity levels in the distribution and services segment. In addition, during the six months ended June 30, 2020, the Company received a tax refund of $30,606,000 for its 2018 tax return related to net operating losses being carried back to offset taxable income generated during 2013. During the 2020 and 2019 first six months, the Company generated cash of $4,918,000 and $23,364,000, respectively, from proceeds from the disposition of assets, and $353,000 and $1,903,000, respectively, from proceeds from the exercise of stock options.</w:t>
      </w:r>
    </w:p>
    <w:p>
      <w:pPr>
        <w:spacing w:after="0" w:line="2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2020 first six months, cash generated and borrowings under the Company’s Revolving Credit Facility were used for capital expenditures of $92,830,000 (including a decrease in accrued capital expenditures of $4,936,000), including $5,120,000 for inland towboat construction and $87,710,000 primarily for upgrading existing marine equipment and marine transportation and distribution and services facilities. The Company also used $342,247,000 for acquisitions of businesses and marine equipment, more fully described under Acquisitions below.</w:t>
      </w:r>
    </w:p>
    <w:p>
      <w:pPr>
        <w:spacing w:after="0" w:line="19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debt-to-capitalization ratio increased to 35.0% at June 30, 2020 from 28.9% at December 31, 2019, primarily due to borrowings under the Revolving Credit Facility to purchase the Savage fleet, which was completed on April 1, 2020, and the Convoy acquisition in the 2020 first quarter and the decrease in total equity, primarily from the net loss attributable to Kirby for the 2020 first six months of $322,239,000. The Company’s debt outstanding as of June 30, 2020 and December 31, 2019 is detailed in Long-Term Financing below.</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2020 first six months, the Company acquired 92 inland tank barges from Savage with a total capacity of approximately 2.5 million barrels, purchased four newly constructed inland pressure barges, retired 27 inland tank barges, returned one leased inland tank barge, and brought back into service 10 inland tank barges. The net result was an increase of 78 inland tank barges and approximately 2.2 million barrels of capacity during the 2020 first six months.</w:t>
      </w: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Given the current uncertainty surrounding the impact of the COVID-19 pandemic, the Company projects that capital expenditures for 2020 will be approximately $150,000,000. The current 2020 construction program consists of $5,000,000 in progress payments on the construction of one inland towboat placed in service during the 2020 second quarter and five inland towboats to be placed in service in 2021. Approximately $130,000,000 is primarily capital upgrades and improvements to existing marine equipment and facilities. The balance of $15,000,000 will be primarily related to information technology projects in the distribution and services segment and corporate. Funding for future capital expenditures is expected to be provided through operating cash flows and borrowings under the Company’s Revolving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there remains significant uncertainty around the full impact of the COVID-19 pandemic, in the inland marine transportation market, the Company expects a slow recovery until economic activity rebounds more significantly. With barge utilization rates starting the 2020 third quarter in the mid-70% range, the Company anticipates lower average barge utilization sequentially. This is expected to have an adverse impact on revenues, however, management of the cost structure will help offset some of the weakness. Overall, the Company expects inland revenues and operating income to decline in the 2020 third quarter when compared to the second quarter.</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June 30, 2020, the Company estimated there were approximately 4,000 inland tank barges in the industry fleet, of which approximately 350 were over 30 years old and approximately 260 of those over 40 years old. The Company estimates that approximately 130 to 150 tank barges have been ordered for delivery throughout 2020 and many older tank barges, including approximately 40 expected by the Company, will be retired. Historically, 75 to 150 older inland tank barges are retired from service each year industry-wide, with the extent of the retirements dependent on market conditions, petrochemical and refinery production levels, and crude oil and natural gas condensate movements, all of which can have a direct effect on industry-wide tank barge utilization, as well as term and spot contract rates. Given current market conditions as a result of the COVID-19 pandemic, the Company believes that industry retirements could be in the higher end of the historical range during 2020.</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324"/>
        <w:spacing w:after="0" w:line="259" w:lineRule="auto"/>
        <w:rPr>
          <w:sz w:val="20"/>
          <w:szCs w:val="20"/>
          <w:color w:val="auto"/>
        </w:rPr>
      </w:pPr>
      <w:r>
        <w:rPr>
          <w:rFonts w:ascii="Arial" w:cs="Arial" w:eastAsia="Arial" w:hAnsi="Arial"/>
          <w:sz w:val="18"/>
          <w:szCs w:val="18"/>
          <w:color w:val="auto"/>
        </w:rPr>
        <w:t>In the coastal marine transportation market, with approximately 85% of revenues under long-term contracts and reduced shipyard activity, the Company expects modest improvements in revenues and operating income in the 2020 third quarter. During the 2020 third quarter, the Company expects to retire one aging coastal ATB that would have required uneconomic ballast water management systems at its next shipyard date. The Company also expects volumes in its coal transportation business to decline for the remainder of 2020.</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2020, the Company estimated there were approximately 280 tank barges operating in the 195,000 barrels or less coastal industry fleet, the sector of the market in which the Company operates, and approximately 20 of those were over 25 years old. The Company is aware of one announced coastal tank barge and tugboat unit in the 195,000 barrels or less category delivered during the 2020 second quarter in addition to one under construction by a competitor for delivery in 2021.</w:t>
      </w:r>
    </w:p>
    <w:p>
      <w:pPr>
        <w:spacing w:after="0" w:line="21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results of the distribution and services segment are largely influenced by the economic cycles of the land-based oilfield service and oil and gas operator and producer markets, marine, power generation, on-highway and other industrial markets. Activity in oil and gas is expected to remain challenged with all major customers curtailing spending for the duration of 2020. This is likely to result in only minimal levels of service and parts sales in distribution, as well as very few new orders for pressure pumping equipment in manufacturing. The Company does not expect a material improvement in activity in the short-term as many customers have significant excess pressure pumping capacity available for use.</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distribution and services commercial and industrial market continues to be adversely impacted by reduced economic activity, although there have been some recent improvements in the on-highway and power generation sectors. Fleet miles in the nation’s trucking industry are growing, and power generation projects which were previously deferred are being rescheduled for the coming months. In addition, the Company expects seasonally higher activity in the power generation and the Thermo-King refrigeration businesses. As a result, the Company expects the segment operating margins to improve in the 2020 third quarter, but remain below breakeven levels.</w:t>
      </w:r>
    </w:p>
    <w:p>
      <w:pPr>
        <w:spacing w:after="0" w:line="21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While the COVID-19 pandemic has adversely impacted the Company's business, to date, it has not materially adversely impacted its ability to conduct its operations in either business segment. The Company has maintained business continuity and the Company expect to continue to do so.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six months ended June 30, 2020, the Company purchased four newly constructed inland pressure barges for $26,625,000 in cash.</w:t>
      </w:r>
    </w:p>
    <w:p>
      <w:pPr>
        <w:spacing w:after="0" w:line="2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 2020, the Company completed the acquisition of the inland tank barge fleet of Savage for $278,999,000 in cash. Savage’s tank barge fleet consisted of 92 inland tank barges with approximately 2.5 million barrels of capacity and 45 inland towboats. The Savage assets that were acquired primarily move petrochemicals, refined products, and crude oil on the Mississippi River, its tributaries, and the Gulf Intracoastal Waterway. The Company also acquired Savage’s ship bunkering business and barge fleeting business along the Gulf Coast.</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3, 2020, the Company completed the acquisition of substantially all the assets of Convoy for $37,180,000 in cash. Convoy is an authorized dealer for Thermo King refrigeration systems for trucks, railroad cars and other land transportation markets for North and East Texas and Colorado.</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of the acquisitions was through borrowings under the Company’s Revolving Credit Facility.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2020 second quarter, net earnings attributable to Kirby were $25,002,000, or $0.42 per share, on revenues of $541,159,000, compared with 2019 second quarter net earnings attributable to Kirby of $47,287,000, or $0.79 per share, on revenues of $771,042,000. For the 2020 first six months, net loss attributable to Kirby was $322,239,000, or $5.38 per share, on revenues of $1,185,085,000, compared with 2019 first six months net earnings attributable to Kirby of $91,583,000, or $1.53 per share, on revenues of $1,515,663,000. The 2020 second quarter included $3,339,000 before taxes, $2,674,000 after taxes, or $0.04 per share of bad debt expense and $1,354,000 before taxes, $1,085,000 after taxes, or $0.02 per share of severance expenses. The 2020 first quarter included $561,274,000 before taxes, $433,341,000 after taxes, or $7.24 per share, non-cash charges related to inventory write-downs, impairment of long-lived assets, including intangible assets and property and equipment, and impairment of goodwill in the distribution and services segment. See Note 8, Impairments and Other Charges for additional information. In addition, the 2020 first quarter was favorably impacted by an income tax benefit of $50,824,000, or $0.85 per share related to net operating losses generated in 2018 and 2019 used to offset taxable income generated between 2013 and 2017. See Note 10, Taxes on Income for additional information.</w:t>
      </w: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marine transportation and distribution and services revenues and the percentage of each to total revenues for the comparable periods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9"/>
          </w:tcPr>
          <w:p>
            <w:pPr>
              <w:ind w:left="680"/>
              <w:spacing w:after="0"/>
              <w:rPr>
                <w:sz w:val="20"/>
                <w:szCs w:val="20"/>
                <w:color w:val="auto"/>
              </w:rPr>
            </w:pPr>
            <w:r>
              <w:rPr>
                <w:rFonts w:ascii="Arial" w:cs="Arial" w:eastAsia="Arial" w:hAnsi="Arial"/>
                <w:sz w:val="18"/>
                <w:szCs w:val="18"/>
                <w:b w:val="1"/>
                <w:bCs w:val="1"/>
                <w:color w:val="auto"/>
                <w:w w:val="92"/>
              </w:rPr>
              <w:t>Three months ended June 30,</w:t>
            </w: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8"/>
                <w:szCs w:val="18"/>
                <w:b w:val="1"/>
                <w:bCs w:val="1"/>
                <w:color w:val="auto"/>
              </w:rPr>
              <w:t>Six months ended June 30,</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Marine transportation</w:t>
            </w:r>
          </w:p>
        </w:tc>
        <w:tc>
          <w:tcPr>
            <w:tcW w:w="2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380,987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404,286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auto"/>
              </w:rPr>
              <w:t>52%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784,244</w:t>
            </w:r>
          </w:p>
        </w:tc>
        <w:tc>
          <w:tcPr>
            <w:tcW w:w="100" w:type="dxa"/>
            <w:vAlign w:val="bottom"/>
          </w:tcPr>
          <w:p>
            <w:pPr>
              <w:spacing w:after="0"/>
              <w:rPr>
                <w:sz w:val="17"/>
                <w:szCs w:val="17"/>
                <w:color w:val="auto"/>
              </w:rPr>
            </w:pPr>
          </w:p>
        </w:tc>
        <w:tc>
          <w:tcPr>
            <w:tcW w:w="960" w:type="dxa"/>
            <w:vAlign w:val="bottom"/>
            <w:gridSpan w:val="2"/>
          </w:tcPr>
          <w:p>
            <w:pPr>
              <w:jc w:val="right"/>
              <w:ind w:right="70"/>
              <w:spacing w:after="0" w:line="201" w:lineRule="exact"/>
              <w:rPr>
                <w:sz w:val="20"/>
                <w:szCs w:val="20"/>
                <w:color w:val="auto"/>
              </w:rPr>
            </w:pPr>
            <w:r>
              <w:rPr>
                <w:rFonts w:ascii="Arial" w:cs="Arial" w:eastAsia="Arial" w:hAnsi="Arial"/>
                <w:sz w:val="18"/>
                <w:szCs w:val="18"/>
                <w:color w:val="auto"/>
              </w:rPr>
              <w:t>66%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772,407</w:t>
            </w:r>
          </w:p>
        </w:tc>
        <w:tc>
          <w:tcPr>
            <w:tcW w:w="120" w:type="dxa"/>
            <w:vAlign w:val="bottom"/>
          </w:tcPr>
          <w:p>
            <w:pPr>
              <w:spacing w:after="0"/>
              <w:rPr>
                <w:sz w:val="17"/>
                <w:szCs w:val="17"/>
                <w:color w:val="auto"/>
              </w:rPr>
            </w:pP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51%</w:t>
            </w:r>
          </w:p>
        </w:tc>
      </w:tr>
      <w:tr>
        <w:trPr>
          <w:trHeight w:val="237"/>
        </w:trPr>
        <w:tc>
          <w:tcPr>
            <w:tcW w:w="2620" w:type="dxa"/>
            <w:vAlign w:val="bottom"/>
          </w:tcPr>
          <w:p>
            <w:pPr>
              <w:spacing w:after="0"/>
              <w:rPr>
                <w:sz w:val="20"/>
                <w:szCs w:val="20"/>
                <w:color w:val="auto"/>
              </w:rPr>
            </w:pPr>
            <w:r>
              <w:rPr>
                <w:rFonts w:ascii="Arial" w:cs="Arial" w:eastAsia="Arial" w:hAnsi="Arial"/>
                <w:sz w:val="18"/>
                <w:szCs w:val="18"/>
                <w:color w:val="auto"/>
              </w:rPr>
              <w:t>Distribution and services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160,172</w:t>
            </w:r>
          </w:p>
        </w:tc>
        <w:tc>
          <w:tcPr>
            <w:tcW w:w="100" w:type="dxa"/>
            <w:vAlign w:val="bottom"/>
          </w:tcPr>
          <w:p>
            <w:pPr>
              <w:spacing w:after="0"/>
              <w:rPr>
                <w:sz w:val="20"/>
                <w:szCs w:val="20"/>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366,756</w:t>
            </w:r>
          </w:p>
        </w:tc>
        <w:tc>
          <w:tcPr>
            <w:tcW w:w="480" w:type="dxa"/>
            <w:vAlign w:val="bottom"/>
          </w:tcPr>
          <w:p>
            <w:pPr>
              <w:spacing w:after="0"/>
              <w:rPr>
                <w:sz w:val="20"/>
                <w:szCs w:val="20"/>
                <w:color w:val="auto"/>
              </w:rPr>
            </w:pP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400,841</w:t>
            </w: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743,256</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49</w:t>
            </w:r>
          </w:p>
        </w:tc>
      </w:tr>
      <w:tr>
        <w:trPr>
          <w:trHeight w:val="216"/>
        </w:trPr>
        <w:tc>
          <w:tcPr>
            <w:tcW w:w="26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541,159</w:t>
            </w:r>
          </w:p>
        </w:tc>
        <w:tc>
          <w:tcPr>
            <w:tcW w:w="1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771,042</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100</w:t>
            </w:r>
          </w:p>
        </w:tc>
        <w:tc>
          <w:tcPr>
            <w:tcW w:w="340" w:type="dxa"/>
            <w:vAlign w:val="bottom"/>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1,185,085</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32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1,515,663</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1"/>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through its marine transportation segment, provides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June 30, 2020, the Company operated 1,131 inland tank barges, of which 38 were leased, with a total capacity of 25.6 million barrels, and an average of 324 inland towboats, of which 59 were chartered. This compares with 1,067 inland tank barges operated as of June 30, 2019, of which 26 were leased, with a total capacity of 23.7 million barrels, and an average of 309 inland towboats, of which 78 were chartered.</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coastal tank barge fleet as of June 30, 2020, consisted of 47 tank barges, of which two were leased, with 4.5 million barrels of capacity, and an average of 44 tugboats, of which four were chartered. This compares with 49 coastal tank barges operated as of June 30, 2019, of which two were leased, with 4.7 million barrels of capacity, and an average of 47 tugboats, of which five were chartered. The Company owns and operates four offshore dry-bulk cargo barge and tugboat units engaged in the offshore transportation of dry-bulk cargoes. 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Line, L.L.C., which transports project cargoes and cargo containers by barge.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right="160" w:firstLine="324"/>
        <w:spacing w:after="0" w:line="277"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gridSpan w:val="7"/>
          </w:tcPr>
          <w:p>
            <w:pPr>
              <w:jc w:val="right"/>
              <w:ind w:right="110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0"/>
                <w:szCs w:val="20"/>
                <w:color w:val="auto"/>
              </w:rPr>
            </w:pPr>
          </w:p>
        </w:tc>
        <w:tc>
          <w:tcPr>
            <w:tcW w:w="3760" w:type="dxa"/>
            <w:vAlign w:val="bottom"/>
            <w:gridSpan w:val="7"/>
          </w:tcPr>
          <w:p>
            <w:pPr>
              <w:jc w:val="right"/>
              <w:ind w:right="10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r>
      <w:tr>
        <w:trPr>
          <w:trHeight w:val="22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380,987</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404,286</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784,244</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772,407</w:t>
            </w: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120" w:type="dxa"/>
            <w:vAlign w:val="bottom"/>
          </w:tcPr>
          <w:p>
            <w:pPr>
              <w:ind w:left="140"/>
              <w:spacing w:after="0"/>
              <w:rPr>
                <w:sz w:val="20"/>
                <w:szCs w:val="20"/>
                <w:color w:val="auto"/>
              </w:rPr>
            </w:pPr>
            <w:r>
              <w:rPr>
                <w:rFonts w:ascii="Arial" w:cs="Arial" w:eastAsia="Arial" w:hAnsi="Arial"/>
                <w:sz w:val="18"/>
                <w:szCs w:val="18"/>
                <w:color w:val="auto"/>
                <w:w w:val="95"/>
              </w:rPr>
              <w:t>Costs of sales and operating expenses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244,990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267,537</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510,885</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513,727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29,255</w:t>
            </w:r>
          </w:p>
        </w:tc>
        <w:tc>
          <w:tcPr>
            <w:tcW w:w="14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58,740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62,472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120" w:type="dxa"/>
            <w:vAlign w:val="bottom"/>
          </w:tcPr>
          <w:p>
            <w:pPr>
              <w:ind w:left="140"/>
              <w:spacing w:after="0"/>
              <w:rPr>
                <w:sz w:val="20"/>
                <w:szCs w:val="20"/>
                <w:color w:val="auto"/>
              </w:rPr>
            </w:pPr>
            <w:r>
              <w:rPr>
                <w:rFonts w:ascii="Arial" w:cs="Arial" w:eastAsia="Arial" w:hAnsi="Arial"/>
                <w:sz w:val="18"/>
                <w:szCs w:val="18"/>
                <w:color w:val="auto"/>
              </w:rPr>
              <w:t>Taxes, other than on income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9,159</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20,545</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17,125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45,092</w:t>
            </w:r>
          </w:p>
        </w:tc>
        <w:tc>
          <w:tcPr>
            <w:tcW w:w="14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91,983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90,416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7"/>
        </w:trPr>
        <w:tc>
          <w:tcPr>
            <w:tcW w:w="3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3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329,612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351,043</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682,153</w:t>
            </w: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683,740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51,375</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53,243</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102,091</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88,667</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0"/>
        </w:trPr>
        <w:tc>
          <w:tcPr>
            <w:tcW w:w="3120" w:type="dxa"/>
            <w:vAlign w:val="bottom"/>
          </w:tcPr>
          <w:p>
            <w:pPr>
              <w:ind w:left="140"/>
              <w:spacing w:after="0"/>
              <w:rPr>
                <w:sz w:val="20"/>
                <w:szCs w:val="20"/>
                <w:color w:val="auto"/>
              </w:rPr>
            </w:pPr>
            <w:r>
              <w:rPr>
                <w:rFonts w:ascii="Arial" w:cs="Arial" w:eastAsia="Arial" w:hAnsi="Arial"/>
                <w:sz w:val="18"/>
                <w:szCs w:val="18"/>
                <w:color w:val="auto"/>
              </w:rPr>
              <w:t>Operating margins</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products moved and the drivers of the demand for the products the Company transports: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2020 Second</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2020 Six</w:t>
            </w: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1960" w:type="dxa"/>
            <w:vAlign w:val="bottom"/>
          </w:tcPr>
          <w:p>
            <w:pPr>
              <w:ind w:left="660"/>
              <w:spacing w:after="0"/>
              <w:rPr>
                <w:sz w:val="20"/>
                <w:szCs w:val="20"/>
                <w:color w:val="auto"/>
              </w:rPr>
            </w:pPr>
            <w:r>
              <w:rPr>
                <w:rFonts w:ascii="Arial" w:cs="Arial" w:eastAsia="Arial" w:hAnsi="Arial"/>
                <w:sz w:val="18"/>
                <w:szCs w:val="18"/>
                <w:b w:val="1"/>
                <w:bCs w:val="1"/>
                <w:color w:val="auto"/>
              </w:rPr>
              <w:t>Markets</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41"/>
        </w:trPr>
        <w:tc>
          <w:tcPr>
            <w:tcW w:w="19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Serviced</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80" w:type="dxa"/>
            <w:vAlign w:val="bottom"/>
          </w:tcPr>
          <w:p>
            <w:pPr>
              <w:spacing w:after="0"/>
              <w:rPr>
                <w:sz w:val="20"/>
                <w:szCs w:val="20"/>
                <w:color w:val="auto"/>
              </w:rPr>
            </w:pPr>
          </w:p>
        </w:tc>
        <w:tc>
          <w:tcPr>
            <w:tcW w:w="368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Products Moved</w:t>
            </w:r>
          </w:p>
        </w:tc>
        <w:tc>
          <w:tcPr>
            <w:tcW w:w="100" w:type="dxa"/>
            <w:vAlign w:val="bottom"/>
          </w:tcPr>
          <w:p>
            <w:pPr>
              <w:spacing w:after="0"/>
              <w:rPr>
                <w:sz w:val="20"/>
                <w:szCs w:val="20"/>
                <w:color w:val="auto"/>
              </w:rPr>
            </w:pPr>
          </w:p>
        </w:tc>
        <w:tc>
          <w:tcPr>
            <w:tcW w:w="26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Drivers</w:t>
            </w: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51%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51%</w:t>
            </w:r>
          </w:p>
        </w:tc>
        <w:tc>
          <w:tcPr>
            <w:tcW w:w="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Benzene, Styrene, Methanol, Acrylonitrile,</w:t>
            </w:r>
          </w:p>
        </w:tc>
        <w:tc>
          <w:tcPr>
            <w:tcW w:w="10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Consumer non-durables – 70%,</w:t>
            </w:r>
          </w:p>
        </w:tc>
      </w:tr>
      <w:tr>
        <w:trPr>
          <w:trHeight w:val="216"/>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Xylene, Naphtha, Caustic Soda, Butadiene,</w:t>
            </w: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Consumer durables – 30%</w:t>
            </w:r>
          </w:p>
        </w:tc>
      </w:tr>
      <w:tr>
        <w:trPr>
          <w:trHeight w:val="230"/>
        </w:trPr>
        <w:tc>
          <w:tcPr>
            <w:tcW w:w="1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Propylene</w:t>
            </w: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16"/>
        </w:trPr>
        <w:tc>
          <w:tcPr>
            <w:tcW w:w="19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gridSpan w:val="2"/>
          </w:tcPr>
          <w:p>
            <w:pPr>
              <w:spacing w:after="0"/>
              <w:rPr>
                <w:sz w:val="18"/>
                <w:szCs w:val="18"/>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Black Oil</w:t>
            </w:r>
          </w:p>
        </w:tc>
        <w:tc>
          <w:tcPr>
            <w:tcW w:w="132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8"/>
              </w:rPr>
              <w:t>26%</w:t>
            </w:r>
          </w:p>
        </w:tc>
        <w:tc>
          <w:tcPr>
            <w:tcW w:w="142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8"/>
              </w:rPr>
              <w:t>26%</w:t>
            </w:r>
          </w:p>
        </w:tc>
        <w:tc>
          <w:tcPr>
            <w:tcW w:w="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Residual Fuel Oil, Coker Feedstock, Vacuum Gas</w:t>
            </w:r>
          </w:p>
        </w:tc>
        <w:tc>
          <w:tcPr>
            <w:tcW w:w="27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Fuel for Power Plants and Ships,</w:t>
            </w:r>
          </w:p>
        </w:tc>
      </w:tr>
      <w:tr>
        <w:trPr>
          <w:trHeight w:val="216"/>
        </w:trPr>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4"/>
              </w:rPr>
              <w:t>Oil, Asphalt, Carbon Black Feedstock, Crude Oil,</w:t>
            </w: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Feedstock for Refineries, Road</w:t>
            </w:r>
          </w:p>
        </w:tc>
      </w:tr>
      <w:tr>
        <w:trPr>
          <w:trHeight w:val="230"/>
        </w:trPr>
        <w:tc>
          <w:tcPr>
            <w:tcW w:w="1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Natural Gas Condensate, Ship Bunkers</w:t>
            </w: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Construction</w:t>
            </w:r>
          </w:p>
        </w:tc>
      </w:tr>
      <w:tr>
        <w:trPr>
          <w:trHeight w:val="216"/>
        </w:trPr>
        <w:tc>
          <w:tcPr>
            <w:tcW w:w="19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gridSpan w:val="2"/>
          </w:tcPr>
          <w:p>
            <w:pPr>
              <w:spacing w:after="0"/>
              <w:rPr>
                <w:sz w:val="18"/>
                <w:szCs w:val="18"/>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Refined Petroleum</w:t>
            </w:r>
          </w:p>
        </w:tc>
        <w:tc>
          <w:tcPr>
            <w:tcW w:w="132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8"/>
              </w:rPr>
              <w:t>19%</w:t>
            </w:r>
          </w:p>
        </w:tc>
        <w:tc>
          <w:tcPr>
            <w:tcW w:w="142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8"/>
              </w:rPr>
              <w:t>20%</w:t>
            </w:r>
          </w:p>
        </w:tc>
        <w:tc>
          <w:tcPr>
            <w:tcW w:w="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Gasoline, No. 2 Oil, Jet Fuel, Heating Oil, Diesel</w:t>
            </w:r>
          </w:p>
        </w:tc>
        <w:tc>
          <w:tcPr>
            <w:tcW w:w="27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Vehicle Usage, Air Travel, Weather</w:t>
            </w: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Fuel, Ethanol</w:t>
            </w: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Conditions, Refinery Utilization</w:t>
            </w:r>
          </w:p>
        </w:tc>
      </w:tr>
      <w:tr>
        <w:trPr>
          <w:trHeight w:val="216"/>
        </w:trPr>
        <w:tc>
          <w:tcPr>
            <w:tcW w:w="19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80" w:type="dxa"/>
            <w:vAlign w:val="bottom"/>
            <w:gridSpan w:val="2"/>
          </w:tcPr>
          <w:p>
            <w:pPr>
              <w:spacing w:after="0"/>
              <w:rPr>
                <w:sz w:val="18"/>
                <w:szCs w:val="18"/>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Agricultural Chemicals</w:t>
            </w:r>
          </w:p>
        </w:tc>
        <w:tc>
          <w:tcPr>
            <w:tcW w:w="132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2"/>
              </w:rPr>
              <w:t>4%</w:t>
            </w:r>
          </w:p>
        </w:tc>
        <w:tc>
          <w:tcPr>
            <w:tcW w:w="142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2"/>
              </w:rPr>
              <w:t>3%</w:t>
            </w:r>
          </w:p>
        </w:tc>
        <w:tc>
          <w:tcPr>
            <w:tcW w:w="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Anhydrous Ammonia, Nitrogen – Based Liquid</w:t>
            </w:r>
          </w:p>
        </w:tc>
        <w:tc>
          <w:tcPr>
            <w:tcW w:w="27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Corn, Cotton and Wheat Production,</w:t>
            </w:r>
          </w:p>
        </w:tc>
      </w:tr>
      <w:tr>
        <w:trPr>
          <w:trHeight w:val="230"/>
        </w:trPr>
        <w:tc>
          <w:tcPr>
            <w:tcW w:w="1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Fertilizer, Industrial Ammonia</w:t>
            </w: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Chemical Feedstock Usage</w:t>
            </w:r>
          </w:p>
        </w:tc>
      </w:tr>
    </w:tbl>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Marine transportation revenues for the 2020 second quarter and first six months decreased 6% and increased 2%, respectively, compared with the 2019 second quarter and first six months. The decrease during the second quarter was primarily due to reduced utilization in the inland and coastal markets as a result of a reduction in demand due to the COVID-19 pandemic, lower fuel rebills, retirements of two large coastal barges, and planned shipyard activity in coastal. These reductions were partially offset by the acquisition of the Savage fleet acquired on April 1, 2020. The increase for the six months was primarily due to the addition of the Savage fleet and the Cenac fleet acquired on March 14, 2019, partially offset by the effects of the COVID-19 pandemic on the Company’s operations during the 2020 second quarter. The 2020 first quarter and 2019 first six months were impacted by poor operating conditions and high delay days due to heavy fog and wind along the Gulf Coast, high water on the Mississippi River System, and closures of key waterways as a result of lock maintenance projects, as well as increased shipyard days on large capacity coastal vessels. The 2019 first six months was also impacted by prolonged periods of ice on the Illinois River and a fire at a chemical storage facility on the Houston Ship Channel. For the 2020 second quarter and first six months, the inland tank barge fleet contributed 80% and 79%, respectively, and the coastal fleet contributed 20% and 21%, respectively, of marine transportation revenues. For both the 2019 second quarter and first six months, the inland tank barge fleet contributed 77%, respectively, and the coastal fleet contributed 23% of marine transportation revenues. The Savage fleet was quickly integrated into the Company’s own fleet and the former Savage equipment began operating under Company contracts soon after the acquisition closed, with former Savage barges working with the Company’s existing towboats and vice versa resulting in differences in vessel utilization and pricing among individual assets and the consolidated fleet. Due to this quick integration, it is not practical to provide a specific amount of revenues for the Savage fleet but the acquisition in April 2020 was one of the factors that drove increases in marine transportation revenues in the 2020 first six months as compared to 2019.</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ind w:firstLine="324"/>
        <w:spacing w:after="0" w:line="273" w:lineRule="auto"/>
        <w:rPr>
          <w:sz w:val="20"/>
          <w:szCs w:val="20"/>
          <w:color w:val="auto"/>
        </w:rPr>
      </w:pPr>
      <w:r>
        <w:rPr>
          <w:rFonts w:ascii="Arial" w:cs="Arial" w:eastAsia="Arial" w:hAnsi="Arial"/>
          <w:sz w:val="17"/>
          <w:szCs w:val="17"/>
          <w:color w:val="auto"/>
        </w:rPr>
        <w:t>Inland tank barge utilization levels averaged in the low to mid-90% range during the 2020 first quarter and the mid-80% range during the 2020 second quarter. In 2019, inland tank barge utilization levels averaged in the mid-90% range during both the 2019 first and second quarters. The 2020 first quarter and 2019 first six months each experienced strong demand from petrochemicals, black oil, and refined petroleum products customers. Extensive delay days due to poor operating conditions and lock maintenance projects in the 2020 first quarter and 2019 first six months slowed the transport of customer cargoes and contributed to strong utilization during those periods. Reduced demand as a result of the COVID-19 pandemic and resulting economic slowdown contributed to lower utilization during the 2020 second quarter.</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Coastal tank barge utilization levels averaged in the low to mid-80% range during the 2020 first quarter and the mid-70% range during the 2020 second quarter. In 2019, coastal tank barge utilization levels averaged in the low 80% range during the 2019 first quarter and the mid-80% range during the 2019 second quarter. Utilization in the coastal marine fleet continued to be impacted by the oversupply of smaller tank barges in the coastal industry during each of the 2020 and 2019 first six months.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petrochemical market, the Company’s largest market, contributed 51% of marine transportation revenues for both the 2020 second quarter and first six months, respectively, reflecting reduced volumes from Gulf Coast petrochemical plants for both domestic consumption and to terminals for export destinations as a result of the COVID-19 pandemic. During the quarter, U.S. chemical plant capacity utilization declined from 75% in March to 71% in April before improving to 73% in June.</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black oil market, which contributed 26% of marine transportation revenues for both the 2020 second quarter and first six months, respectively, reflected reduced demand as refinery production levels and the export of refined petroleum products and fuel oils declined as a result of the COVID-19 pandemic. During the quarter, U.S. refinery utilization declined from 82% in early April to a low of 68% in May before rebounding to 75% at the end of June. During the quarter, the Company continued to transport crude oil and natural gas condensate produced from the Eagle Ford and Permian Basin shale formations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222"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refined petroleum products market, which contributed 19% and 20% of marine transportation revenues for the 2020 second quarter and first six months, respectively, reflected lower volumes in both the inland and coastal markets as a result of reduced demand related to the COVID-19 pandemic. During the quarter, U.S. refinery utilization declined from 82% in early April to a low of 68% in May before rebounding to 75% at the end of June.</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agricultural chemical market, which contributed 4% and 3% of marine transportation revenues for the 2020 second quarter and first six months, respectively, saw modest reductions in demand for transportation of both domestically produced and imported products during the quarter, primarily due to reduced demand associated with the COVID-19 pandemic.</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2020 second quarter, the inland operations incurred 2,815 delay days, 16% fewer than the 3,331 delay days that occurred during the 2019 second quarter. For the first six months of 2020, the inland operations incurred 7,305 delay days, 8% fewer than the 7,944 delay days that occurred during the 2019 first six months. Delay days measure the lost time incurred by a tow (towboat and one or more tank barges) during transit when the tow is stopped due to weather, lock conditions, or other navigational factors. Delay days for the 2020 first quarter and 2019 first six months reflected poor operating conditions due to heavy fog and wind along the Gulf Coast, high water conditions on the Mississippi River System, and closures of key waterways as a result of lock maintenance projects. The 2019 first six months was also impacted by prolonged periods of ice on the Illinois River and a fire at a chemical storage facility on the Houston Ship Channel.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both"/>
        <w:ind w:firstLine="324"/>
        <w:spacing w:after="0" w:line="288" w:lineRule="auto"/>
        <w:rPr>
          <w:sz w:val="20"/>
          <w:szCs w:val="20"/>
          <w:color w:val="auto"/>
        </w:rPr>
      </w:pPr>
      <w:r>
        <w:rPr>
          <w:rFonts w:ascii="Arial" w:cs="Arial" w:eastAsia="Arial" w:hAnsi="Arial"/>
          <w:sz w:val="16"/>
          <w:szCs w:val="16"/>
          <w:color w:val="auto"/>
        </w:rPr>
        <w:t>During the 2020 second quarter and first six months, approximately 65% and 60%, respectively, of marine transportation’s inland revenues were under term contracts, which have contract terms of 12 months or longer, and 35% and 40%, respectively, were spot contract revenues, which have contract terms of less than 12 months. During both the 2019 second quarter and first six months, approximately 65% of marine transportation’s inland revenues were under term contracts, and 35% were spot contract revenues. Inland time charters during the 2020 second quarter and first six months represented 68% and 67%, respectively, of the inland revenues under term contracts compared with 63% and 62%, respectively, in the 2019 second quarter and first six months. Rates on inland term contracts renewed in the 2020 first quarter increased in the 1% to 3% average range compared with term contracts renewed in the 2019 first quarter. Rates on inland term contracts renewed in the 2020 second quarter were flat compared with term contracts renewed in the 2019 second quarter. Spot contract rates in the 2020 first quarter increased in the 4% to 6% average range compared to the 2019 first quarter. Spot contract rates in the 2020 second quarter decreased in the 5% to 10% average range compared to the 2019 second quarter. There was no material rate increase on January 1, 2020 related to annual escalators for labor and the producer price index on a number of inland multi-year contracts.</w:t>
      </w:r>
    </w:p>
    <w:p>
      <w:pPr>
        <w:spacing w:after="0" w:line="1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both the 2020 second quarter and first six months, approximately 85% of coastal revenues were under term contracts, and 15% were under spot contract revenues. During both the 2019 second quarter and first six months, approximately 80%, respectively, of the coastal revenues were under term contracts and 20% were spot contract revenues. Coastal time charters during both the 2020 second quarter and first six months each represented approximately 90%, of coastal revenues under term contracts compared with 85% during both the 2019 second quarter and first six months. Spot and term contract pricing in the coastal market are contingent on various factors including geographic location, vessel capacity, vessel type, and product serviced. Rates on coastal term contracts renewed in the 2020 first quarter increased in the 10% to 15% average range compared with term contracts renewed in the 2019 first quarter. Rates on coastal term contracts renewed in the 2020 second quarter were flat compared with term contracts renewed in the 2019 second quarter. Spot market rates in the 2020 first quarter improved in the 10% to 15% average range compared to the 2019 first quarter. Spot market rates in the 2020 second quarter were flat compared to the 2019 second quarter.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Costs and expenses for the 2020 second quarter decreased 6% compared with the 2019 second quarter and were flat for the 2020 first six months compared to the 2019 first six months. Costs of sales and operating expenses for the 2020 second quarter and first six months decreased 8% and 1%, respectively, compared with the 2019 second quarter and first six months, primarily due cost reductions across the segment, including a reduction in towboats during the second quarter and a reduction in maintenance expenses, partially offset by the addition of the Savage fleet in April 2020 and the Cenac fleet in March 2019.</w:t>
      </w:r>
    </w:p>
    <w:p>
      <w:pPr>
        <w:spacing w:after="0" w:line="21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inland marine transportation fleet operated an average of 324 towboats during the 2020 second quarter, of which an average of 59 were chartered, compared with 309 during the 2019 second quarter, of which an average of 78 were chartered. The increase was primarily due to the addition of inland towboats with the Savage acquisition on April 1, 2020, partially offset by towboats released during the 2020 second quarter. Generally, as demand or anticipated demand increases or decreases, as new tank barges are added to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19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2020 second quarter, the inland operations consumed 13.5 million gallons of diesel fuel compared to 12.6 million gallons consumed during the 2019 second quarter. The average price per gallon of diesel fuel consumed during the 2020 second quarter was $1.12 per gallon compared with $2.24 per gallon for the 2019 second quarter. During the 2020 first six months, the inland operations consumed 26.1 million gallons of diesel fuel compared to 24.0 million gallons consumed during the 2019 first six months. The average price per gallon of diesel fuel consumed during the 2020 first six months was $1.55 per gallon compared with $2.09 per gallon for the 2019 first six months. Fuel escalation and de-escalation clauses on term contracts are designed to rebate fuel costs when prices decline and recover additional fuel costs when fuel prices rise; however, there is generally a 30 to 90 day delay before contracts are adjusted. Spot contracts do not have escalators for fuel.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both"/>
        <w:ind w:firstLine="324"/>
        <w:spacing w:after="0" w:line="263" w:lineRule="auto"/>
        <w:rPr>
          <w:sz w:val="20"/>
          <w:szCs w:val="20"/>
          <w:color w:val="auto"/>
        </w:rPr>
      </w:pPr>
      <w:r>
        <w:rPr>
          <w:rFonts w:ascii="Arial" w:cs="Arial" w:eastAsia="Arial" w:hAnsi="Arial"/>
          <w:sz w:val="18"/>
          <w:szCs w:val="18"/>
          <w:color w:val="auto"/>
        </w:rPr>
        <w:t>Selling, general and administrative expenses for the 2020 second quarter and first six months decreased 8% and 6%, respectively, compared with the 2019 second quarter and first six months. The decrease is primarily due to aggressive cost reduction initiatives throughout the organization as a result of the uncertainty surrounding the COVID-19 pandemic.</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Taxes, other than on income, for the 2020 second quarter and first six months increased 21% and 20%, respectively, compared with the 2019 second quarter and first six months, primarily due to higher property taxes on marine transportation equipment, including the Savage and Cenac fleets, and higher waterway use taxes due to higher business activity levels, primarily due to the Savage and Cenac acquisitions.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Marine transportation operating income for the 2020 second quarter and first six months decreased 4% and increased 15%, respectively, compared with the 2019 second quarter and first six months. The 2020 second quarter operating margin was 13.5% compared with 13.2% for the 2019 second quarter and 13.0% for the 2020 first six months compared to 11.5% for the 2019 first six months. The operating income decrease in the 2020 second quarter compared to the 2019 second quarter was primarily due to reduced utilization and spot contract pricing in the inland and coastal markets as a result of a deduction in demand due to the COVID-19 pandemic, partially offset by the Savage acquisition. The operating income increase in the 2020 first six months compared to the 2019 first six months was primarily due to the Savage and Cenac acquisitions and increased term contract pricing, partially offset by the effects of the COVID-19 pandemic.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distribution and services segment’s revenues, costs and expenses, operating income (loss) and operating margins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gridSpan w:val="7"/>
          </w:tcPr>
          <w:p>
            <w:pPr>
              <w:jc w:val="right"/>
              <w:ind w:right="101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0"/>
                <w:szCs w:val="20"/>
                <w:color w:val="auto"/>
              </w:rPr>
            </w:pPr>
          </w:p>
        </w:tc>
        <w:tc>
          <w:tcPr>
            <w:tcW w:w="3820" w:type="dxa"/>
            <w:vAlign w:val="bottom"/>
            <w:gridSpan w:val="7"/>
          </w:tcPr>
          <w:p>
            <w:pPr>
              <w:jc w:val="right"/>
              <w:ind w:right="103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0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r>
      <w:tr>
        <w:trPr>
          <w:trHeight w:val="223"/>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 and services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160,172</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366,756</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400,841</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743,256</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040" w:type="dxa"/>
            <w:vAlign w:val="bottom"/>
          </w:tcPr>
          <w:p>
            <w:pPr>
              <w:ind w:left="140"/>
              <w:spacing w:after="0"/>
              <w:rPr>
                <w:sz w:val="20"/>
                <w:szCs w:val="20"/>
                <w:color w:val="auto"/>
              </w:rPr>
            </w:pPr>
            <w:r>
              <w:rPr>
                <w:rFonts w:ascii="Arial" w:cs="Arial" w:eastAsia="Arial" w:hAnsi="Arial"/>
                <w:sz w:val="18"/>
                <w:szCs w:val="18"/>
                <w:color w:val="auto"/>
                <w:w w:val="92"/>
              </w:rPr>
              <w:t>Costs of sales and operating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128,549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295,958</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316,222</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586,423</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(46)</w:t>
            </w:r>
          </w:p>
        </w:tc>
      </w:tr>
      <w:tr>
        <w:trPr>
          <w:trHeight w:val="216"/>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37,195</w:t>
            </w:r>
          </w:p>
        </w:tc>
        <w:tc>
          <w:tcPr>
            <w:tcW w:w="13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75,197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74,586</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r>
      <w:tr>
        <w:trPr>
          <w:trHeight w:val="216"/>
        </w:trPr>
        <w:tc>
          <w:tcPr>
            <w:tcW w:w="3040" w:type="dxa"/>
            <w:vAlign w:val="bottom"/>
          </w:tcPr>
          <w:p>
            <w:pPr>
              <w:ind w:left="14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1,411</w:t>
            </w:r>
          </w:p>
        </w:tc>
        <w:tc>
          <w:tcPr>
            <w:tcW w:w="1380" w:type="dxa"/>
            <w:vAlign w:val="bottom"/>
            <w:gridSpan w:val="2"/>
          </w:tcPr>
          <w:p>
            <w:pPr>
              <w:jc w:val="right"/>
              <w:ind w:right="23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3,882</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3,428</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r>
      <w:tr>
        <w:trPr>
          <w:trHeight w:val="216"/>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9,064</w:t>
            </w:r>
          </w:p>
        </w:tc>
        <w:tc>
          <w:tcPr>
            <w:tcW w:w="1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15,969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18,082</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3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174,319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343,628</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411,270</w:t>
            </w:r>
          </w:p>
        </w:tc>
        <w:tc>
          <w:tcPr>
            <w:tcW w:w="2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682,519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r>
      <w:tr>
        <w:trPr>
          <w:trHeight w:val="256"/>
        </w:trPr>
        <w:tc>
          <w:tcPr>
            <w:tcW w:w="3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23,128</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60,737</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0"/>
        </w:trPr>
        <w:tc>
          <w:tcPr>
            <w:tcW w:w="3040" w:type="dxa"/>
            <w:vAlign w:val="bottom"/>
          </w:tcPr>
          <w:p>
            <w:pPr>
              <w:ind w:left="14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75"/>
        </w:trPr>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27</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
        </w:trPr>
        <w:tc>
          <w:tcPr>
            <w:tcW w:w="3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markets serviced by the Company’s distribution and services segment, the revenue distribution, and the customers for each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2020 Second</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2020 Six</w:t>
            </w: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41"/>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Markets Serviced</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550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Customers</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Oil and Gas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w:t>
            </w: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 Oil and Gas Operators and Producers</w:t>
            </w:r>
          </w:p>
        </w:tc>
      </w:tr>
      <w:tr>
        <w:trPr>
          <w:trHeight w:val="216"/>
        </w:trPr>
        <w:tc>
          <w:tcPr>
            <w:tcW w:w="3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and Industrial</w:t>
            </w:r>
          </w:p>
        </w:tc>
        <w:tc>
          <w:tcPr>
            <w:tcW w:w="128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8"/>
              </w:rPr>
              <w:t>81%</w:t>
            </w:r>
          </w:p>
        </w:tc>
        <w:tc>
          <w:tcPr>
            <w:tcW w:w="1200" w:type="dxa"/>
            <w:vAlign w:val="bottom"/>
            <w:gridSpan w:val="2"/>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88"/>
              </w:rPr>
              <w:t>73%</w:t>
            </w:r>
          </w:p>
        </w:tc>
        <w:tc>
          <w:tcPr>
            <w:tcW w:w="10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Inland River Carriers — Dry and Liquid, Offshore Towing — Dry and</w:t>
            </w:r>
          </w:p>
        </w:tc>
      </w:tr>
      <w:tr>
        <w:trPr>
          <w:trHeight w:val="216"/>
        </w:trPr>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4"/>
              </w:rPr>
              <w:t>Liquid, Offshore Oilfield Services — Drilling Rigs &amp; Supply Boats, Harbor</w:t>
            </w:r>
          </w:p>
        </w:tc>
      </w:tr>
      <w:tr>
        <w:trPr>
          <w:trHeight w:val="216"/>
        </w:trPr>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2"/>
              </w:rPr>
              <w:t>Towing, Dredging, Great Lakes Ore Carriers, Pleasure Crafts, On and Off-</w:t>
            </w:r>
          </w:p>
        </w:tc>
      </w:tr>
      <w:tr>
        <w:trPr>
          <w:trHeight w:val="216"/>
        </w:trPr>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5"/>
              </w:rPr>
              <w:t>Highway Transportation, Power Generation, Standby Power Generation,</w:t>
            </w:r>
          </w:p>
        </w:tc>
      </w:tr>
      <w:tr>
        <w:trPr>
          <w:trHeight w:val="230"/>
        </w:trPr>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Pumping Stations, Mining</w:t>
            </w:r>
          </w:p>
        </w:tc>
      </w:tr>
    </w:tbl>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Distribution and services revenues for the 2020 second quarter and first six months decreased 56% and 46%, respectively, compared with the 2019 second quarter and first six months, revenue. The decreases were primarily attributable to reduced activity in the oilfield as a result of oil price volatility throughout 2019 and the 2020 first six months, the extensive downturn in oil and gas exploration due to low oil prices, caused in part by the COVID-19 pandemic, an oversupply of pressure pumping equipment in North America, and reduced spending and enhanced cash flow discipline for the Company’s major oilfield customers. As a result, customer demand and incremental orders for new and remanufactured pressure pumping equipment and sales of new and overhauled transmissions and related parts and service declined during the 2020 second quarter and first six months. For the 2020 second quarter and first six months, the oil and gas market contributed 19% and 27%, respectively, of the distribution and services revenues.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commercial and industrial market revenues, which contributed 81% and 73%, respectively, of the distribution and services revenues for the 2020 second quarter and first six months, decreased compared to the 2019 second quarter and first six months, primarily due to reductions in on-highway and power generation service demand as a result of the COVID-19 pandemic and resulting economic slowdown and nationwide, state, and local stay-at-home orders, partially offset by contributions from the Convoy acquisition. Demand in the marine repair and nuclear power generation businesses remained solid in the 2020 second quarter and 2020 first six months, but were down modestly compared to the 2019 second quarter first six months due to reduced engine overhauls and engine sales.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Costs and expenses for the 2020 second quarter and first six months decreased 49% and 40%, respectively, compared with the 2019 second quarter and first six months. Costs of sales and operating expenses for the 2020 second quarter and first six months decreased 57% and 46%, respectively, compared with the 2019 second quarter and first six months, reflecting lower demand for new and overhauled transmissions and related parts and service and reduced demand for new pressure pumping equipment in the oil and gas market.</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Selling, general and administrative expenses for the 2020 second quarter was flat compared with the 2019 second quarter and increased 1% for the 2020 first six months compared to the 2019 first six months. The increase was primarily due to a bad debt expense charge of $3,339,000 recorded during the 2020 second quarter as a result of the bankruptcy of a large oil and gas customer and $1,354,000 of severance expense as a result of continued workforce reductions, partially offset by aggressive cost reduction initiatives throughout the organization as a result of the uncertainty surrounding the COVID-19 pandemic.</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Depreciation and amortization for the 2020 second quarter and first six months decreased 27% and 12% compared with the 2019 second quarter and first six months. The decrease was primarily due lower amortization of intangible assets other than goodwill, which were impaired during the 2020 first quarter.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b w:val="1"/>
          <w:bCs w:val="1"/>
          <w:i w:val="1"/>
          <w:iCs w:val="1"/>
          <w:color w:val="auto"/>
        </w:rPr>
        <w:t>Distribution and Services Operating Income (Loss) and Operating Margins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for the distribution and services segment for the 2020 second quarter and first six months decreased 161% and 117%, respectively, compared with the 2019 second quarter and first six months. The operating margin for the 2020 second quarter was (8.8)% compared with 6.3% for the 2019 second quarter and (2.6)% for the 2020 first six months compared to 8.2% for the 2019 first six months. The results primarily reflected a decrease in margins in the commercial and industrial market and losses in oil and gas market.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Disposition of Assets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reported a net loss on disposition of assets of $189,000 for the 2020 second quarter compared with a net gain of $3,118,000 for the 2019 second quarter. The Company reported a net gain on disposition of assets of $303,000 for the 2020 first six months compared to $5,275,000 for the 2019 first six months. The net gains were primarily from sales of marine equipment. The 2019 first six months also included sales of distribution and services’ properties.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impairments and other charges, other income, noncontrolling interests and interest expense (dollars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7"/>
          </w:tcPr>
          <w:p>
            <w:pPr>
              <w:jc w:val="right"/>
              <w:ind w:right="108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0"/>
                <w:szCs w:val="20"/>
                <w:color w:val="auto"/>
              </w:rPr>
            </w:pPr>
          </w:p>
        </w:tc>
        <w:tc>
          <w:tcPr>
            <w:tcW w:w="3740" w:type="dxa"/>
            <w:vAlign w:val="bottom"/>
            <w:gridSpan w:val="7"/>
          </w:tcPr>
          <w:p>
            <w:pPr>
              <w:jc w:val="right"/>
              <w:ind w:right="10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Impairments and other charges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2,290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2,381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5,013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1,813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(12,708)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(15,515)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(25,507)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(28,716)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w:t>
            </w: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Impairments and Other Charges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Impairments and other charges includes $561,274,000 before taxes, $433,341,000 after taxes, or $7.24 per share, non-cash charges related to inventory write-downs, impairment of long-lived assets, including intangible assets and property and equipment, and impairment of goodwill in the distribution and services segment. See Note 8, Impairments and Other Charges for additional information.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for the 2020 and 2019 second quarters includes income of $1,467,000 and $1,280,000, respectively, and the 2020 and 2019 first six months includes income of $3,639,000 and $1,726,000, respectively, for all components of net benefit costs except the service cost component related to the Company’s defined benefit plans.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average debt, average interest rate, and capitalized interest excluded from interest expense (dollars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27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4"/>
              </w:rPr>
              <w:t>Three months ended June 30,</w:t>
            </w:r>
          </w:p>
        </w:tc>
        <w:tc>
          <w:tcPr>
            <w:tcW w:w="240" w:type="dxa"/>
            <w:vAlign w:val="bottom"/>
          </w:tcPr>
          <w:p>
            <w:pPr>
              <w:spacing w:after="0"/>
              <w:rPr>
                <w:sz w:val="20"/>
                <w:szCs w:val="20"/>
                <w:color w:val="auto"/>
              </w:rPr>
            </w:pPr>
          </w:p>
        </w:tc>
        <w:tc>
          <w:tcPr>
            <w:tcW w:w="25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23"/>
        </w:trPr>
        <w:tc>
          <w:tcPr>
            <w:tcW w:w="57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Average debt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1,700,111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1,641,311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1,571,072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1,550,342</w:t>
            </w: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Average interest rate</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for the 2020 second quarter and first six months decreased 18% and 11%, respectively, compared with the 2019 second quarter and first six months, primarily due to a lower average interest rate, partially offset by higher average debt outstanding as a result of borrowings to finance the Convoy acquisition in January 2020 and the Savage acquisition in April 2020.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Benefit for Taxes on Income</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six months of 2020, pursuant to provisions of the CARES Act, net operating losses generated during 2018 through 2020 were used to offset taxable income generated between 2013 through 2017. This caused a reduction in the effective tax rate during the six months ended June 30, 2020 as net operating losses carried back to tax years 2013 through 2017 were applied at the higher federal statutory tax rate of 35% compared to the statutory rate of 21% currently in effect at June 30, 2020. The 2020 second quarter generated an effective tax rate benefit as a result of such carrybacks and resulted in a lower effective tax rate for 2020.</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significant components of the balance sheets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7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1,078,314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917,579</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3,976,025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3,777,110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657,832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953,826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intangibles,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73,556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210,682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r>
      <w:tr>
        <w:trPr>
          <w:trHeight w:val="223"/>
        </w:trPr>
        <w:tc>
          <w:tcPr>
            <w:tcW w:w="728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48,236</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60,259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r>
      <w:tr>
        <w:trPr>
          <w:trHeight w:val="257"/>
        </w:trPr>
        <w:tc>
          <w:tcPr>
            <w:tcW w:w="7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6,017,011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6,079,097</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514,115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Long-term debt, net – less current portion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1,642,832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1,369,751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588,204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Operating lease liabilities – less current portion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171,629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139,457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95,978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r>
      <w:tr>
        <w:trPr>
          <w:trHeight w:val="223"/>
        </w:trPr>
        <w:tc>
          <w:tcPr>
            <w:tcW w:w="7280" w:type="dxa"/>
            <w:vAlign w:val="bottom"/>
          </w:tcPr>
          <w:p>
            <w:pPr>
              <w:ind w:left="14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3,051,984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3,371,592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57"/>
        </w:trPr>
        <w:tc>
          <w:tcPr>
            <w:tcW w:w="7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6,017,011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6,079,097</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Current assets as of June 30, 2020 increased 18% compared with December 31, 2019. Trade accounts receivable decreased 8% primarily due to decreased activities in the distribution and services segment, primarily related to the oil and gas market and reduced utilization in the marine transportation segment, partially offset by the Convoy acquisition. Other accounts receivable increased 119%, primarily due to federal income taxes receivable of $125,883,000 recorded for net operating losses generated during tax years 2019 and 2020 offset against taxable income during tax years 2014 through 2017 under provisions of the CARES Act. Inventories, net decreased by 4% primarily due to reduced business activity levels in the oil and gas market and write downs of oilfield and pressure pumping related inventory, partially offset by inventory acquired from Convoy.</w:t>
      </w:r>
    </w:p>
    <w:p>
      <w:pPr>
        <w:spacing w:after="0" w:line="20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Property and equipment, net of accumulated depreciation, at June 30, 2020 increased 5% compared with December 31, 2019. The increase reflected $87,894,000 of capital expenditures (net of a decrease in accrued capital expenditures) for the 2020 first six months, more fully described under Cash Flows and Capital Expenditures above, and $237,819,000 of acquisitions, primarily including the four newly constructed inland pressure barges purchased in the 2020 first six months and the aggregate fair value of the property and equipment acquired in the Savage and Convoy acquisitions, partially offset by $104,528,000 of depreciation expense, $16,395,000 of impairment charges, and $5,875,000 of property disposals during the 2020 first six months.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 right-of-use assets as of June 30, 2020 increased 15% compared with December 31, 2019, primarily due to leases acquired as part of the Savage and Convoy acquisitions.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as of June 30, 2020 decreased 31% compared with December 31, 2019, primarily due to a goodwill impairment in the distribution and services segment, partially offset by goodwill recorded as part of the Savage and Convoy acquisitions.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intangibles, net, as of June 30, 2020 decreased 65% compared with December 31, 2019, primarily due to impairments of customer relationship, tradename, and distributorship assets in the distribution and services segment as well as amortization of intangibles, partially offset by intangible assets recorded as part of the Convoy and Savage acquisitions.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324"/>
        <w:spacing w:after="0" w:line="301" w:lineRule="auto"/>
        <w:rPr>
          <w:sz w:val="20"/>
          <w:szCs w:val="20"/>
          <w:color w:val="auto"/>
        </w:rPr>
      </w:pPr>
      <w:r>
        <w:rPr>
          <w:rFonts w:ascii="Arial" w:cs="Arial" w:eastAsia="Arial" w:hAnsi="Arial"/>
          <w:sz w:val="16"/>
          <w:szCs w:val="16"/>
          <w:color w:val="auto"/>
        </w:rPr>
        <w:t>Current liabilities as of June 30, 2020 decreased 7% compared with December 31, 2019. Accounts payable decreased 14%, primarily due to decreased shipyard maintenance accruals on coastal equipment and reduced activity levels in the distribution and services segment, partially offset by the Convoy acquisition. Accrued liabilities decreased 3% primarily from payment during the 2020 first quarter of employee incentive compensation bonuses accrued during 2019. Deferred revenues decreased 15%, primarily reflecting reduced business activity levels in the distribution and services oil and gas market.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Long-term debt, net – less current portion, as of June 30, 2020 increased 20% compared with December 31, 2019, primarily reflecting additional borrowings of $425,000,000 under the Revolving Credit Facility, partially offset by the repayment of $150,000,000 of 2.72% unsecured senior notes upon maturity. Net debt discounts and deferred issuance costs were $7,168,000 at June 30, 2020 and $5,249,000 (excluding $2,650,000 attributable to the Revolving Credit Facility included in other assets on the balance sheet) at December 31, 2019.</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income taxes as of June 30, 2020 decreased 3% compared with December 31, 2019, primarily reflecting the 2020 first six months deferred tax benefit of $18,588,000.</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 liabilities – less current portion, as of June 30, 2020 increased 23% compared with December 31, 2019, primarily due to leases acquired as part of the Savage and Convoy acquisitions.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long-term liabilities as of June 30, 2020 increased 7% compared with December 31, 2019, primarily due to accrued payroll taxes deferred under provisions of the CARES Act and an increase in pension liabilities, partially offset by amortization of intangible liabilities.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Total equity as of June 30, 2020 decreased 9% compared with December 31, 2019. The decrease was primarily the result of a net loss attributable to Kirby of $322,239,000 for the 2020 first six months and tax withholdings of $3,191,000 on restricted stock and RSU vestings, partially offset by an increase in additional paid-in capital due to amortization of unearned share-based compensation of $8,652,000.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r>
              <w:rPr>
                <w:rFonts w:ascii="Arial" w:cs="Arial" w:eastAsia="Arial" w:hAnsi="Arial"/>
                <w:sz w:val="18"/>
                <w:szCs w:val="18"/>
                <w:b w:val="1"/>
                <w:bCs w:val="1"/>
                <w:i w:val="1"/>
                <w:iCs w:val="1"/>
                <w:color w:val="auto"/>
              </w:rPr>
              <w:t>Long-Term Financing</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8280" w:type="dxa"/>
            <w:vAlign w:val="bottom"/>
          </w:tcPr>
          <w:p>
            <w:pPr>
              <w:ind w:left="340"/>
              <w:spacing w:after="0"/>
              <w:rPr>
                <w:sz w:val="20"/>
                <w:szCs w:val="20"/>
                <w:color w:val="auto"/>
              </w:rPr>
            </w:pPr>
            <w:r>
              <w:rPr>
                <w:rFonts w:ascii="Arial" w:cs="Arial" w:eastAsia="Arial" w:hAnsi="Arial"/>
                <w:sz w:val="18"/>
                <w:szCs w:val="18"/>
                <w:color w:val="auto"/>
              </w:rPr>
              <w:t>The following table summarizes the Company’s outstanding debt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1"/>
        </w:trPr>
        <w:tc>
          <w:tcPr>
            <w:tcW w:w="8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rPr>
              <w:t>Long-term debt, including current portion: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280" w:type="dxa"/>
            <w:vAlign w:val="bottom"/>
          </w:tcPr>
          <w:p>
            <w:pPr>
              <w:ind w:left="140"/>
              <w:spacing w:after="0"/>
              <w:rPr>
                <w:sz w:val="20"/>
                <w:szCs w:val="20"/>
                <w:color w:val="auto"/>
              </w:rPr>
            </w:pPr>
            <w:r>
              <w:rPr>
                <w:rFonts w:ascii="Arial" w:cs="Arial" w:eastAsia="Arial" w:hAnsi="Arial"/>
                <w:sz w:val="18"/>
                <w:szCs w:val="18"/>
                <w:color w:val="auto"/>
              </w:rPr>
              <w:t>Revolving Credit Facility due March 27, 2024 (a)</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425,000</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280" w:type="dxa"/>
            <w:vAlign w:val="bottom"/>
          </w:tcPr>
          <w:p>
            <w:pPr>
              <w:ind w:left="140"/>
              <w:spacing w:after="0"/>
              <w:rPr>
                <w:sz w:val="20"/>
                <w:szCs w:val="20"/>
                <w:color w:val="auto"/>
              </w:rPr>
            </w:pPr>
            <w:r>
              <w:rPr>
                <w:rFonts w:ascii="Arial" w:cs="Arial" w:eastAsia="Arial" w:hAnsi="Arial"/>
                <w:sz w:val="18"/>
                <w:szCs w:val="18"/>
                <w:color w:val="auto"/>
              </w:rPr>
              <w:t>Term Loan due March 27, 2024 (a)</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375,000</w:t>
            </w:r>
          </w:p>
        </w:tc>
        <w:tc>
          <w:tcPr>
            <w:tcW w:w="40" w:type="dxa"/>
            <w:vAlign w:val="bottom"/>
          </w:tcPr>
          <w:p>
            <w:pPr>
              <w:spacing w:after="0"/>
              <w:rPr>
                <w:sz w:val="18"/>
                <w:szCs w:val="18"/>
                <w:color w:val="auto"/>
              </w:rPr>
            </w:pPr>
          </w:p>
        </w:tc>
      </w:tr>
      <w:tr>
        <w:trPr>
          <w:trHeight w:val="216"/>
        </w:trPr>
        <w:tc>
          <w:tcPr>
            <w:tcW w:w="8280" w:type="dxa"/>
            <w:vAlign w:val="bottom"/>
          </w:tcPr>
          <w:p>
            <w:pPr>
              <w:ind w:left="140"/>
              <w:spacing w:after="0"/>
              <w:rPr>
                <w:sz w:val="20"/>
                <w:szCs w:val="20"/>
                <w:color w:val="auto"/>
              </w:rPr>
            </w:pPr>
            <w:r>
              <w:rPr>
                <w:rFonts w:ascii="Arial" w:cs="Arial" w:eastAsia="Arial" w:hAnsi="Arial"/>
                <w:sz w:val="18"/>
                <w:szCs w:val="18"/>
                <w:color w:val="auto"/>
              </w:rPr>
              <w:t>2.72% senior notes due February 27, 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40" w:type="dxa"/>
            <w:vAlign w:val="bottom"/>
          </w:tcPr>
          <w:p>
            <w:pPr>
              <w:spacing w:after="0"/>
              <w:rPr>
                <w:sz w:val="18"/>
                <w:szCs w:val="18"/>
                <w:color w:val="auto"/>
              </w:rPr>
            </w:pPr>
          </w:p>
        </w:tc>
      </w:tr>
      <w:tr>
        <w:trPr>
          <w:trHeight w:val="216"/>
        </w:trPr>
        <w:tc>
          <w:tcPr>
            <w:tcW w:w="8280" w:type="dxa"/>
            <w:vAlign w:val="bottom"/>
          </w:tcPr>
          <w:p>
            <w:pPr>
              <w:ind w:left="140"/>
              <w:spacing w:after="0"/>
              <w:rPr>
                <w:sz w:val="20"/>
                <w:szCs w:val="20"/>
                <w:color w:val="auto"/>
              </w:rPr>
            </w:pPr>
            <w:r>
              <w:rPr>
                <w:rFonts w:ascii="Arial" w:cs="Arial" w:eastAsia="Arial" w:hAnsi="Arial"/>
                <w:sz w:val="18"/>
                <w:szCs w:val="18"/>
                <w:color w:val="auto"/>
              </w:rPr>
              <w:t>3.29% senior notes due February 27, 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8"/>
                <w:szCs w:val="18"/>
                <w:color w:val="auto"/>
              </w:rPr>
            </w:pPr>
          </w:p>
        </w:tc>
      </w:tr>
      <w:tr>
        <w:trPr>
          <w:trHeight w:val="216"/>
        </w:trPr>
        <w:tc>
          <w:tcPr>
            <w:tcW w:w="8280" w:type="dxa"/>
            <w:vAlign w:val="bottom"/>
          </w:tcPr>
          <w:p>
            <w:pPr>
              <w:ind w:left="140"/>
              <w:spacing w:after="0"/>
              <w:rPr>
                <w:sz w:val="20"/>
                <w:szCs w:val="20"/>
                <w:color w:val="auto"/>
              </w:rPr>
            </w:pPr>
            <w:r>
              <w:rPr>
                <w:rFonts w:ascii="Arial" w:cs="Arial" w:eastAsia="Arial" w:hAnsi="Arial"/>
                <w:sz w:val="18"/>
                <w:szCs w:val="18"/>
                <w:color w:val="auto"/>
              </w:rPr>
              <w:t>4.2% senior notes due March 1, 2028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r>
      <w:tr>
        <w:trPr>
          <w:trHeight w:val="216"/>
        </w:trPr>
        <w:tc>
          <w:tcPr>
            <w:tcW w:w="8280" w:type="dxa"/>
            <w:vAlign w:val="bottom"/>
          </w:tcPr>
          <w:p>
            <w:pPr>
              <w:ind w:left="140"/>
              <w:spacing w:after="0"/>
              <w:rPr>
                <w:sz w:val="20"/>
                <w:szCs w:val="20"/>
                <w:color w:val="auto"/>
              </w:rPr>
            </w:pPr>
            <w:r>
              <w:rPr>
                <w:rFonts w:ascii="Arial" w:cs="Arial" w:eastAsia="Arial" w:hAnsi="Arial"/>
                <w:sz w:val="18"/>
                <w:szCs w:val="18"/>
                <w:color w:val="auto"/>
              </w:rPr>
              <w:t>Credit line due June 30, 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8280" w:type="dxa"/>
            <w:vAlign w:val="bottom"/>
          </w:tcPr>
          <w:p>
            <w:pPr>
              <w:ind w:left="140"/>
              <w:spacing w:after="0"/>
              <w:rPr>
                <w:sz w:val="20"/>
                <w:szCs w:val="20"/>
                <w:color w:val="auto"/>
              </w:rPr>
            </w:pPr>
            <w:r>
              <w:rPr>
                <w:rFonts w:ascii="Arial" w:cs="Arial" w:eastAsia="Arial" w:hAnsi="Arial"/>
                <w:sz w:val="18"/>
                <w:szCs w:val="18"/>
                <w:color w:val="auto"/>
              </w:rPr>
              <w:t>Bank notes payable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r>
      <w:tr>
        <w:trPr>
          <w:trHeight w:val="202"/>
        </w:trPr>
        <w:tc>
          <w:tcPr>
            <w:tcW w:w="8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1,650,007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1,375,016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8280" w:type="dxa"/>
            <w:vAlign w:val="bottom"/>
          </w:tcPr>
          <w:p>
            <w:pPr>
              <w:ind w:left="140"/>
              <w:spacing w:after="0"/>
              <w:rPr>
                <w:sz w:val="20"/>
                <w:szCs w:val="20"/>
                <w:color w:val="auto"/>
              </w:rPr>
            </w:pPr>
            <w:r>
              <w:rPr>
                <w:rFonts w:ascii="Arial" w:cs="Arial" w:eastAsia="Arial" w:hAnsi="Arial"/>
                <w:sz w:val="18"/>
                <w:szCs w:val="18"/>
                <w:color w:val="auto"/>
              </w:rPr>
              <w:t>Unamortized debt discounts and issuance costs (b)</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(7,168)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(5,249)</w:t>
            </w:r>
          </w:p>
        </w:tc>
      </w:tr>
      <w:tr>
        <w:trPr>
          <w:trHeight w:val="216"/>
        </w:trPr>
        <w:tc>
          <w:tcPr>
            <w:tcW w:w="8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1,642,839</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1,369,767</w:t>
            </w:r>
          </w:p>
        </w:tc>
        <w:tc>
          <w:tcPr>
            <w:tcW w:w="4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740" w:hanging="40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Variable interest rate of 1.6% and 2.9% at June 30, 2020 and December 31, 2019, respectively.</w:t>
      </w:r>
    </w:p>
    <w:p>
      <w:pPr>
        <w:spacing w:after="0" w:line="23" w:lineRule="exact"/>
        <w:rPr>
          <w:rFonts w:ascii="Arial" w:cs="Arial" w:eastAsia="Arial" w:hAnsi="Arial"/>
          <w:sz w:val="18"/>
          <w:szCs w:val="18"/>
          <w:color w:val="auto"/>
        </w:rPr>
      </w:pPr>
    </w:p>
    <w:p>
      <w:pPr>
        <w:ind w:left="740" w:hanging="40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$2,650,000 attributable to the Revolving Credit Facility included in other assets at December 31, 2019.</w:t>
      </w:r>
    </w:p>
    <w:p>
      <w:pPr>
        <w:spacing w:after="0" w:line="2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has a Credit Agreement with a group of commercial banks, with JPMorgan Chase Bank, N.A. as the administrative agent bank, allowing for an $850,000,000 Revolving Credit Facility and a Term Loan with a maturity date of March 27, 2024. The Term Loan is repayable in quarterly installments currently scheduled to commence September 30, 2023, with $343,750,000 due on March 27, 2024. The Term Loan is prepayable, in whole or in part, without penalty. The Revolving Credit Facility includes a $25,000,000 commitment which may be used for standby letters of credit. Outstanding letters of credit under the Revolving Credit Facility were $5,363,000 and available borrowing capacity was $419,637,000 as of June 30, 2020.</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color w:val="auto"/>
        </w:rPr>
        <w:t>On February 27, 2020, upon maturity, the Company repaid in full $150,000,000 of 2.72% unsecured senior notes.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Outstanding letters of credit under the $10,000,000 credit line were $1,171,000 and available borrowing capacity was $8,829,000 as of June 30, 2020.</w:t>
      </w:r>
    </w:p>
    <w:p>
      <w:pPr>
        <w:spacing w:after="0" w:line="2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2020, the Company was in compliance with all covenants under its debt instruments. For additional information about the Company’s debt instruments, see “Long-Term Financing” in Item 7 — Management’s Discussion and Analysis of Financial Condition and Results of Operations and Note 8, Long-Term Debt, in the Company’s Annual Report on Form 10-K for the year ended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did not purchase any treasury stock during the 2020 first six months. As of August 5, 2020, the Company had approximately 1,400,000 shares available under its existing repurchase authorization.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generated net cash provided by operating activities of $242,144,000 and $188,197,000 for the 2020 and 2019 first six months, respectively. The improvement was driven by increased revenues and operating income in the marine transportation segment driven by the Savage acquisition in April 2020, the Cenac acquisition in March 2019, and increased coastal pricing and inland term pricing, partially offset by decreased inland spot pricing. The improvement was also due to changes in certain operating assets and liabilities primarily related to reduced incentive compensation payouts in the 2020 first quarter and a decrease in trade accounts receivable compared to an increase in the 2019 first six months, driven by reduced business activity levels in the distribution and services segment. In addition, during the six months ended June 30, 2020, the Company received a tax refund of $30,606,000 for its 2018 tax return related to net operating losses being carried back to offset taxable income generated during 2013.</w:t>
      </w:r>
    </w:p>
    <w:p>
      <w:pPr>
        <w:spacing w:after="0" w:line="19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Funds generated from operations are available for acquisitions, capital expenditure projects, common stock repurchases, repayments of borrowings, and for other corporate and operating requirements. In addition to net cash flows provided by operating activities, as of August 5, 2020, the Company also had cash equivalents of $104,821,000, availability of $454,637,000 under its Revolving Credit Facility, and $8,829,000 available under its Credit Line.</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Credit Agreement.</w:t>
      </w:r>
    </w:p>
    <w:p>
      <w:pPr>
        <w:spacing w:after="0" w:line="19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Revolving Credit Facility’s commitment is in the amount of $850,000,000 and expires March 27, 2024. As of June 30, 2020, the Company had $419,637,000 available under the Revolving Credit Facility. The 3.29% senior unsecured notes do not mature until February 27, 2023 and require no prepayments. The 4.2% senior unsecured notes do not mature until March 1, 2028 and require no prepayments. The outstanding balance of the Term Loan is subject to quarterly installments, currently scheduled to commence September 30, 2023, with $343,750,000 due on March 27, 2024. The Term Loan is prepayable, in whole or in part, without penalty.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ind w:firstLine="324"/>
        <w:spacing w:after="0" w:line="255" w:lineRule="auto"/>
        <w:rPr>
          <w:sz w:val="20"/>
          <w:szCs w:val="20"/>
          <w:color w:val="auto"/>
        </w:rPr>
      </w:pPr>
      <w:r>
        <w:rPr>
          <w:rFonts w:ascii="Arial" w:cs="Arial" w:eastAsia="Arial" w:hAnsi="Arial"/>
          <w:sz w:val="18"/>
          <w:szCs w:val="18"/>
          <w:color w:val="auto"/>
        </w:rPr>
        <w:t>There are numerous factors that may negatively impact the Company’s cash flows in 2020. For a list of significant risks and uncertainties that could impact cash flows, see Item 1A — Risk Factors below and Note 15, Contingencies, in the financial statements, and Item 1A — Risk Factors and Note 15, Contingencies and Commitments, in the Company’s Annual Report on Form 10-K for the year ended December 31, 2019. Amounts available under the Company’s existing financial arrangements are subject to the Company continuing to meet the covenants of the credit facilities as described in Item 7, Management’s Discussion and Analysis of Financial Condition and Results of Operations under Long-Term Financing in the Company’s Annual Report on Form 10-K for the year ended December 31, 2019.</w:t>
      </w:r>
    </w:p>
    <w:p>
      <w:pPr>
        <w:spacing w:after="0" w:line="21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$23,169,000 at June 30, 2020, including $11,345,000 in letters of credit and $11,824,000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2020 interest expense by $206,000 based on balances outstanding at December 31, 2019, and would change the fair value of the Company’s debt by less than 1%.</w:t>
      </w: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Chief Executive Officer and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has evaluated the Company’s disclosure controls and procedures (as defined in Rule 13a-15(e) under the Securities Exchange Act of 1934 (“Exchange Act”)), as of June 30, 2020, as required by Rule 13a-15(b) under the Exchange Act. Based on that evaluation, the Chief Executive Officer and the Chief Financial Officer concluded that, as of June 30, 2020, the disclosure controls and procedures were not effective due to the material weakness in internal control over financial reporting previously disclosed in the Company’s Quarterly Report on Form 10-Q/A for the quarter ended March 31, 2020.</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During the second quarter of 2020, certain distribution and services branch locations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the preparation and implementation of a series of changes to their financial reporting systems and processes. Certain other distribution and services branch locations are expected to complete similar implementations in future periods throughout 2020. In addition, the Company has implemented the remediation plan described below. There were no other changes in the Company’s internal control over financial reporting during the quarter ended June 30, 2020 that have materially affected, or are reasonably likely to materially affect, the Company’s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both"/>
        <w:ind w:firstLine="324"/>
        <w:spacing w:after="0" w:line="257" w:lineRule="auto"/>
        <w:rPr>
          <w:sz w:val="20"/>
          <w:szCs w:val="20"/>
          <w:color w:val="auto"/>
        </w:rPr>
      </w:pPr>
      <w:r>
        <w:rPr>
          <w:rFonts w:ascii="Arial" w:cs="Arial" w:eastAsia="Arial" w:hAnsi="Arial"/>
          <w:sz w:val="18"/>
          <w:szCs w:val="18"/>
          <w:i w:val="1"/>
          <w:iCs w:val="1"/>
          <w:color w:val="auto"/>
        </w:rPr>
        <w:t>Remediation Plan</w:t>
      </w:r>
      <w:r>
        <w:rPr>
          <w:rFonts w:ascii="Arial" w:cs="Arial" w:eastAsia="Arial" w:hAnsi="Arial"/>
          <w:sz w:val="18"/>
          <w:szCs w:val="18"/>
          <w:color w:val="auto"/>
        </w:rPr>
        <w:t>. As previously indicated in Part I, Item 4, Controls and Procedures, of the Company’s Quarterly Report on Form 10-Q/A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2020, the Company amended its control activities to mitigate significant risks identified, including updating its policies and procedures regarding the recognition of goodwill impairments, specifically to review the considerations of all tax impacts caused by the recognition of such goodwill impairments. The Company believes these changes and the appropriate testing of their effectiveness will remediate this material weakness by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discussion of the legal proceedings related to the M/V Voyager and the legal proceedings related to the tug Nathan E. Stewart and barge DBL 55 in Note 15, Contingencies, of the Notes to Unaudited Consolidated Financial Statements in this Quarterly Report are incorporated by reference into this Item 1.</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Widespread health developments and economic uncertainty resulting from the recent global COVID-19 pandemic could materially and adversely affect our business, financial condition and results of operations.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December 2019, COVID-19 surfaced in Wuhan, China. In response to the resulting pandemic, various countries, including the United States, either mandated or recommended business closures, travel restrictions or limitations, social distancing, and/or self-quarantine, among other actions. Additionally, various state and local governments in locations where the Company operates took similar actions. The full impact and duration of the outbreak is still unknown and the situation is rapidly evolving as many governments are in various stages of removing or easing these actions. In some cases, governments have reinstated actions and they may impose new actions in an effort to reduce or manage current or anticipated levels of infection. The extent and duration of these impacts is unknown at this time, but there has been a negative impact on the global and United States economies, including the oil and gas industry, which has reduced demand for the Company’s products and services.</w:t>
      </w:r>
    </w:p>
    <w:p>
      <w:pPr>
        <w:spacing w:after="0" w:line="2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These impacts could place limitations on the Company’s ability to execute on its business plan and materially and adversely affect its business, financial condition and results of operations. The Company continues to monitor the situation, actively implemented policies and procedures to address the situation, including its pandemic response plan and business continuity plan, and took steps to reduce costs. As the pandemic continues to further unfold, the Company may adjust its current policies and procedures as government mandates or recommendations change or as more information and guidance become available. The impact of the COVID-19 pandemic may also exacerbate other risks discussed in Item 1A of the Company’s Annual Report on Form 10-K for the year ended December 31, 2019, any of which could have a material effect on the Company. This situation is changing rapidly and additional impacts may arise that the Company is not aware of currently.</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other material changes that the Company is aware of from the risk factors previously disclosed in its “Risk Factors” in the Company’s Annual Report on Form 10-K for the year ended December 31, 2019 and previously updated in the Company’s Quarterly Report on Form 10-Q for the quarter ended March 31,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459"/>
        </w:trPr>
        <w:tc>
          <w:tcPr>
            <w:tcW w:w="1000" w:type="dxa"/>
            <w:vAlign w:val="bottom"/>
          </w:tcPr>
          <w:p>
            <w:pPr>
              <w:spacing w:after="0"/>
              <w:rPr>
                <w:sz w:val="24"/>
                <w:szCs w:val="24"/>
                <w:color w:val="auto"/>
              </w:rPr>
            </w:pPr>
          </w:p>
        </w:tc>
        <w:tc>
          <w:tcPr>
            <w:tcW w:w="1024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0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2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240" w:type="dxa"/>
            <w:vAlign w:val="bottom"/>
          </w:tcPr>
          <w:p>
            <w:pPr>
              <w:ind w:left="940"/>
              <w:spacing w:after="0"/>
              <w:rPr>
                <w:sz w:val="20"/>
                <w:szCs w:val="20"/>
                <w:color w:val="auto"/>
              </w:rPr>
            </w:pPr>
            <w:r>
              <w:rPr>
                <w:rFonts w:ascii="Arial" w:cs="Arial" w:eastAsia="Arial" w:hAnsi="Arial"/>
                <w:sz w:val="18"/>
                <w:szCs w:val="18"/>
                <w:b w:val="1"/>
                <w:bCs w:val="1"/>
                <w:color w:val="auto"/>
              </w:rPr>
              <w:t>Description of Exhibits</w:t>
            </w:r>
          </w:p>
        </w:tc>
      </w:tr>
      <w:tr>
        <w:trPr>
          <w:trHeight w:val="216"/>
        </w:trPr>
        <w:tc>
          <w:tcPr>
            <w:tcW w:w="1000" w:type="dxa"/>
            <w:vAlign w:val="bottom"/>
          </w:tcPr>
          <w:p>
            <w:pPr>
              <w:spacing w:after="0"/>
              <w:rPr>
                <w:sz w:val="18"/>
                <w:szCs w:val="18"/>
                <w:color w:val="auto"/>
              </w:rPr>
            </w:pPr>
          </w:p>
        </w:tc>
        <w:tc>
          <w:tcPr>
            <w:tcW w:w="10240" w:type="dxa"/>
            <w:vAlign w:val="bottom"/>
          </w:tcPr>
          <w:p>
            <w:pPr>
              <w:spacing w:after="0"/>
              <w:rPr>
                <w:sz w:val="18"/>
                <w:szCs w:val="18"/>
                <w:color w:val="auto"/>
              </w:rPr>
            </w:pPr>
          </w:p>
        </w:tc>
      </w:tr>
      <w:tr>
        <w:trPr>
          <w:trHeight w:val="202"/>
        </w:trPr>
        <w:tc>
          <w:tcPr>
            <w:tcW w:w="1000" w:type="dxa"/>
            <w:vAlign w:val="bottom"/>
            <w:shd w:val="clear" w:color="auto" w:fill="CCEEFF"/>
          </w:tcPr>
          <w:p>
            <w:pPr>
              <w:spacing w:after="0" w:line="201" w:lineRule="exact"/>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3.1</w:t>
              </w:r>
            </w:hyperlink>
          </w:p>
        </w:tc>
        <w:tc>
          <w:tcPr>
            <w:tcW w:w="102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w w:val="94"/>
              </w:rPr>
              <w:t>–   Restated Articles of Incorporation of the Company with all amendments to date (incorporated by reference to Exhibit 3.1 to the</w:t>
            </w:r>
          </w:p>
        </w:tc>
      </w:tr>
      <w:tr>
        <w:trPr>
          <w:trHeight w:val="230"/>
        </w:trPr>
        <w:tc>
          <w:tcPr>
            <w:tcW w:w="1000" w:type="dxa"/>
            <w:vAlign w:val="bottom"/>
            <w:shd w:val="clear" w:color="auto" w:fill="CCEEFF"/>
          </w:tcPr>
          <w:p>
            <w:pPr>
              <w:spacing w:after="0"/>
              <w:rPr>
                <w:sz w:val="20"/>
                <w:szCs w:val="20"/>
                <w:color w:val="auto"/>
              </w:rPr>
            </w:pPr>
          </w:p>
        </w:tc>
        <w:tc>
          <w:tcPr>
            <w:tcW w:w="10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Registrant’s Annual Report on Form 10-K for the year ended December 31, 2014)</w:t>
            </w:r>
          </w:p>
        </w:tc>
      </w:tr>
      <w:tr>
        <w:trPr>
          <w:trHeight w:val="202"/>
        </w:trPr>
        <w:tc>
          <w:tcPr>
            <w:tcW w:w="1000" w:type="dxa"/>
            <w:vAlign w:val="bottom"/>
          </w:tcPr>
          <w:p>
            <w:pPr>
              <w:spacing w:after="0" w:line="201" w:lineRule="exact"/>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3.2</w:t>
              </w:r>
            </w:hyperlink>
          </w:p>
        </w:tc>
        <w:tc>
          <w:tcPr>
            <w:tcW w:w="10240" w:type="dxa"/>
            <w:vAlign w:val="bottom"/>
          </w:tcPr>
          <w:p>
            <w:pPr>
              <w:ind w:left="560"/>
              <w:spacing w:after="0" w:line="201" w:lineRule="exact"/>
              <w:rPr>
                <w:sz w:val="20"/>
                <w:szCs w:val="20"/>
                <w:color w:val="auto"/>
              </w:rPr>
            </w:pPr>
            <w:r>
              <w:rPr>
                <w:rFonts w:ascii="Arial" w:cs="Arial" w:eastAsia="Arial" w:hAnsi="Arial"/>
                <w:sz w:val="18"/>
                <w:szCs w:val="18"/>
                <w:color w:val="auto"/>
                <w:w w:val="95"/>
              </w:rPr>
              <w:t>–   Bylaws of the Company, as amended to March 17, 2020 (incorporated by reference to Exhibit 3.2 to the Registrant’s Annual</w:t>
            </w:r>
          </w:p>
        </w:tc>
      </w:tr>
      <w:tr>
        <w:trPr>
          <w:trHeight w:val="230"/>
        </w:trPr>
        <w:tc>
          <w:tcPr>
            <w:tcW w:w="1000" w:type="dxa"/>
            <w:vAlign w:val="bottom"/>
          </w:tcPr>
          <w:p>
            <w:pPr>
              <w:spacing w:after="0"/>
              <w:rPr>
                <w:sz w:val="20"/>
                <w:szCs w:val="20"/>
                <w:color w:val="auto"/>
              </w:rPr>
            </w:pPr>
          </w:p>
        </w:tc>
        <w:tc>
          <w:tcPr>
            <w:tcW w:w="10240" w:type="dxa"/>
            <w:vAlign w:val="bottom"/>
          </w:tcPr>
          <w:p>
            <w:pPr>
              <w:ind w:left="940"/>
              <w:spacing w:after="0"/>
              <w:rPr>
                <w:sz w:val="20"/>
                <w:szCs w:val="20"/>
                <w:color w:val="auto"/>
              </w:rPr>
            </w:pPr>
            <w:r>
              <w:rPr>
                <w:rFonts w:ascii="Arial" w:cs="Arial" w:eastAsia="Arial" w:hAnsi="Arial"/>
                <w:sz w:val="18"/>
                <w:szCs w:val="18"/>
                <w:color w:val="auto"/>
              </w:rPr>
              <w:t>Report on Form 10-K for the year ended December 31, 2014)</w:t>
            </w:r>
          </w:p>
        </w:tc>
      </w:tr>
      <w:tr>
        <w:trPr>
          <w:trHeight w:val="202"/>
        </w:trPr>
        <w:tc>
          <w:tcPr>
            <w:tcW w:w="1000" w:type="dxa"/>
            <w:vAlign w:val="bottom"/>
            <w:shd w:val="clear" w:color="auto" w:fill="CCEEFF"/>
          </w:tcPr>
          <w:p>
            <w:pPr>
              <w:spacing w:after="0" w:line="201" w:lineRule="exact"/>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3.3</w:t>
              </w:r>
            </w:hyperlink>
          </w:p>
        </w:tc>
        <w:tc>
          <w:tcPr>
            <w:tcW w:w="1024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w w:val="94"/>
              </w:rPr>
              <w:t>–   Amendment to Bylaws of Kirby Corporation dated March 18, 2020 (incorporated by reference to Exhibit 3.1 to the Registrant’s</w:t>
            </w:r>
          </w:p>
        </w:tc>
      </w:tr>
      <w:tr>
        <w:trPr>
          <w:trHeight w:val="230"/>
        </w:trPr>
        <w:tc>
          <w:tcPr>
            <w:tcW w:w="1000" w:type="dxa"/>
            <w:vAlign w:val="bottom"/>
            <w:shd w:val="clear" w:color="auto" w:fill="CCEEFF"/>
          </w:tcPr>
          <w:p>
            <w:pPr>
              <w:spacing w:after="0"/>
              <w:rPr>
                <w:sz w:val="20"/>
                <w:szCs w:val="20"/>
                <w:color w:val="auto"/>
              </w:rPr>
            </w:pPr>
          </w:p>
        </w:tc>
        <w:tc>
          <w:tcPr>
            <w:tcW w:w="10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Current Report on Form 8-K filed with the Commission on March 19, 2020)</w:t>
            </w: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color w:val="auto"/>
              </w:rPr>
              <w:t>4.1</w:t>
            </w:r>
          </w:p>
        </w:tc>
        <w:tc>
          <w:tcPr>
            <w:tcW w:w="10240" w:type="dxa"/>
            <w:vAlign w:val="bottom"/>
          </w:tcPr>
          <w:p>
            <w:pPr>
              <w:ind w:left="560"/>
              <w:spacing w:after="0" w:line="201" w:lineRule="exact"/>
              <w:rPr>
                <w:sz w:val="20"/>
                <w:szCs w:val="20"/>
                <w:color w:val="auto"/>
              </w:rPr>
            </w:pPr>
            <w:r>
              <w:rPr>
                <w:rFonts w:ascii="Arial" w:cs="Arial" w:eastAsia="Arial" w:hAnsi="Arial"/>
                <w:sz w:val="18"/>
                <w:szCs w:val="18"/>
                <w:color w:val="auto"/>
              </w:rPr>
              <w:t>–   See Exhibits 3.1, 3.2, and 3.3 hereof for provisions of our Restated Articles of Incorporation of the Company with all</w:t>
            </w:r>
          </w:p>
        </w:tc>
      </w:tr>
      <w:tr>
        <w:trPr>
          <w:trHeight w:val="216"/>
        </w:trPr>
        <w:tc>
          <w:tcPr>
            <w:tcW w:w="1000" w:type="dxa"/>
            <w:vAlign w:val="bottom"/>
          </w:tcPr>
          <w:p>
            <w:pPr>
              <w:spacing w:after="0"/>
              <w:rPr>
                <w:sz w:val="18"/>
                <w:szCs w:val="18"/>
                <w:color w:val="auto"/>
              </w:rPr>
            </w:pPr>
          </w:p>
        </w:tc>
        <w:tc>
          <w:tcPr>
            <w:tcW w:w="10240" w:type="dxa"/>
            <w:vAlign w:val="bottom"/>
          </w:tcPr>
          <w:p>
            <w:pPr>
              <w:ind w:left="940"/>
              <w:spacing w:after="0"/>
              <w:rPr>
                <w:sz w:val="20"/>
                <w:szCs w:val="20"/>
                <w:color w:val="auto"/>
              </w:rPr>
            </w:pPr>
            <w:r>
              <w:rPr>
                <w:rFonts w:ascii="Arial" w:cs="Arial" w:eastAsia="Arial" w:hAnsi="Arial"/>
                <w:sz w:val="18"/>
                <w:szCs w:val="18"/>
                <w:color w:val="auto"/>
                <w:w w:val="92"/>
              </w:rPr>
              <w:t>amendments to date, the Bylaws of the Company, as amended to March 17, 2020, and Amendment to Bylaws of the Company</w:t>
            </w:r>
          </w:p>
        </w:tc>
      </w:tr>
      <w:tr>
        <w:trPr>
          <w:trHeight w:val="216"/>
        </w:trPr>
        <w:tc>
          <w:tcPr>
            <w:tcW w:w="1000" w:type="dxa"/>
            <w:vAlign w:val="bottom"/>
          </w:tcPr>
          <w:p>
            <w:pPr>
              <w:spacing w:after="0"/>
              <w:rPr>
                <w:sz w:val="18"/>
                <w:szCs w:val="18"/>
                <w:color w:val="auto"/>
              </w:rPr>
            </w:pPr>
          </w:p>
        </w:tc>
        <w:tc>
          <w:tcPr>
            <w:tcW w:w="10240" w:type="dxa"/>
            <w:vAlign w:val="bottom"/>
          </w:tcPr>
          <w:p>
            <w:pPr>
              <w:ind w:left="940"/>
              <w:spacing w:after="0"/>
              <w:rPr>
                <w:sz w:val="20"/>
                <w:szCs w:val="20"/>
                <w:color w:val="auto"/>
              </w:rPr>
            </w:pPr>
            <w:r>
              <w:rPr>
                <w:rFonts w:ascii="Arial" w:cs="Arial" w:eastAsia="Arial" w:hAnsi="Arial"/>
                <w:sz w:val="18"/>
                <w:szCs w:val="18"/>
                <w:color w:val="auto"/>
                <w:w w:val="91"/>
              </w:rPr>
              <w:t>dated March 18, 2020 (incorporated by reference to Exhibit 3.1 and 3.2, respectively, to the Registrant's Annual Report on Form</w:t>
            </w:r>
          </w:p>
        </w:tc>
      </w:tr>
      <w:tr>
        <w:trPr>
          <w:trHeight w:val="216"/>
        </w:trPr>
        <w:tc>
          <w:tcPr>
            <w:tcW w:w="1000" w:type="dxa"/>
            <w:vAlign w:val="bottom"/>
          </w:tcPr>
          <w:p>
            <w:pPr>
              <w:spacing w:after="0"/>
              <w:rPr>
                <w:sz w:val="18"/>
                <w:szCs w:val="18"/>
                <w:color w:val="auto"/>
              </w:rPr>
            </w:pPr>
          </w:p>
        </w:tc>
        <w:tc>
          <w:tcPr>
            <w:tcW w:w="10240" w:type="dxa"/>
            <w:vAlign w:val="bottom"/>
          </w:tcPr>
          <w:p>
            <w:pPr>
              <w:ind w:left="940"/>
              <w:spacing w:after="0"/>
              <w:rPr>
                <w:sz w:val="20"/>
                <w:szCs w:val="20"/>
                <w:color w:val="auto"/>
              </w:rPr>
            </w:pPr>
            <w:r>
              <w:rPr>
                <w:rFonts w:ascii="Arial" w:cs="Arial" w:eastAsia="Arial" w:hAnsi="Arial"/>
                <w:sz w:val="18"/>
                <w:szCs w:val="18"/>
                <w:color w:val="auto"/>
                <w:w w:val="96"/>
              </w:rPr>
              <w:t>10-K for the year ended December 31, 2014 and Exhibit 3.1 to the Registrant’s Current Report on Form 8-K filed with the</w:t>
            </w:r>
          </w:p>
        </w:tc>
      </w:tr>
      <w:tr>
        <w:trPr>
          <w:trHeight w:val="230"/>
        </w:trPr>
        <w:tc>
          <w:tcPr>
            <w:tcW w:w="1000" w:type="dxa"/>
            <w:vAlign w:val="bottom"/>
          </w:tcPr>
          <w:p>
            <w:pPr>
              <w:spacing w:after="0"/>
              <w:rPr>
                <w:sz w:val="20"/>
                <w:szCs w:val="20"/>
                <w:color w:val="auto"/>
              </w:rPr>
            </w:pPr>
          </w:p>
        </w:tc>
        <w:tc>
          <w:tcPr>
            <w:tcW w:w="10240" w:type="dxa"/>
            <w:vAlign w:val="bottom"/>
          </w:tcPr>
          <w:p>
            <w:pPr>
              <w:ind w:left="940"/>
              <w:spacing w:after="0"/>
              <w:rPr>
                <w:sz w:val="20"/>
                <w:szCs w:val="20"/>
                <w:color w:val="auto"/>
              </w:rPr>
            </w:pPr>
            <w:r>
              <w:rPr>
                <w:rFonts w:ascii="Arial" w:cs="Arial" w:eastAsia="Arial" w:hAnsi="Arial"/>
                <w:sz w:val="18"/>
                <w:szCs w:val="18"/>
                <w:color w:val="auto"/>
              </w:rPr>
              <w:t>Commission on March 19, 2020 ).</w:t>
            </w:r>
          </w:p>
        </w:tc>
      </w:tr>
      <w:tr>
        <w:trPr>
          <w:trHeight w:val="216"/>
        </w:trPr>
        <w:tc>
          <w:tcPr>
            <w:tcW w:w="1000" w:type="dxa"/>
            <w:vAlign w:val="bottom"/>
            <w:shd w:val="clear" w:color="auto" w:fill="CCEEFF"/>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31.1</w:t>
              </w:r>
            </w:hyperlink>
          </w:p>
        </w:tc>
        <w:tc>
          <w:tcPr>
            <w:tcW w:w="10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Certification of Chief Executive Officer Pursuant to Rule 13a-14(a)</w:t>
            </w:r>
          </w:p>
        </w:tc>
      </w:tr>
      <w:tr>
        <w:trPr>
          <w:trHeight w:val="216"/>
        </w:trPr>
        <w:tc>
          <w:tcPr>
            <w:tcW w:w="100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31.2</w:t>
              </w:r>
            </w:hyperlink>
          </w:p>
        </w:tc>
        <w:tc>
          <w:tcPr>
            <w:tcW w:w="10240" w:type="dxa"/>
            <w:vAlign w:val="bottom"/>
          </w:tcPr>
          <w:p>
            <w:pPr>
              <w:ind w:left="560"/>
              <w:spacing w:after="0"/>
              <w:rPr>
                <w:sz w:val="20"/>
                <w:szCs w:val="20"/>
                <w:color w:val="auto"/>
              </w:rPr>
            </w:pPr>
            <w:r>
              <w:rPr>
                <w:rFonts w:ascii="Arial" w:cs="Arial" w:eastAsia="Arial" w:hAnsi="Arial"/>
                <w:sz w:val="18"/>
                <w:szCs w:val="18"/>
                <w:color w:val="auto"/>
              </w:rPr>
              <w:t>–   Certification of Chief Financial Officer Pursuant to Rule 13a-14(a)</w:t>
            </w:r>
          </w:p>
        </w:tc>
      </w:tr>
      <w:tr>
        <w:trPr>
          <w:trHeight w:val="216"/>
        </w:trPr>
        <w:tc>
          <w:tcPr>
            <w:tcW w:w="100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32</w:t>
              </w:r>
            </w:hyperlink>
          </w:p>
        </w:tc>
        <w:tc>
          <w:tcPr>
            <w:tcW w:w="10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Certification Pursuant to 18 U.S.C. Section 1350</w:t>
            </w: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color w:val="auto"/>
              </w:rPr>
              <w:t>101.INS</w:t>
            </w:r>
          </w:p>
        </w:tc>
        <w:tc>
          <w:tcPr>
            <w:tcW w:w="10240" w:type="dxa"/>
            <w:vAlign w:val="bottom"/>
          </w:tcPr>
          <w:p>
            <w:pPr>
              <w:ind w:left="560"/>
              <w:spacing w:after="0" w:line="201" w:lineRule="exact"/>
              <w:rPr>
                <w:sz w:val="20"/>
                <w:szCs w:val="20"/>
                <w:color w:val="auto"/>
              </w:rPr>
            </w:pPr>
            <w:r>
              <w:rPr>
                <w:rFonts w:ascii="Arial" w:cs="Arial" w:eastAsia="Arial" w:hAnsi="Arial"/>
                <w:sz w:val="18"/>
                <w:szCs w:val="18"/>
                <w:color w:val="auto"/>
                <w:w w:val="92"/>
              </w:rPr>
              <w:t>–   Inline XBRL Instance Document – the instance document does not appear in the Interactive Data File because its XBRL tags are</w:t>
            </w:r>
          </w:p>
        </w:tc>
      </w:tr>
      <w:tr>
        <w:trPr>
          <w:trHeight w:val="230"/>
        </w:trPr>
        <w:tc>
          <w:tcPr>
            <w:tcW w:w="1000" w:type="dxa"/>
            <w:vAlign w:val="bottom"/>
          </w:tcPr>
          <w:p>
            <w:pPr>
              <w:spacing w:after="0"/>
              <w:rPr>
                <w:sz w:val="20"/>
                <w:szCs w:val="20"/>
                <w:color w:val="auto"/>
              </w:rPr>
            </w:pPr>
          </w:p>
        </w:tc>
        <w:tc>
          <w:tcPr>
            <w:tcW w:w="10240" w:type="dxa"/>
            <w:vAlign w:val="bottom"/>
          </w:tcPr>
          <w:p>
            <w:pPr>
              <w:ind w:left="940"/>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Inline XBRL Taxonomy Extension Schema Document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56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56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223"/>
        </w:trPr>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102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Cover Page Interactive Data File (embedded within the Inline XBRL document)</w:t>
            </w:r>
          </w:p>
        </w:tc>
      </w:tr>
      <w:tr>
        <w:trPr>
          <w:trHeight w:val="582"/>
        </w:trPr>
        <w:tc>
          <w:tcPr>
            <w:tcW w:w="1000" w:type="dxa"/>
            <w:vAlign w:val="bottom"/>
          </w:tcPr>
          <w:p>
            <w:pPr>
              <w:spacing w:after="0"/>
              <w:rPr>
                <w:sz w:val="24"/>
                <w:szCs w:val="24"/>
                <w:color w:val="auto"/>
              </w:rPr>
            </w:pPr>
          </w:p>
        </w:tc>
        <w:tc>
          <w:tcPr>
            <w:tcW w:w="10240" w:type="dxa"/>
            <w:vAlign w:val="bottom"/>
          </w:tcPr>
          <w:p>
            <w:pPr>
              <w:ind w:left="4560"/>
              <w:spacing w:after="0"/>
              <w:rPr>
                <w:sz w:val="20"/>
                <w:szCs w:val="20"/>
                <w:color w:val="auto"/>
              </w:rPr>
            </w:pPr>
            <w:r>
              <w:rPr>
                <w:rFonts w:ascii="Arial" w:cs="Arial" w:eastAsia="Arial" w:hAnsi="Arial"/>
                <w:sz w:val="14"/>
                <w:szCs w:val="14"/>
                <w:color w:val="auto"/>
              </w:rPr>
              <w:t>35</w:t>
            </w:r>
          </w:p>
        </w:tc>
      </w:tr>
      <w:tr>
        <w:trPr>
          <w:trHeight w:val="46"/>
        </w:trPr>
        <w:tc>
          <w:tcPr>
            <w:tcW w:w="1000" w:type="dxa"/>
            <w:vAlign w:val="bottom"/>
            <w:tcBorders>
              <w:bottom w:val="single" w:sz="8" w:color="auto"/>
            </w:tcBorders>
          </w:tcPr>
          <w:p>
            <w:pPr>
              <w:spacing w:after="0"/>
              <w:rPr>
                <w:sz w:val="4"/>
                <w:szCs w:val="4"/>
                <w:color w:val="auto"/>
              </w:rPr>
            </w:pPr>
          </w:p>
        </w:tc>
        <w:tc>
          <w:tcPr>
            <w:tcW w:w="102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9" w:name="page40"/>
    <w:bookmarkEnd w:id="39"/>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61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340"/>
          </w:cols>
          <w:pgMar w:left="320" w:top="121" w:right="1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39" w:lineRule="exact"/>
        <w:rPr>
          <w:sz w:val="20"/>
          <w:szCs w:val="20"/>
          <w:color w:val="auto"/>
        </w:rPr>
      </w:pPr>
    </w:p>
    <w:p>
      <w:pPr>
        <w:ind w:left="340" w:right="1140"/>
        <w:spacing w:after="0" w:line="250" w:lineRule="auto"/>
        <w:rPr>
          <w:sz w:val="20"/>
          <w:szCs w:val="20"/>
          <w:color w:val="auto"/>
        </w:rPr>
      </w:pPr>
      <w:r>
        <w:rPr>
          <w:rFonts w:ascii="Arial" w:cs="Arial" w:eastAsia="Arial" w:hAnsi="Arial"/>
          <w:sz w:val="22"/>
          <w:szCs w:val="22"/>
          <w:color w:val="auto"/>
        </w:rPr>
        <w:t>In connection with the filing of the Quarterly Report on Form 10-Q for the quarter ended June 30, 2020 by Kirby Corporation, David W. Grzebinski certifies that:</w:t>
      </w:r>
    </w:p>
    <w:p>
      <w:pPr>
        <w:spacing w:after="0" w:line="20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8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15"/>
        <w:spacing w:after="0" w:line="263" w:lineRule="auto"/>
        <w:tabs>
          <w:tab w:leader="none" w:pos="6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15"/>
        <w:spacing w:after="0" w:line="263" w:lineRule="auto"/>
        <w:tabs>
          <w:tab w:leader="none" w:pos="6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15"/>
        <w:spacing w:after="0" w:line="342" w:lineRule="auto"/>
        <w:tabs>
          <w:tab w:leader="none" w:pos="660" w:val="left"/>
        </w:tabs>
        <w:numPr>
          <w:ilvl w:val="2"/>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40" w:hanging="315"/>
        <w:spacing w:after="0" w:line="342" w:lineRule="auto"/>
        <w:tabs>
          <w:tab w:leader="none" w:pos="660" w:val="left"/>
        </w:tabs>
        <w:numPr>
          <w:ilvl w:val="2"/>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340" w:right="3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39" w:lineRule="exact"/>
        <w:rPr>
          <w:sz w:val="20"/>
          <w:szCs w:val="20"/>
          <w:color w:val="auto"/>
        </w:rPr>
      </w:pPr>
    </w:p>
    <w:p>
      <w:pPr>
        <w:ind w:left="340" w:right="1140"/>
        <w:spacing w:after="0" w:line="250" w:lineRule="auto"/>
        <w:rPr>
          <w:sz w:val="20"/>
          <w:szCs w:val="20"/>
          <w:color w:val="auto"/>
        </w:rPr>
      </w:pPr>
      <w:r>
        <w:rPr>
          <w:rFonts w:ascii="Arial" w:cs="Arial" w:eastAsia="Arial" w:hAnsi="Arial"/>
          <w:sz w:val="22"/>
          <w:szCs w:val="22"/>
          <w:color w:val="auto"/>
        </w:rPr>
        <w:t>In connection with the filing of the Quarterly Report on Form 10-Q for the quarter ended June 30, 2020 by Kirby Corporation, William G. Harvey certifies that:</w:t>
      </w:r>
    </w:p>
    <w:p>
      <w:pPr>
        <w:spacing w:after="0" w:line="20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8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15"/>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15"/>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15"/>
        <w:spacing w:after="0" w:line="342"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40" w:hanging="315"/>
        <w:spacing w:after="0" w:line="342"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340" w:right="3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15"/>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15"/>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18 U.S.C. Section 1350</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 connection with the filing of the Quarterly Report on Form 10-Q for the quarter ended June 30, 2020 (the “Report”) by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Kirby Corporation (the “Company”), each of the undersigned hereby certifies that:</w:t>
      </w:r>
    </w:p>
    <w:p>
      <w:pPr>
        <w:spacing w:after="0" w:line="22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7"/>
    </w:lvl>
  </w:abstractNum>
  <w:abstractNum w:abstractNumId="8">
    <w:nsid w:val="109CF92E"/>
    <w:multiLevelType w:val="hybridMultilevel"/>
    <w:lvl w:ilvl="0">
      <w:lvlJc w:val="left"/>
      <w:lvlText w:val="(%1)"/>
      <w:numFmt w:val="decimal"/>
      <w:start w:val="10"/>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1)"/>
      <w:numFmt w:val="decimal"/>
      <w:start w:val="12"/>
    </w:lvl>
  </w:abstractNum>
  <w:abstractNum w:abstractNumId="11">
    <w:nsid w:val="1BEFD79F"/>
    <w:multiLevelType w:val="hybridMultilevel"/>
    <w:lvl w:ilvl="0">
      <w:lvlJc w:val="left"/>
      <w:lvlText w:val="(%1)"/>
      <w:numFmt w:val="decimal"/>
      <w:start w:val="13"/>
    </w:lvl>
  </w:abstractNum>
  <w:abstractNum w:abstractNumId="12">
    <w:nsid w:val="41A7C4C9"/>
    <w:multiLevelType w:val="hybridMultilevel"/>
    <w:lvl w:ilvl="0">
      <w:lvlJc w:val="left"/>
      <w:lvlText w:val="(%1)"/>
      <w:numFmt w:val="decimal"/>
      <w:start w:val="14"/>
    </w:lvl>
  </w:abstractNum>
  <w:abstractNum w:abstractNumId="13">
    <w:nsid w:val="6B68079A"/>
    <w:multiLevelType w:val="hybridMultilevel"/>
    <w:lvl w:ilvl="0">
      <w:lvlJc w:val="left"/>
      <w:lvlText w:val="(%1)"/>
      <w:numFmt w:val="decimal"/>
      <w:start w:val="15"/>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48" Type="http://schemas.openxmlformats.org/officeDocument/2006/relationships/hyperlink" Target="http://www.sec.gov/Archives/edgar/data/56047/000114036115008395/ex3_1.htm" TargetMode="External"/><Relationship Id="rId49" Type="http://schemas.openxmlformats.org/officeDocument/2006/relationships/hyperlink" Target="http://www.sec.gov/Archives/edgar/data/56047/000114036115008395/ex3_2.htm" TargetMode="External"/><Relationship Id="rId50" Type="http://schemas.openxmlformats.org/officeDocument/2006/relationships/hyperlink" Target="http://www.sec.gov/Archives/edgar/data/56047/000114036120006365/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2020-08-06T13:13:55Z</dcterms:created>
  <dcterms:modified xsi:type="dcterms:W3CDTF">2020-08-06T13:13:55Z</dcterms:modified>
</cp:coreProperties>
</file>