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4"/>
          <w:szCs w:val="24"/>
          <w:color w:val="auto"/>
        </w:rPr>
      </w:pPr>
    </w:p>
    <w:p>
      <w:pPr>
        <w:ind w:left="440" w:hanging="432"/>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7" w:lineRule="exact"/>
        <w:rPr>
          <w:sz w:val="24"/>
          <w:szCs w:val="24"/>
          <w:color w:val="auto"/>
        </w:rPr>
      </w:pPr>
    </w:p>
    <w:p>
      <w:pPr>
        <w:ind w:left="440" w:hanging="432"/>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r>
      <w:tr>
        <w:trPr>
          <w:trHeight w:val="261"/>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1"/>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55 Waugh Drive, Suite 1000</w:t>
            </w:r>
          </w:p>
        </w:tc>
        <w:tc>
          <w:tcPr>
            <w:tcW w:w="3760" w:type="dxa"/>
            <w:vAlign w:val="bottom"/>
          </w:tcPr>
          <w:p>
            <w:pPr>
              <w:spacing w:after="0"/>
              <w:rPr>
                <w:sz w:val="24"/>
                <w:szCs w:val="24"/>
                <w:color w:val="auto"/>
              </w:rPr>
            </w:pPr>
          </w:p>
        </w:tc>
      </w:tr>
      <w:tr>
        <w:trPr>
          <w:trHeight w:val="238"/>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r>
      <w:tr>
        <w:trPr>
          <w:trHeight w:val="243"/>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75"/>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63" w:lineRule="exact"/>
        <w:rPr>
          <w:sz w:val="24"/>
          <w:szCs w:val="24"/>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7" w:lineRule="exact"/>
        <w:rPr>
          <w:sz w:val="24"/>
          <w:szCs w:val="24"/>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7"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jc w:val="center"/>
              <w:ind w:right="1930"/>
              <w:spacing w:after="0"/>
              <w:rPr>
                <w:sz w:val="20"/>
                <w:szCs w:val="20"/>
                <w:color w:val="auto"/>
              </w:rPr>
            </w:pPr>
            <w:r>
              <w:rPr>
                <w:rFonts w:ascii="Wingdings" w:cs="Wingdings" w:eastAsia="Wingdings" w:hAnsi="Wingdings"/>
                <w:sz w:val="18"/>
                <w:szCs w:val="18"/>
                <w:b w:val="1"/>
                <w:bCs w:val="1"/>
                <w:color w:val="auto"/>
                <w:w w:val="94"/>
              </w:rPr>
              <w:t></w:t>
            </w:r>
          </w:p>
        </w:tc>
        <w:tc>
          <w:tcPr>
            <w:tcW w:w="4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jc w:val="center"/>
              <w:ind w:right="1910"/>
              <w:spacing w:after="0"/>
              <w:rPr>
                <w:sz w:val="20"/>
                <w:szCs w:val="20"/>
                <w:color w:val="auto"/>
              </w:rPr>
            </w:pPr>
            <w:r>
              <w:rPr>
                <w:rFonts w:ascii="Wingdings" w:cs="Wingdings" w:eastAsia="Wingdings" w:hAnsi="Wingdings"/>
                <w:sz w:val="18"/>
                <w:szCs w:val="18"/>
                <w:b w:val="1"/>
                <w:bCs w:val="1"/>
                <w:color w:val="auto"/>
                <w:w w:val="99"/>
              </w:rPr>
              <w:t></w:t>
            </w:r>
          </w:p>
        </w:tc>
        <w:tc>
          <w:tcPr>
            <w:tcW w:w="4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43"/>
        </w:trPr>
        <w:tc>
          <w:tcPr>
            <w:tcW w:w="21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9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76"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2023, 60.0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620" w:type="dxa"/>
            <w:vAlign w:val="bottom"/>
            <w:gridSpan w:val="3"/>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80,577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526,489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483,406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475,218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461,848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1,200,366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1,211,759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5,532,952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5,452,143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20"/>
                <w:szCs w:val="20"/>
                <w:color w:val="auto"/>
              </w:rPr>
            </w:pPr>
          </w:p>
        </w:tc>
        <w:tc>
          <w:tcPr>
            <w:tcW w:w="14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(1,867,442 )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(1,818,681 )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3,665,510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5,574,748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6"/>
        </w:trPr>
        <w:tc>
          <w:tcPr>
            <w:tcW w:w="8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1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278,467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278,081</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173,992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204,752</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36,444</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119,305</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614,788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1,075,658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1,076,326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625,884</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146,445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142,140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1,874,820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21"/>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856,680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859,345</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2,468,730</w:t>
            </w:r>
          </w:p>
        </w:tc>
        <w:tc>
          <w:tcPr>
            <w:tcW w:w="100" w:type="dxa"/>
            <w:vAlign w:val="bottom"/>
          </w:tcPr>
          <w:p>
            <w:pPr>
              <w:spacing w:after="0"/>
              <w:rPr>
                <w:sz w:val="20"/>
                <w:szCs w:val="20"/>
                <w:color w:val="auto"/>
              </w:rPr>
            </w:pPr>
          </w:p>
        </w:tc>
      </w:tr>
      <w:tr>
        <w:trPr>
          <w:trHeight w:val="243"/>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at cost, 5.5 million shares at March 31, 2023 and 5.6 million at December 31, 2022</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(306,746 )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(308,598 )</w:t>
            </w:r>
          </w:p>
        </w:tc>
      </w:tr>
      <w:tr>
        <w:trPr>
          <w:trHeight w:val="236"/>
        </w:trPr>
        <w:tc>
          <w:tcPr>
            <w:tcW w:w="8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3,082,926</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3,042,877</w:t>
            </w:r>
          </w:p>
        </w:tc>
        <w:tc>
          <w:tcPr>
            <w:tcW w:w="100" w:type="dxa"/>
            <w:vAlign w:val="bottom"/>
            <w:tcBorders>
              <w:top w:val="single" w:sz="8" w:color="CFF0FC"/>
            </w:tcBorders>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3,085,140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3,045,168</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5,574,748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-5847715</wp:posOffset>
            </wp:positionV>
            <wp:extent cx="7683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-5847715</wp:posOffset>
            </wp:positionV>
            <wp:extent cx="6858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-5290820</wp:posOffset>
            </wp:positionV>
            <wp:extent cx="7683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-5290820</wp:posOffset>
            </wp:positionV>
            <wp:extent cx="6858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-4425950</wp:posOffset>
            </wp:positionV>
            <wp:extent cx="10871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7120" cy="10287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-2927985</wp:posOffset>
            </wp:positionV>
            <wp:extent cx="7683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-2063115</wp:posOffset>
            </wp:positionV>
            <wp:extent cx="7683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-667385</wp:posOffset>
            </wp:positionV>
            <wp:extent cx="7683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-350520</wp:posOffset>
            </wp:positionV>
            <wp:extent cx="768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35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340" w:type="dxa"/>
            <w:vAlign w:val="bottom"/>
          </w:tcPr>
          <w:p>
            <w:pPr>
              <w:spacing w:after="0"/>
              <w:rPr>
                <w:sz w:val="20"/>
                <w:szCs w:val="20"/>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100" w:type="dxa"/>
            <w:vAlign w:val="bottom"/>
          </w:tcPr>
          <w:p>
            <w:pPr>
              <w:spacing w:after="0"/>
              <w:rPr>
                <w:sz w:val="20"/>
                <w:szCs w:val="20"/>
                <w:color w:val="auto"/>
              </w:rPr>
            </w:pPr>
          </w:p>
        </w:tc>
      </w:tr>
      <w:tr>
        <w:trPr>
          <w:trHeight w:val="240"/>
        </w:trPr>
        <w:tc>
          <w:tcPr>
            <w:tcW w:w="69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542,080</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450,618</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88,849</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75,765</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(2,230 )</w:t>
            </w:r>
          </w:p>
        </w:tc>
        <w:tc>
          <w:tcPr>
            <w:tcW w:w="1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(4,849 )</w:t>
            </w:r>
          </w:p>
        </w:tc>
      </w:tr>
      <w:tr>
        <w:trPr>
          <w:trHeight w:val="236"/>
        </w:trPr>
        <w:tc>
          <w:tcPr>
            <w:tcW w:w="69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688,994</w:t>
            </w:r>
          </w:p>
        </w:tc>
        <w:tc>
          <w:tcPr>
            <w:tcW w:w="340" w:type="dxa"/>
            <w:vAlign w:val="bottom"/>
            <w:tcBorders>
              <w:top w:val="single" w:sz="8" w:color="CFF0FC"/>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581,088</w:t>
            </w:r>
          </w:p>
        </w:tc>
        <w:tc>
          <w:tcPr>
            <w:tcW w:w="100" w:type="dxa"/>
            <w:vAlign w:val="bottom"/>
            <w:tcBorders>
              <w:top w:val="single" w:sz="8" w:color="CFF0FC"/>
            </w:tcBorders>
          </w:tcPr>
          <w:p>
            <w:pPr>
              <w:spacing w:after="0"/>
              <w:rPr>
                <w:sz w:val="20"/>
                <w:szCs w:val="20"/>
                <w:color w:val="auto"/>
              </w:rPr>
            </w:pPr>
          </w:p>
        </w:tc>
      </w:tr>
      <w:tr>
        <w:trPr>
          <w:trHeight w:val="240"/>
        </w:trPr>
        <w:tc>
          <w:tcPr>
            <w:tcW w:w="69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(13,221 )</w:t>
            </w:r>
          </w:p>
        </w:tc>
        <w:tc>
          <w:tcPr>
            <w:tcW w:w="1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(10,203 )</w:t>
            </w:r>
          </w:p>
        </w:tc>
      </w:tr>
      <w:tr>
        <w:trPr>
          <w:trHeight w:val="240"/>
        </w:trPr>
        <w:tc>
          <w:tcPr>
            <w:tcW w:w="69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(14,051 )</w:t>
            </w:r>
          </w:p>
        </w:tc>
        <w:tc>
          <w:tcPr>
            <w:tcW w:w="1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(6,213 )</w:t>
            </w:r>
          </w:p>
        </w:tc>
      </w:tr>
      <w:tr>
        <w:trPr>
          <w:trHeight w:val="240"/>
        </w:trPr>
        <w:tc>
          <w:tcPr>
            <w:tcW w:w="692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(152 )</w:t>
            </w:r>
          </w:p>
        </w:tc>
      </w:tr>
      <w:tr>
        <w:trPr>
          <w:trHeight w:val="240"/>
        </w:trPr>
        <w:tc>
          <w:tcPr>
            <w:tcW w:w="69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-3475990</wp:posOffset>
            </wp:positionV>
            <wp:extent cx="768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-2225675</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-967105</wp:posOffset>
            </wp:positionV>
            <wp:extent cx="7683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-205105</wp:posOffset>
            </wp:positionV>
            <wp:extent cx="150685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6855" cy="20574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16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8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00" w:type="dxa"/>
            <w:vAlign w:val="bottom"/>
            <w:shd w:val="clear" w:color="auto" w:fill="CFF0FC"/>
          </w:tcPr>
          <w:p>
            <w:pPr>
              <w:spacing w:after="0"/>
              <w:rPr>
                <w:sz w:val="20"/>
                <w:szCs w:val="20"/>
                <w:color w:val="auto"/>
              </w:rPr>
            </w:pPr>
          </w:p>
        </w:tc>
      </w:tr>
      <w:tr>
        <w:trPr>
          <w:trHeight w:val="240"/>
        </w:trPr>
        <w:tc>
          <w:tcPr>
            <w:tcW w:w="4960" w:type="dxa"/>
            <w:vAlign w:val="bottom"/>
            <w:tcBorders>
              <w:top w:val="single" w:sz="8" w:color="CFF0FC"/>
            </w:tcBorders>
          </w:tcPr>
          <w:p>
            <w:pPr>
              <w:spacing w:after="0"/>
              <w:rPr>
                <w:sz w:val="20"/>
                <w:szCs w:val="20"/>
                <w:color w:val="auto"/>
              </w:rPr>
            </w:pPr>
          </w:p>
        </w:tc>
        <w:tc>
          <w:tcPr>
            <w:tcW w:w="196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9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(61 )</w:t>
            </w:r>
          </w:p>
        </w:tc>
        <w:tc>
          <w:tcPr>
            <w:tcW w:w="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3"/>
        </w:trPr>
        <w:tc>
          <w:tcPr>
            <w:tcW w:w="4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1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r>
      <w:tr>
        <w:trPr>
          <w:trHeight w:val="240"/>
        </w:trPr>
        <w:tc>
          <w:tcPr>
            <w:tcW w:w="496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Pr>
          <w:p>
            <w:pPr>
              <w:spacing w:after="0"/>
              <w:rPr>
                <w:sz w:val="20"/>
                <w:szCs w:val="20"/>
                <w:color w:val="auto"/>
              </w:rPr>
            </w:pPr>
          </w:p>
        </w:tc>
      </w:tr>
      <w:tr>
        <w:trPr>
          <w:trHeight w:val="243"/>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19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(152 )</w:t>
            </w:r>
          </w:p>
        </w:tc>
      </w:tr>
      <w:tr>
        <w:trPr>
          <w:trHeight w:val="240"/>
        </w:trPr>
        <w:tc>
          <w:tcPr>
            <w:tcW w:w="4960" w:type="dxa"/>
            <w:vAlign w:val="bottom"/>
            <w:tcBorders>
              <w:top w:val="single" w:sz="8" w:color="CFF0FC"/>
            </w:tcBorders>
          </w:tcPr>
          <w:p>
            <w:pPr>
              <w:spacing w:after="0"/>
              <w:rPr>
                <w:sz w:val="20"/>
                <w:szCs w:val="20"/>
                <w:color w:val="auto"/>
              </w:rPr>
            </w:pPr>
          </w:p>
        </w:tc>
        <w:tc>
          <w:tcPr>
            <w:tcW w:w="196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78"/>
        </w:trPr>
        <w:tc>
          <w:tcPr>
            <w:tcW w:w="49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19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8040" w:type="dxa"/>
            <w:vAlign w:val="bottom"/>
            <w:gridSpan w:val="3"/>
          </w:tcPr>
          <w:p>
            <w:pPr>
              <w:jc w:val="center"/>
              <w:ind w:left="3110"/>
              <w:spacing w:after="0"/>
              <w:rPr>
                <w:sz w:val="20"/>
                <w:szCs w:val="20"/>
                <w:color w:val="auto"/>
              </w:rPr>
            </w:pPr>
            <w:r>
              <w:rPr>
                <w:rFonts w:ascii="Times New Roman" w:cs="Times New Roman" w:eastAsia="Times New Roman" w:hAnsi="Times New Roman"/>
                <w:sz w:val="18"/>
                <w:szCs w:val="18"/>
                <w:color w:val="auto"/>
                <w:w w:val="99"/>
              </w:rPr>
              <w:t>See accompanying notes to condensed financial statements.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4960" w:type="dxa"/>
            <w:vAlign w:val="bottom"/>
          </w:tcPr>
          <w:p>
            <w:pPr>
              <w:spacing w:after="0"/>
              <w:rPr>
                <w:sz w:val="24"/>
                <w:szCs w:val="24"/>
                <w:color w:val="auto"/>
              </w:rPr>
            </w:pPr>
          </w:p>
        </w:tc>
        <w:tc>
          <w:tcPr>
            <w:tcW w:w="19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-2233930</wp:posOffset>
            </wp:positionV>
            <wp:extent cx="7683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-1609090</wp:posOffset>
            </wp:positionV>
            <wp:extent cx="7683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-975360</wp:posOffset>
            </wp:positionV>
            <wp:extent cx="7683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-658495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-641350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(2,302 )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(3,480 )</w:t>
            </w:r>
          </w:p>
        </w:tc>
      </w:tr>
      <w:tr>
        <w:trPr>
          <w:trHeight w:val="243"/>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 cash flows resulting from changes in operating assets and liabilities, net</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(98,321 )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(50,782 )</w:t>
            </w:r>
          </w:p>
        </w:tc>
      </w:tr>
      <w:tr>
        <w:trPr>
          <w:trHeight w:val="236"/>
        </w:trPr>
        <w:tc>
          <w:tcPr>
            <w:tcW w:w="8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100" w:type="dxa"/>
            <w:vAlign w:val="bottom"/>
            <w:tcBorders>
              <w:top w:val="single" w:sz="8" w:color="CFF0FC"/>
            </w:tcBorders>
          </w:tcPr>
          <w:p>
            <w:pPr>
              <w:spacing w:after="0"/>
              <w:rPr>
                <w:sz w:val="20"/>
                <w:szCs w:val="20"/>
                <w:color w:val="auto"/>
              </w:rPr>
            </w:pPr>
          </w:p>
        </w:tc>
      </w:tr>
      <w:tr>
        <w:trPr>
          <w:trHeight w:val="240"/>
        </w:trPr>
        <w:tc>
          <w:tcPr>
            <w:tcW w:w="8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(73,199 )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(35,075 )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00" w:type="dxa"/>
            <w:vAlign w:val="bottom"/>
          </w:tcPr>
          <w:p>
            <w:pPr>
              <w:spacing w:after="0"/>
              <w:rPr>
                <w:sz w:val="20"/>
                <w:szCs w:val="20"/>
                <w:color w:val="auto"/>
              </w:rPr>
            </w:pPr>
          </w:p>
        </w:tc>
        <w:tc>
          <w:tcPr>
            <w:tcW w:w="13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(3,900 )</w:t>
            </w: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0"/>
                <w:szCs w:val="20"/>
                <w:color w:val="auto"/>
              </w:rPr>
            </w:pP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(65,168 )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(24,695 )</w:t>
            </w:r>
          </w:p>
        </w:tc>
      </w:tr>
      <w:tr>
        <w:trPr>
          <w:trHeight w:val="240"/>
        </w:trPr>
        <w:tc>
          <w:tcPr>
            <w:tcW w:w="8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on bank credit facilities, net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112,691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(350,000 )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tcPr>
          <w:p>
            <w:pPr>
              <w:spacing w:after="0"/>
              <w:rPr>
                <w:sz w:val="20"/>
                <w:szCs w:val="20"/>
                <w:color w:val="auto"/>
              </w:rPr>
            </w:pP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(1,236 )</w:t>
            </w:r>
          </w:p>
        </w:tc>
        <w:tc>
          <w:tcPr>
            <w:tcW w:w="44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300" w:type="dxa"/>
            <w:vAlign w:val="bottom"/>
          </w:tcPr>
          <w:p>
            <w:pPr>
              <w:spacing w:after="0"/>
              <w:rPr>
                <w:sz w:val="20"/>
                <w:szCs w:val="20"/>
                <w:color w:val="auto"/>
              </w:rPr>
            </w:pP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(3,555 )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(3,093 )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(3,184 )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Return of investment to noncontrolling interest and other</w:t>
            </w:r>
          </w:p>
        </w:tc>
        <w:tc>
          <w:tcPr>
            <w:tcW w:w="300" w:type="dxa"/>
            <w:vAlign w:val="bottom"/>
          </w:tcPr>
          <w:p>
            <w:pPr>
              <w:spacing w:after="0"/>
              <w:rPr>
                <w:sz w:val="20"/>
                <w:szCs w:val="20"/>
                <w:color w:val="auto"/>
              </w:rPr>
            </w:pP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(24 )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00" w:type="dxa"/>
            <w:vAlign w:val="bottom"/>
          </w:tcPr>
          <w:p>
            <w:pPr>
              <w:spacing w:after="0"/>
              <w:rPr>
                <w:sz w:val="20"/>
                <w:szCs w:val="20"/>
                <w:color w:val="auto"/>
              </w:rPr>
            </w:pPr>
          </w:p>
        </w:tc>
        <w:tc>
          <w:tcPr>
            <w:tcW w:w="13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(53,878 )</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(2,415 )</w:t>
            </w:r>
          </w:p>
        </w:tc>
      </w:tr>
      <w:tr>
        <w:trPr>
          <w:trHeight w:val="247"/>
        </w:trPr>
        <w:tc>
          <w:tcPr>
            <w:tcW w:w="8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8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(received) during the period: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(8,197 )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(487 )</w:t>
            </w:r>
          </w:p>
        </w:tc>
      </w:tr>
      <w:tr>
        <w:trPr>
          <w:trHeight w:val="234"/>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-4857115</wp:posOffset>
            </wp:positionV>
            <wp:extent cx="768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-4857115</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-3915410</wp:posOffset>
            </wp:positionV>
            <wp:extent cx="7683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-3915410</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-2040255</wp:posOffset>
            </wp:positionV>
            <wp:extent cx="7683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-2040255</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-1406525</wp:posOffset>
            </wp:positionV>
            <wp:extent cx="10871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7120" cy="17970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20" w:type="dxa"/>
            <w:vAlign w:val="bottom"/>
            <w:gridSpan w:val="5"/>
            <w:vMerge w:val="continue"/>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(308,59</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Borders>
              <w:right w:val="single" w:sz="8" w:color="CFF0FC"/>
            </w:tcBorders>
            <w:shd w:val="clear" w:color="auto" w:fill="CFF0FC"/>
          </w:tcPr>
          <w:p>
            <w:pPr>
              <w:spacing w:after="0"/>
              <w:rPr>
                <w:sz w:val="21"/>
                <w:szCs w:val="21"/>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5"/>
              </w:rPr>
              <w:t>$ 6,547</w:t>
            </w:r>
          </w:p>
        </w:tc>
        <w:tc>
          <w:tcPr>
            <w:tcW w:w="2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859,345</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right w:val="single" w:sz="8" w:color="CFF0FC"/>
            </w:tcBorders>
            <w:shd w:val="clear" w:color="auto" w:fill="CFF0FC"/>
          </w:tcPr>
          <w:p>
            <w:pPr>
              <w:spacing w:after="0"/>
              <w:rPr>
                <w:sz w:val="21"/>
                <w:szCs w:val="21"/>
                <w:color w:val="auto"/>
              </w:rPr>
            </w:pPr>
          </w:p>
        </w:tc>
        <w:tc>
          <w:tcPr>
            <w:tcW w:w="9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(5,565 )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80" w:type="dxa"/>
            <w:vAlign w:val="bottom"/>
            <w:shd w:val="clear" w:color="auto" w:fill="CFF0FC"/>
          </w:tcPr>
          <w:p>
            <w:pPr>
              <w:spacing w:after="0"/>
              <w:rPr>
                <w:sz w:val="21"/>
                <w:szCs w:val="21"/>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(8,256 )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(3,555 )</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80" w:type="dxa"/>
            <w:vAlign w:val="bottom"/>
            <w:shd w:val="clear" w:color="auto" w:fill="CFF0FC"/>
          </w:tcPr>
          <w:p>
            <w:pPr>
              <w:spacing w:after="0"/>
              <w:rPr>
                <w:sz w:val="21"/>
                <w:szCs w:val="21"/>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(3,184 )</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(3,184 )</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220" w:type="dxa"/>
            <w:vAlign w:val="bottom"/>
            <w:tcBorders>
              <w:right w:val="single" w:sz="8" w:color="CFF0FC"/>
            </w:tcBorders>
            <w:shd w:val="clear" w:color="auto" w:fill="CFF0FC"/>
          </w:tcPr>
          <w:p>
            <w:pPr>
              <w:spacing w:after="0"/>
              <w:rPr>
                <w:sz w:val="18"/>
                <w:szCs w:val="18"/>
                <w:color w:val="auto"/>
              </w:rPr>
            </w:pPr>
          </w:p>
        </w:tc>
        <w:tc>
          <w:tcPr>
            <w:tcW w:w="900" w:type="dxa"/>
            <w:vAlign w:val="bottom"/>
            <w:tcBorders>
              <w:right w:val="single" w:sz="8" w:color="CFF0FC"/>
            </w:tcBorders>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8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tcBorders>
              <w:right w:val="single" w:sz="8" w:color="CFF0FC"/>
            </w:tcBorders>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tcBorders>
              <w:right w:val="single" w:sz="8" w:color="CFF0FC"/>
            </w:tcBorders>
            <w:vMerge w:val="continue"/>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90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tcBorders>
              <w:top w:val="single" w:sz="8" w:color="CFF0FC"/>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March 31, 2023</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2,509,4</w:t>
            </w:r>
          </w:p>
        </w:tc>
        <w:tc>
          <w:tcPr>
            <w:tcW w:w="2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(306,74</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3,085,14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$ 6,547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856,680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bottom w:val="single" w:sz="8" w:color="auto"/>
            </w:tcBorders>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20" w:type="dxa"/>
            <w:vAlign w:val="bottom"/>
            <w:tcBorders>
              <w:bottom w:val="single" w:sz="8" w:color="auto"/>
            </w:tcBorders>
            <w:gridSpan w:val="4"/>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1"/>
                <w:szCs w:val="11"/>
                <w:color w:val="auto"/>
              </w:rPr>
            </w:pPr>
          </w:p>
        </w:tc>
        <w:tc>
          <w:tcPr>
            <w:tcW w:w="5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Amoun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vMerge w:val="restart"/>
          </w:tcPr>
          <w:p>
            <w:pPr>
              <w:spacing w:after="0"/>
              <w:rPr>
                <w:sz w:val="11"/>
                <w:szCs w:val="11"/>
                <w:color w:val="auto"/>
              </w:rPr>
            </w:pPr>
          </w:p>
        </w:tc>
        <w:tc>
          <w:tcPr>
            <w:tcW w:w="6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854,512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(25,966 )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(5,361 )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80" w:type="dxa"/>
            <w:vAlign w:val="bottom"/>
            <w:shd w:val="clear" w:color="auto" w:fill="CFF0FC"/>
          </w:tcPr>
          <w:p>
            <w:pPr>
              <w:spacing w:after="0"/>
              <w:rPr>
                <w:sz w:val="21"/>
                <w:szCs w:val="21"/>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(7,305 )</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80" w:type="dxa"/>
            <w:vAlign w:val="bottom"/>
            <w:shd w:val="clear" w:color="auto" w:fill="CFF0FC"/>
          </w:tcPr>
          <w:p>
            <w:pPr>
              <w:spacing w:after="0"/>
              <w:rPr>
                <w:sz w:val="21"/>
                <w:szCs w:val="21"/>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FF0FC"/>
          </w:tcPr>
          <w:p>
            <w:pPr>
              <w:spacing w:after="0"/>
              <w:rPr>
                <w:sz w:val="21"/>
                <w:szCs w:val="21"/>
                <w:color w:val="auto"/>
              </w:rPr>
            </w:pP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(3,093 )</w:t>
            </w:r>
          </w:p>
        </w:tc>
        <w:tc>
          <w:tcPr>
            <w:tcW w:w="18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(3,093 )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80" w:type="dxa"/>
            <w:vAlign w:val="bottom"/>
            <w:shd w:val="clear" w:color="auto" w:fill="CFF0FC"/>
          </w:tcPr>
          <w:p>
            <w:pPr>
              <w:spacing w:after="0"/>
              <w:rPr>
                <w:sz w:val="21"/>
                <w:szCs w:val="21"/>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220" w:type="dxa"/>
            <w:vAlign w:val="bottom"/>
            <w:tcBorders>
              <w:right w:val="single" w:sz="8" w:color="CFF0FC"/>
            </w:tcBorders>
            <w:shd w:val="clear" w:color="auto" w:fill="CFF0FC"/>
          </w:tcPr>
          <w:p>
            <w:pPr>
              <w:spacing w:after="0"/>
              <w:rPr>
                <w:sz w:val="21"/>
                <w:szCs w:val="21"/>
                <w:color w:val="auto"/>
              </w:rPr>
            </w:pPr>
          </w:p>
        </w:tc>
        <w:tc>
          <w:tcPr>
            <w:tcW w:w="9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Return of investment to</w:t>
            </w:r>
          </w:p>
        </w:tc>
        <w:tc>
          <w:tcPr>
            <w:tcW w:w="80" w:type="dxa"/>
            <w:vAlign w:val="bottom"/>
          </w:tcPr>
          <w:p>
            <w:pPr>
              <w:spacing w:after="0"/>
              <w:rPr>
                <w:sz w:val="18"/>
                <w:szCs w:val="18"/>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18"/>
                <w:szCs w:val="18"/>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34"/>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March 31, 2022</w:t>
            </w:r>
          </w:p>
        </w:tc>
        <w:tc>
          <w:tcPr>
            <w:tcW w:w="80" w:type="dxa"/>
            <w:vAlign w:val="bottom"/>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right w:val="single" w:sz="8" w:color="CFF0FC"/>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CFF0FC"/>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2,363,8</w:t>
            </w:r>
          </w:p>
        </w:tc>
        <w:tc>
          <w:tcPr>
            <w:tcW w:w="220" w:type="dxa"/>
            <w:vAlign w:val="bottom"/>
            <w:tcBorders>
              <w:right w:val="single" w:sz="8" w:color="CFF0FC"/>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(289,09</w:t>
            </w: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2,911,86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853,610</w:t>
            </w:r>
          </w:p>
        </w:tc>
        <w:tc>
          <w:tcPr>
            <w:tcW w:w="2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(25,477 )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right w:val="single" w:sz="8" w:color="CFF0FC"/>
            </w:tcBorders>
            <w:shd w:val="clear" w:color="auto" w:fill="CFF0FC"/>
          </w:tcPr>
          <w:p>
            <w:pPr>
              <w:spacing w:after="0"/>
              <w:rPr>
                <w:sz w:val="22"/>
                <w:szCs w:val="22"/>
                <w:color w:val="auto"/>
              </w:rPr>
            </w:pP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(5,243 )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-3484245</wp:posOffset>
            </wp:positionV>
            <wp:extent cx="76835" cy="325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-3484245</wp:posOffset>
            </wp:positionV>
            <wp:extent cx="76835" cy="325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-3484245</wp:posOffset>
            </wp:positionV>
            <wp:extent cx="76835" cy="325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-3484245</wp:posOffset>
            </wp:positionV>
            <wp:extent cx="68580" cy="325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-3484245</wp:posOffset>
            </wp:positionV>
            <wp:extent cx="68580" cy="325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-3484245</wp:posOffset>
            </wp:positionV>
            <wp:extent cx="68580" cy="325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-3484245</wp:posOffset>
            </wp:positionV>
            <wp:extent cx="68580" cy="325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-3484245</wp:posOffset>
            </wp:positionV>
            <wp:extent cx="68580" cy="325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-3484245</wp:posOffset>
            </wp:positionV>
            <wp:extent cx="68580" cy="325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88"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2022. Certain reclassifications have been made to reflect the current presentation of financial information.</w:t>
      </w:r>
    </w:p>
    <w:p>
      <w:pPr>
        <w:spacing w:after="0" w:line="155"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88" w:lineRule="exact"/>
        <w:rPr>
          <w:sz w:val="20"/>
          <w:szCs w:val="20"/>
          <w:color w:val="auto"/>
        </w:rPr>
      </w:pPr>
    </w:p>
    <w:p>
      <w:pPr>
        <w:ind w:firstLine="569"/>
        <w:spacing w:after="0" w:line="281"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the distribution and services segment. Assets acquired consisted primarily of property and equipment.</w:t>
      </w:r>
    </w:p>
    <w:p>
      <w:pPr>
        <w:spacing w:after="0" w:line="118"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337,888</w:t>
            </w: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277,910</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1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74,607</w:t>
            </w: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spacing w:after="0"/>
              <w:rPr>
                <w:sz w:val="20"/>
                <w:szCs w:val="20"/>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189,392</w:t>
            </w: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147,533</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1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148,557</w:t>
            </w: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spacing w:after="0"/>
              <w:rPr>
                <w:sz w:val="20"/>
                <w:szCs w:val="20"/>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-838200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7683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as the related performance obligation is satisfied. Revenues recognized during the three months ended March 31, 2023 and 2022 that were included in the opening contract liability balances were $38.8 million and $28.6 million, respectively. The Company presents all contract liabilities within the deferred revenues financial statement caption on the balance sheets. The Company did not have any contract assets at March 31, 2023 or December 31, 2022. The Company applies the practical expedient that allows non-disclosure of information about remaining performance obligations that have original expected durations of one year or less.</w:t>
      </w:r>
    </w:p>
    <w:p>
      <w:pPr>
        <w:spacing w:after="0" w:line="178"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96"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$9.4 million and $7.6 million for the three months ended March 31, 2023 and 2022, respectively, as well as the related intersegment profit of $0.9 million and $0.8 million for the three months ended March 31, 2023 and 2022, respectively, have been eliminated from the tables below.</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Company’s revenues and profit or loss by reportable segment and total assets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412,495</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2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337,949</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spacing w:after="0"/>
              <w:rPr>
                <w:sz w:val="20"/>
                <w:szCs w:val="20"/>
                <w:color w:val="auto"/>
              </w:rPr>
            </w:pPr>
          </w:p>
        </w:tc>
        <w:tc>
          <w:tcPr>
            <w:tcW w:w="124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750,444</w:t>
            </w:r>
          </w:p>
        </w:tc>
        <w:tc>
          <w:tcPr>
            <w:tcW w:w="3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43,036</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(11,156 )</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(4,107 )</w:t>
            </w:r>
          </w:p>
        </w:tc>
      </w:tr>
      <w:tr>
        <w:trPr>
          <w:trHeight w:val="276"/>
        </w:trPr>
        <w:tc>
          <w:tcPr>
            <w:tcW w:w="69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38"/>
        </w:trPr>
        <w:tc>
          <w:tcPr>
            <w:tcW w:w="6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4,285,085</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4,285,647</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1,108,689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1,041,841</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180,974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227,436</w:t>
            </w:r>
          </w:p>
        </w:tc>
        <w:tc>
          <w:tcPr>
            <w:tcW w:w="100" w:type="dxa"/>
            <w:vAlign w:val="bottom"/>
          </w:tcPr>
          <w:p>
            <w:pPr>
              <w:spacing w:after="0"/>
              <w:rPr>
                <w:sz w:val="20"/>
                <w:szCs w:val="20"/>
                <w:color w:val="auto"/>
              </w:rPr>
            </w:pPr>
          </w:p>
        </w:tc>
      </w:tr>
      <w:tr>
        <w:trPr>
          <w:trHeight w:val="276"/>
        </w:trPr>
        <w:tc>
          <w:tcPr>
            <w:tcW w:w="69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5,574,748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6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920" w:type="dxa"/>
            <w:vAlign w:val="bottom"/>
          </w:tcPr>
          <w:p>
            <w:pPr>
              <w:spacing w:after="0"/>
              <w:rPr>
                <w:sz w:val="24"/>
                <w:szCs w:val="24"/>
                <w:color w:val="auto"/>
              </w:rPr>
            </w:pPr>
          </w:p>
        </w:tc>
        <w:tc>
          <w:tcPr>
            <w:tcW w:w="3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920" w:type="dxa"/>
            <w:vAlign w:val="bottom"/>
          </w:tcPr>
          <w:p>
            <w:pPr>
              <w:spacing w:after="0"/>
              <w:rPr>
                <w:sz w:val="14"/>
                <w:szCs w:val="14"/>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240" w:type="dxa"/>
            <w:vAlign w:val="bottom"/>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(13,221 )</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(10,203 )</w:t>
            </w: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20"/>
                <w:szCs w:val="20"/>
                <w:color w:val="auto"/>
              </w:rPr>
            </w:pPr>
          </w:p>
        </w:tc>
      </w:tr>
      <w:tr>
        <w:trPr>
          <w:trHeight w:val="276"/>
        </w:trPr>
        <w:tc>
          <w:tcPr>
            <w:tcW w:w="69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6"/>
        </w:trPr>
        <w:tc>
          <w:tcPr>
            <w:tcW w:w="6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6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178,619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225,265</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0"/>
                <w:szCs w:val="20"/>
                <w:color w:val="auto"/>
              </w:rPr>
            </w:pPr>
          </w:p>
        </w:tc>
      </w:tr>
      <w:tr>
        <w:trPr>
          <w:trHeight w:val="276"/>
        </w:trPr>
        <w:tc>
          <w:tcPr>
            <w:tcW w:w="69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180,974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5"/>
        </w:trPr>
        <w:tc>
          <w:tcPr>
            <w:tcW w:w="69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9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-5128260</wp:posOffset>
            </wp:positionV>
            <wp:extent cx="7683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-5128260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-4160520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-4143375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-4160520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-4143375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-3004820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-2987675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-3004820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-2987675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-1574800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-1557655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-478790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-461645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ind w:left="480" w:hanging="472"/>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88" w:lineRule="exact"/>
        <w:rPr>
          <w:sz w:val="20"/>
          <w:szCs w:val="20"/>
          <w:color w:val="auto"/>
        </w:rPr>
      </w:pPr>
    </w:p>
    <w:p>
      <w:pPr>
        <w:ind w:right="160"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352,275</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477,660</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20"/>
                <w:szCs w:val="20"/>
                <w:color w:val="auto"/>
              </w:rPr>
            </w:pPr>
          </w:p>
        </w:tc>
      </w:tr>
      <w:tr>
        <w:trPr>
          <w:trHeight w:val="240"/>
        </w:trPr>
        <w:tc>
          <w:tcPr>
            <w:tcW w:w="4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1,085,983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1,030,582</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1,045,874</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 (b)</w:t>
            </w:r>
          </w:p>
        </w:tc>
        <w:tc>
          <w:tcPr>
            <w:tcW w:w="1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(6,342 )</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(3,674 )</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1,079,641</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1,030,582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1,079,618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940" w:hanging="371"/>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6.3% at March 31, 2023.</w:t>
      </w:r>
    </w:p>
    <w:p>
      <w:pPr>
        <w:spacing w:after="0" w:line="27" w:lineRule="exact"/>
        <w:rPr>
          <w:rFonts w:ascii="Times New Roman" w:cs="Times New Roman" w:eastAsia="Times New Roman" w:hAnsi="Times New Roman"/>
          <w:sz w:val="18"/>
          <w:szCs w:val="18"/>
          <w:color w:val="auto"/>
        </w:rPr>
      </w:pPr>
    </w:p>
    <w:p>
      <w:pPr>
        <w:ind w:left="940" w:hanging="371"/>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attributable to the 2027 Revolving Credit Facility included in other assets at December 31, 2022.</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borrowings and payments under the bank credit facilities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on bank credit facilities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156,508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bank credit facilities</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(43,817 )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(88,577 )</w:t>
            </w:r>
          </w:p>
        </w:tc>
      </w:tr>
      <w:tr>
        <w:trPr>
          <w:trHeight w:val="276"/>
        </w:trPr>
        <w:tc>
          <w:tcPr>
            <w:tcW w:w="8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112,691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55"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$5.1 million and available borrowing capacity was $382.9 million as of March 31, 2023.</w:t>
      </w:r>
    </w:p>
    <w:p>
      <w:pPr>
        <w:spacing w:after="0" w:line="149"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right="60" w:firstLine="569"/>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62"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The Company has a $10 million line of credit (“Credit Line”) with Bank of America, N.A. (“Bank of America”) for short-term liquidity needs and letters of credit, with a maturity date of June 30, 2024. Outstanding letters of credit under the $10 million credit line were $0.6 million and available borrowing capacity was $9.4 million as of March 31, 2023.</w:t>
      </w:r>
    </w:p>
    <w:p>
      <w:pPr>
        <w:spacing w:after="0" w:line="173"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60" w:firstLine="562"/>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6"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gridSpan w:val="3"/>
          </w:tcPr>
          <w:p>
            <w:pPr>
              <w:jc w:val="center"/>
              <w:ind w:left="10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7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7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17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223,090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235,052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(43,760 )</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(56,468 )</w:t>
            </w:r>
          </w:p>
        </w:tc>
        <w:tc>
          <w:tcPr>
            <w:tcW w:w="60" w:type="dxa"/>
            <w:vAlign w:val="bottom"/>
          </w:tcPr>
          <w:p>
            <w:pPr>
              <w:spacing w:after="0"/>
              <w:rPr>
                <w:sz w:val="20"/>
                <w:szCs w:val="20"/>
                <w:color w:val="auto"/>
              </w:rPr>
            </w:pPr>
          </w:p>
        </w:tc>
      </w:tr>
      <w:tr>
        <w:trPr>
          <w:trHeight w:val="276"/>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178,584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76"/>
        </w:trPr>
        <w:tc>
          <w:tcPr>
            <w:tcW w:w="5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5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7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7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(843 )</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60" w:type="dxa"/>
            <w:vAlign w:val="bottom"/>
          </w:tcPr>
          <w:p>
            <w:pPr>
              <w:spacing w:after="0"/>
              <w:rPr>
                <w:sz w:val="20"/>
                <w:szCs w:val="20"/>
                <w:color w:val="auto"/>
              </w:rPr>
            </w:pPr>
          </w:p>
        </w:tc>
      </w:tr>
      <w:tr>
        <w:trPr>
          <w:trHeight w:val="276"/>
        </w:trPr>
        <w:tc>
          <w:tcPr>
            <w:tcW w:w="51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888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5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gridSpan w:val="3"/>
          </w:tcPr>
          <w:p>
            <w:pPr>
              <w:jc w:val="center"/>
              <w:ind w:left="10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9 years</w:t>
            </w:r>
          </w:p>
        </w:tc>
        <w:tc>
          <w:tcPr>
            <w:tcW w:w="24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 years</w:t>
            </w:r>
          </w:p>
        </w:tc>
      </w:tr>
      <w:tr>
        <w:trPr>
          <w:trHeight w:val="796"/>
        </w:trPr>
        <w:tc>
          <w:tcPr>
            <w:tcW w:w="5180" w:type="dxa"/>
            <w:vAlign w:val="bottom"/>
          </w:tcPr>
          <w:p>
            <w:pPr>
              <w:spacing w:after="0"/>
              <w:rPr>
                <w:sz w:val="24"/>
                <w:szCs w:val="24"/>
                <w:color w:val="auto"/>
              </w:rPr>
            </w:pPr>
          </w:p>
        </w:tc>
        <w:tc>
          <w:tcPr>
            <w:tcW w:w="17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-2867660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-2850515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-2867660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-1480820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-1463675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10" w:name="page11"/>
    <w:bookmarkEnd w:id="10"/>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8"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shd w:val="clear" w:color="auto" w:fill="CFF0FC"/>
          </w:tcPr>
          <w:p>
            <w:pPr>
              <w:spacing w:after="0"/>
              <w:rPr>
                <w:sz w:val="20"/>
                <w:szCs w:val="20"/>
                <w:color w:val="auto"/>
              </w:rPr>
            </w:pP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the Company granted 181,670 restricted stock units (“RSUs”) to selected officers and other key employees under the employee stock award plan which vest ratably over five years. During May 2023, the Company granted 30,150 shares of restricted stock to nonemployees directors of the Company under the director stock plan, the majority of which vest six months after the date of grant.</w:t>
      </w:r>
    </w:p>
    <w:p>
      <w:pPr>
        <w:spacing w:after="0" w:line="146"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188"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At March 31, 2023 and December 31, 2022, the Company had a federal income tax receivable of $70.4 million included in Accounts Receivable – Other on the balance sheets. During the first quarter of 2023, the Internal Revenue Service (“IRS”) communicated to the Company that it has completed its examination of the Company’s federal income tax returns for the years 2013 through 2020. In April 2023, the Company received its tax refund of $70.4 million plus accrued interest.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before taxes on income and details of the provision for taxes on income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29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406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53,863</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tcPr>
          <w:p>
            <w:pPr>
              <w:spacing w:after="0"/>
              <w:rPr>
                <w:sz w:val="20"/>
                <w:szCs w:val="20"/>
                <w:color w:val="auto"/>
              </w:rPr>
            </w:pPr>
          </w:p>
        </w:tc>
      </w:tr>
      <w:tr>
        <w:trPr>
          <w:trHeight w:val="243"/>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9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980" w:type="dxa"/>
            <w:vAlign w:val="bottom"/>
          </w:tcPr>
          <w:p>
            <w:pPr>
              <w:spacing w:after="0"/>
              <w:rPr>
                <w:sz w:val="20"/>
                <w:szCs w:val="20"/>
                <w:color w:val="auto"/>
              </w:rPr>
            </w:pPr>
          </w:p>
        </w:tc>
        <w:tc>
          <w:tcPr>
            <w:tcW w:w="406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0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29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406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29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r>
      <w:tr>
        <w:trPr>
          <w:trHeight w:val="247"/>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29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1"/>
                <w:szCs w:val="21"/>
                <w:color w:val="auto"/>
              </w:rPr>
            </w:pPr>
          </w:p>
        </w:tc>
      </w:tr>
      <w:tr>
        <w:trPr>
          <w:trHeight w:val="238"/>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current</w:t>
            </w:r>
          </w:p>
        </w:tc>
        <w:tc>
          <w:tcPr>
            <w:tcW w:w="2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r>
      <w:tr>
        <w:trPr>
          <w:trHeight w:val="276"/>
        </w:trPr>
        <w:tc>
          <w:tcPr>
            <w:tcW w:w="3980" w:type="dxa"/>
            <w:vAlign w:val="bottom"/>
            <w:tcBorders>
              <w:bottom w:val="single" w:sz="8" w:color="CFF0FC"/>
            </w:tcBorders>
            <w:shd w:val="clear" w:color="auto" w:fill="CFF0FC"/>
          </w:tcPr>
          <w:p>
            <w:pPr>
              <w:spacing w:after="0"/>
              <w:rPr>
                <w:sz w:val="24"/>
                <w:szCs w:val="24"/>
                <w:color w:val="auto"/>
              </w:rPr>
            </w:pPr>
          </w:p>
        </w:tc>
        <w:tc>
          <w:tcPr>
            <w:tcW w:w="29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5"/>
        </w:trPr>
        <w:tc>
          <w:tcPr>
            <w:tcW w:w="3980" w:type="dxa"/>
            <w:vAlign w:val="bottom"/>
          </w:tcPr>
          <w:p>
            <w:pPr>
              <w:spacing w:after="0"/>
              <w:rPr>
                <w:sz w:val="24"/>
                <w:szCs w:val="24"/>
                <w:color w:val="auto"/>
              </w:rPr>
            </w:pPr>
          </w:p>
        </w:tc>
        <w:tc>
          <w:tcPr>
            <w:tcW w:w="29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-2063115</wp:posOffset>
            </wp:positionV>
            <wp:extent cx="7683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-478790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-461645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2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1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(2 )</w:t>
            </w:r>
          </w:p>
        </w:tc>
        <w:tc>
          <w:tcPr>
            <w:tcW w:w="8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0"/>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1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3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1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1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(2 )</w:t>
            </w:r>
          </w:p>
        </w:tc>
        <w:tc>
          <w:tcPr>
            <w:tcW w:w="8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6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34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00" w:type="dxa"/>
            <w:vAlign w:val="bottom"/>
            <w:tcBorders>
              <w:top w:val="single" w:sz="8" w:color="CFF0FC"/>
            </w:tcBorders>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59,981</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60,182</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1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(3 )</w:t>
            </w:r>
          </w:p>
        </w:tc>
        <w:tc>
          <w:tcPr>
            <w:tcW w:w="8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0"/>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1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3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60,173</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76"/>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112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6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3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-1977390</wp:posOffset>
            </wp:positionV>
            <wp:extent cx="7683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-692785</wp:posOffset>
            </wp:positionV>
            <wp:extent cx="1506855"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06855" cy="17970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Certain outstanding options to purchase approximately 0.3 million and 0.4 million shares of common stock were excluded in the computation of diluted earnings per share as of March 31, 2023 and 2022, respectively, as such stock options would have been antidilutive. There were no antidilutive RSUs as of March 31, 2023 and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r>
      <w:tr>
        <w:trPr>
          <w:trHeight w:val="187"/>
        </w:trPr>
        <w:tc>
          <w:tcPr>
            <w:tcW w:w="4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377,192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358,702</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100" w:type="dxa"/>
            <w:vAlign w:val="bottom"/>
          </w:tcPr>
          <w:p>
            <w:pPr>
              <w:spacing w:after="0"/>
              <w:rPr>
                <w:sz w:val="20"/>
                <w:szCs w:val="20"/>
                <w:color w:val="auto"/>
              </w:rPr>
            </w:pPr>
          </w:p>
        </w:tc>
      </w:tr>
      <w:tr>
        <w:trPr>
          <w:trHeight w:val="276"/>
        </w:trPr>
        <w:tc>
          <w:tcPr>
            <w:tcW w:w="420" w:type="dxa"/>
            <w:vAlign w:val="bottom"/>
            <w:tcBorders>
              <w:bottom w:val="single" w:sz="8" w:color="CFF0FC"/>
            </w:tcBorders>
            <w:shd w:val="clear" w:color="auto" w:fill="CFF0FC"/>
          </w:tcPr>
          <w:p>
            <w:pPr>
              <w:spacing w:after="0"/>
              <w:rPr>
                <w:sz w:val="24"/>
                <w:szCs w:val="24"/>
                <w:color w:val="auto"/>
              </w:rPr>
            </w:pPr>
          </w:p>
        </w:tc>
        <w:tc>
          <w:tcPr>
            <w:tcW w:w="77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475,218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-299085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-281940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6"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2023.</w:t>
      </w:r>
    </w:p>
    <w:p>
      <w:pPr>
        <w:spacing w:after="0" w:line="141"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$7.5 million to the Higman pension plan during the three months ended March 31, 2023.</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23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394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47160" cy="825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p>
      <w:pPr>
        <w:spacing w:after="0" w:line="28"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19094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8"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19094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8" w:lineRule="exact"/>
        <w:rPr>
          <w:sz w:val="20"/>
          <w:szCs w:val="20"/>
          <w:color w:val="auto"/>
        </w:rPr>
      </w:pPr>
    </w:p>
    <w:p>
      <w:pPr>
        <w:ind w:left="546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16510</wp:posOffset>
            </wp:positionV>
            <wp:extent cx="18580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16510</wp:posOffset>
            </wp:positionV>
            <wp:extent cx="18580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8" w:lineRule="exact"/>
        <w:rPr>
          <w:sz w:val="20"/>
          <w:szCs w:val="20"/>
          <w:color w:val="auto"/>
        </w:rPr>
      </w:pPr>
    </w:p>
    <w:p>
      <w:pPr>
        <w:ind w:left="60"/>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6" w:lineRule="exact"/>
        <w:rPr>
          <w:sz w:val="20"/>
          <w:szCs w:val="20"/>
          <w:color w:val="auto"/>
        </w:rPr>
      </w:pPr>
    </w:p>
    <w:p>
      <w:pPr>
        <w:sectPr>
          <w:pgSz w:w="11900" w:h="16838" w:orient="portrait"/>
          <w:cols w:equalWidth="0" w:num="2">
            <w:col w:w="7960" w:space="720"/>
            <w:col w:w="2560"/>
          </w:cols>
          <w:pgMar w:left="320" w:top="512"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4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20"/>
                <w:szCs w:val="20"/>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(5,723 )</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(7,142 )</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(1,699 )</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9540" w:type="dxa"/>
            <w:vAlign w:val="bottom"/>
            <w:gridSpan w:val="12"/>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components of net periodic benefit cost for the Company’s postretirement benefit plan were as follows (in thousands):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4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(86 )</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49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0"/>
        </w:trPr>
        <w:tc>
          <w:tcPr>
            <w:tcW w:w="4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-1703070</wp:posOffset>
            </wp:positionV>
            <wp:extent cx="7683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-1703070</wp:posOffset>
            </wp:positionV>
            <wp:extent cx="7683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-1703070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-1703070</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7683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changes in other comprehensive income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1"/>
                <w:szCs w:val="11"/>
                <w:color w:val="auto"/>
              </w:rPr>
            </w:pPr>
          </w:p>
        </w:tc>
        <w:tc>
          <w:tcPr>
            <w:tcW w:w="84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80" w:type="dxa"/>
            <w:vAlign w:val="bottom"/>
          </w:tcPr>
          <w:p>
            <w:pPr>
              <w:spacing w:after="0"/>
              <w:rPr>
                <w:sz w:val="11"/>
                <w:szCs w:val="11"/>
                <w:color w:val="auto"/>
              </w:rPr>
            </w:pPr>
          </w:p>
        </w:tc>
        <w:tc>
          <w:tcPr>
            <w:tcW w:w="84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-187960</wp:posOffset>
            </wp:positionV>
            <wp:extent cx="7683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-187960</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-187960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5540" w:right="3660" w:hanging="4963"/>
        <w:spacing w:after="0" w:line="438" w:lineRule="auto"/>
        <w:tabs>
          <w:tab w:leader="none" w:pos="10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are amortized into other income (expense). (See Note 11, Retirement Plans)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3" w:name="page14"/>
    <w:bookmarkEnd w:id="13"/>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02"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55"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4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$18.1 million at March 31, 2023, including $11.3 million in letters of credit and $6.8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 w:name="page15"/>
    <w:bookmarkEnd w:id="1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8" w:lineRule="exact"/>
        <w:rPr>
          <w:sz w:val="20"/>
          <w:szCs w:val="20"/>
          <w:color w:val="auto"/>
        </w:rPr>
      </w:pPr>
    </w:p>
    <w:p>
      <w:pPr>
        <w:jc w:val="both"/>
        <w:ind w:firstLine="562"/>
        <w:spacing w:after="0" w:line="217"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2022.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100" w:type="dxa"/>
            <w:vAlign w:val="bottom"/>
            <w:shd w:val="clear" w:color="auto" w:fill="CFF0FC"/>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 – diluted</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1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FF0FC"/>
          </w:tcPr>
          <w:p>
            <w:pPr>
              <w:spacing w:after="0"/>
              <w:rPr>
                <w:sz w:val="21"/>
                <w:szCs w:val="21"/>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11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shd w:val="clear" w:color="auto" w:fill="CFF0FC"/>
          </w:tcPr>
          <w:p>
            <w:pPr>
              <w:spacing w:after="0"/>
              <w:rPr>
                <w:sz w:val="21"/>
                <w:szCs w:val="21"/>
                <w:color w:val="auto"/>
              </w:rPr>
            </w:pPr>
          </w:p>
        </w:tc>
      </w:tr>
    </w:tbl>
    <w:p>
      <w:pPr>
        <w:spacing w:after="0" w:line="170"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The 2023 first quarter included $3.0 million before taxes, $2.4 million after taxes, or $0.04 per share of costs related to strategic review and shareholder engagement and $2.7 million before taxes, $2.2 million after taxes, or $0.04 per share of other income associated with the interest on the refund from the Internal Revenue Service (“IRS”).</w:t>
      </w:r>
    </w:p>
    <w:p>
      <w:pPr>
        <w:spacing w:after="0" w:line="137"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Cash provided by operating activities for the 2023 first quarter decreased in comparison to the 2022 first quarter primarily due to an increase in working capital, partially offset by improved net earnings. For the 2023 first quarter, capital expenditures of $73.2 million included $46.6 million in KMT and $26.6 million in KDS and corporate, each more fully described under Cash Flow and Capital Expenditures below.</w:t>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projects that capital expenditures for 2023 will be in the $300 million to $380 million range. The 2023 construction program will consist of up to approximately $40 million for the construction of inland specialized equipment, approximately $240 million primarily for maintenance capital and improvements to existing marine equipment, including ballast water treatment systems on some coastal vessels, and facility improvements. The balance of up to approximately $100 million relates to new electric fracturing equipment and facilities improvements in KDS, and information technology projects in corporate.</w:t>
      </w:r>
    </w:p>
    <w:p>
      <w:pPr>
        <w:spacing w:after="0" w:line="155"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Company’s debt-to-capitalization ratio decreased to 25.9% at March 31, 2023 from 26.2% at December 31, 2022, primarily due an increase in total equity, largely due to the net earnings attributable to Kirby of $40.7 million, partially offset by treasury stock purchases of $3.2 million. The Company’s debt outstanding as of March 31, 2023 and December 31, 2022 is detailed in Long-Term Financing below.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For the 2023 first quarter, KMT generated 55% of the Company’s revenues compared to 58% for the 2022 first quarter.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32"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9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r>
      <w:tr>
        <w:trPr>
          <w:trHeight w:val="20"/>
        </w:trPr>
        <w:tc>
          <w:tcPr>
            <w:tcW w:w="9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9"/>
                <w:szCs w:val="19"/>
                <w:color w:val="auto"/>
              </w:rPr>
            </w:pPr>
          </w:p>
        </w:tc>
      </w:tr>
      <w:tr>
        <w:trPr>
          <w:trHeight w:val="243"/>
        </w:trPr>
        <w:tc>
          <w:tcPr>
            <w:tcW w:w="90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060" w:type="dxa"/>
            <w:vAlign w:val="bottom"/>
            <w:gridSpan w:val="2"/>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r>
      <w:tr>
        <w:trPr>
          <w:trHeight w:val="247"/>
        </w:trPr>
        <w:tc>
          <w:tcPr>
            <w:tcW w:w="9060" w:type="dxa"/>
            <w:vAlign w:val="bottom"/>
            <w:gridSpan w:val="2"/>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906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-3367405</wp:posOffset>
            </wp:positionV>
            <wp:extent cx="7683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-3367405</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-2408555</wp:posOffset>
            </wp:positionV>
            <wp:extent cx="7683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-1440815</wp:posOffset>
            </wp:positionV>
            <wp:extent cx="108712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87120"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-481965</wp:posOffset>
            </wp:positionV>
            <wp:extent cx="108712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87120" cy="179705"/>
                    </a:xfrm>
                    <a:prstGeom prst="rect">
                      <a:avLst/>
                    </a:prstGeom>
                    <a:noFill/>
                  </pic:spPr>
                </pic:pic>
              </a:graphicData>
            </a:graphic>
          </wp:anchor>
        </w:drawing>
      </w:r>
    </w:p>
    <w:p>
      <w:pPr>
        <w:spacing w:after="0" w:line="146"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Further, the Company owns a two-thirds interest in Osprey Line, L.L.C., which transports project cargoes and cargo containers by barge.</w:t>
      </w:r>
    </w:p>
    <w:p>
      <w:pPr>
        <w:spacing w:after="0" w:line="150"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During the 2023 first quarter, the Company brought back into service a net five inland tank barges and chartered one tank barge, increasing its capacity by approximately 0.1 million barrels of capacity.</w:t>
      </w:r>
    </w:p>
    <w:p>
      <w:pPr>
        <w:spacing w:after="0" w:line="122"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KMT revenues for the 2023 first quarter increased 16% and operating income increased 154% compared to the 2022 first quarter. The increases for the 2023 first quarter were primarily due to higher term and spot pricing and increased tank barge utilization in the inland and coastal markets. Also, the 2022 first quarter was impacted by the COVID-19 Omicron variant as increased cases among the Company’s mariners led to crewing challenges, lost revenue and increased operating costs. The 2023 and 2022 first quarters were impacted by poor operating conditions including seasonal wind and fog along the Gulf Coast, flooding on the Mississippi River, and various lock closures along the Gulf Intracoastal Waterway resulting in higher delay days. For the 2023 first quarter, the inland tank barge fleet contributed 82% and the coastal fleet contributed 18% of KMT revenues. For the 2022 first quarter, the inland tank barge fleet contributed 78% and the coastal fleet contributed 22% of KMT revenues.</w:t>
      </w:r>
    </w:p>
    <w:p>
      <w:pPr>
        <w:spacing w:after="0" w:line="146" w:lineRule="exact"/>
        <w:rPr>
          <w:sz w:val="20"/>
          <w:szCs w:val="20"/>
          <w:color w:val="auto"/>
        </w:rPr>
      </w:pPr>
    </w:p>
    <w:p>
      <w:pPr>
        <w:jc w:val="both"/>
        <w:ind w:right="20" w:firstLine="569"/>
        <w:spacing w:after="0" w:line="265"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the 2023 first quarter compared to the mid-80% range during the 2022 first quarter. The 2023 first quarter reflected increasing activity levels as a result of higher refinery and petrochemical plant utilization while the 2022 first quarter was impacted by the COVID-19 Omicron variant as increased cases among the Company’s mariners led to crewing challenges.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6" w:name="page17"/>
    <w:bookmarkEnd w:id="16"/>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Coastal tank barge utilization levels averaged in the mid to high-90% range during the 2023 first quarter compared to the low-90% range during the 2022 first quarter. The increase in coastal tank barge utilization during 2023 was primarily due to continued improvements in market and customer demand.</w:t>
      </w:r>
    </w:p>
    <w:p>
      <w:pPr>
        <w:spacing w:after="0" w:line="136"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During the 2023 first quarter, approximately 55% of KMT inland revenues were under term contracts and 45% were spot contract revenues. During the 2022 first quarter, approximately 65% of KMT inland revenues were under term contracts and 35% were spot contract revenues. Inland time charters during the 2023 first quarter represented 60% of the inland revenues under term contracts compared with 58% in the 2022 first quarter. During the 2023 first quarter, approximately 75% of KMT coastal inland revenues were under term contracts and 25% were spot contracts, respectively. During the 2022 first quarter, approximately 80% of the coastal revenues were under term contracts and 20% were spot contract revenues. Coastal time charters represented approximately 90% of coastal revenues under term contracts during both the 2023 and 2022 first quarters. Term contracts have contract terms of 12 months or longer, while spot contracts have contract terms of less than 12 months.</w:t>
      </w:r>
    </w:p>
    <w:p>
      <w:pPr>
        <w:spacing w:after="0" w:line="14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2023 compared to contracts renewed during the corresponding quarter of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Pr>
          <w:p>
            <w:pPr>
              <w:spacing w:after="0"/>
              <w:rPr>
                <w:sz w:val="16"/>
                <w:szCs w:val="16"/>
                <w:color w:val="auto"/>
              </w:rPr>
            </w:pPr>
          </w:p>
        </w:tc>
        <w:tc>
          <w:tcPr>
            <w:tcW w:w="22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9020" w:type="dxa"/>
            <w:vAlign w:val="bottom"/>
          </w:tcPr>
          <w:p>
            <w:pPr>
              <w:spacing w:after="0"/>
              <w:rPr>
                <w:sz w:val="14"/>
                <w:szCs w:val="14"/>
                <w:color w:val="auto"/>
              </w:rPr>
            </w:pPr>
          </w:p>
        </w:tc>
        <w:tc>
          <w:tcPr>
            <w:tcW w:w="2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2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22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10% – 12%</w:t>
            </w:r>
          </w:p>
        </w:tc>
      </w:tr>
      <w:tr>
        <w:trPr>
          <w:trHeight w:val="247"/>
        </w:trPr>
        <w:tc>
          <w:tcPr>
            <w:tcW w:w="9020" w:type="dxa"/>
            <w:vAlign w:val="bottom"/>
            <w:shd w:val="clear" w:color="auto" w:fill="CFF0FC"/>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22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23% – 26%</w:t>
            </w: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9020" w:type="dxa"/>
            <w:vAlign w:val="bottom"/>
            <w:shd w:val="clear" w:color="auto" w:fill="CFF0FC"/>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22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10% – 12%</w:t>
            </w:r>
          </w:p>
        </w:tc>
      </w:tr>
      <w:tr>
        <w:trPr>
          <w:trHeight w:val="234"/>
        </w:trPr>
        <w:tc>
          <w:tcPr>
            <w:tcW w:w="9020" w:type="dxa"/>
            <w:vAlign w:val="bottom"/>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22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20% – 23%</w:t>
            </w:r>
          </w:p>
        </w:tc>
      </w:tr>
    </w:tbl>
    <w:p>
      <w:pPr>
        <w:spacing w:after="0" w:line="166" w:lineRule="exact"/>
        <w:rPr>
          <w:sz w:val="20"/>
          <w:szCs w:val="20"/>
          <w:color w:val="auto"/>
        </w:rPr>
      </w:pPr>
    </w:p>
    <w:p>
      <w:pPr>
        <w:ind w:left="940" w:hanging="371"/>
        <w:spacing w:after="0" w:line="28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KMT operating margin was 10.4% for the 2023 first quarter compared to 4.8% for the 2022 first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46"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For the 2023 first quarter, KDS generated 45% of the Company’s revenues, of which 77% were generated from service and parts and 23% from manufacturing. The results of KDS are largely influenced by the economic cycles of the oil and gas, marine, power generation, on-highway, and other related industrial markets.</w:t>
      </w:r>
    </w:p>
    <w:p>
      <w:pPr>
        <w:spacing w:after="0" w:line="13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KDS revenues for the 2023 first quarter increased 32% and operating income increased 108% compared with the 2022 first quarter. In the commercial and industrial market, the increases for the 2023 first quarter were primarily attributable to strong economic activity across the United States which resulted in higher business levels in the marine and on-highway businesses. Increased product sales in Thermo King also contributed favorably to the 2023 first quarter results. These increases were partially offset by continuing supply chain constraints and delays. For the 2023 first quarter, the commercial and industrial market contributed 56% of KDS revenues.</w:t>
      </w:r>
    </w:p>
    <w:p>
      <w:pPr>
        <w:spacing w:after="0" w:line="155"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In the oil and gas market, revenues and operating income improved compared to the 2022 first quarter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2023 first quarter, the oil and gas market contributed 44% of KDS revenues.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KDS operating margin was 6.7% for the 2023 first quarter compared to 4.3% for the 2022 first quarter.</w:t>
      </w:r>
    </w:p>
    <w:p>
      <w:pPr>
        <w:spacing w:after="0" w:line="1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60" w:firstLine="569"/>
        <w:spacing w:after="0" w:line="255" w:lineRule="auto"/>
        <w:rPr>
          <w:sz w:val="20"/>
          <w:szCs w:val="20"/>
          <w:color w:val="auto"/>
        </w:rPr>
      </w:pPr>
      <w:r>
        <w:rPr>
          <w:rFonts w:ascii="Times New Roman" w:cs="Times New Roman" w:eastAsia="Times New Roman" w:hAnsi="Times New Roman"/>
          <w:sz w:val="18"/>
          <w:szCs w:val="18"/>
          <w:color w:val="auto"/>
        </w:rPr>
        <w:t>Refinery and petrochemical utilization levels remain at high levels. This is favorable for the Company’s barge utilization, which is strong in both inland and coastal markets, and for pricing, which continues to increase. Although first quarter results were materially challenged by bad weather in KMT, the business exited the quarter in a solid position and improved results are anticipated through the remainder of 2023. Demand for the Company’s products and services continues to grow despite ongoing supply chain constraints and delays which could impact the Company’s product deliveries and defer completion of marine transportation repair and maintenance. Overall, the Company expects both KMT and KDS to deliver improved financial results in the coming quarters. The Company continues to closely monitor the ever-changing economic landscape related to the impact of higher interest rates and possible recessionary headwinds as it continues to move through 2023.</w:t>
      </w:r>
    </w:p>
    <w:p>
      <w:pPr>
        <w:spacing w:after="0" w:line="200" w:lineRule="exact"/>
        <w:rPr>
          <w:sz w:val="20"/>
          <w:szCs w:val="20"/>
          <w:color w:val="auto"/>
        </w:rPr>
      </w:pPr>
    </w:p>
    <w:p>
      <w:pPr>
        <w:jc w:val="both"/>
        <w:ind w:right="60" w:firstLine="569"/>
        <w:spacing w:after="0" w:line="254" w:lineRule="auto"/>
        <w:rPr>
          <w:sz w:val="20"/>
          <w:szCs w:val="20"/>
          <w:color w:val="auto"/>
        </w:rPr>
      </w:pPr>
      <w:r>
        <w:rPr>
          <w:rFonts w:ascii="Times New Roman" w:cs="Times New Roman" w:eastAsia="Times New Roman" w:hAnsi="Times New Roman"/>
          <w:sz w:val="18"/>
          <w:szCs w:val="18"/>
          <w:color w:val="auto"/>
        </w:rPr>
        <w:t>In the inland marine transportation market, conditions are expected to continue to remain favorable for the remainder of 2023 driven by continued strong barge utilization, continued growth in customer demand, steady volumes from refinery and petrochemical plants, and modest net new barge construction in the industry. As a result, the Company expects further improvements in the spot market, which currently represents approximately 45% of inland revenues. Term contracts are also expected to continue to reset higher to reflect improved market conditions for the duration of the year. In coastal marine, the Company expects modestly improved customer demand through the balance of the year with barge utilization in the low to mid-90% range. Rates are expected to continue to gradually improve, though meaningful gains remain challenged by underutilized barge capacity across the industry. Revenues and operating margins are also expected to be impacted by an approximate doubling of planned shipyard maintenance days with ballast water treatment installations on certain vessels.</w:t>
      </w:r>
    </w:p>
    <w:p>
      <w:pPr>
        <w:spacing w:after="0" w:line="203" w:lineRule="exact"/>
        <w:rPr>
          <w:sz w:val="20"/>
          <w:szCs w:val="20"/>
          <w:color w:val="auto"/>
        </w:rPr>
      </w:pPr>
    </w:p>
    <w:p>
      <w:pPr>
        <w:jc w:val="both"/>
        <w:ind w:right="60" w:firstLine="569"/>
        <w:spacing w:after="0" w:line="254" w:lineRule="auto"/>
        <w:rPr>
          <w:sz w:val="20"/>
          <w:szCs w:val="20"/>
          <w:color w:val="auto"/>
        </w:rPr>
      </w:pPr>
      <w:r>
        <w:rPr>
          <w:rFonts w:ascii="Times New Roman" w:cs="Times New Roman" w:eastAsia="Times New Roman" w:hAnsi="Times New Roman"/>
          <w:sz w:val="18"/>
          <w:szCs w:val="18"/>
          <w:color w:val="auto"/>
        </w:rPr>
        <w:t>KDS results are largely influenced by the cycles of the oil and gas, marine, power generation, on-highway and other related industrial markets. Favorable oilfield fundamentals and steady demand in commercial and industrial are expected to continue throughout 2023. In the oil and gas market, high commodity prices, stable rig counts, and growing well completions activity are expected to yield strong demand for OEM products, parts, and services in the distribution business. In manufacturing, the Company expects demand for environmentally friendly pressure pumping and power generation equipment for electric fracturing to remain strong, with new orders and increased deliveries of new equipment during the year. Supply chain issues and long lead times are expected to persist in the near-term, contributing to some volatility as deliveries of new products shift between quarters and into 2024. In commercial and industrial, strong markets are expected to help drive full year revenue growth, with increased activity in power generation, marine repair, and on-highway.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88" w:lineRule="exact"/>
        <w:rPr>
          <w:sz w:val="20"/>
          <w:szCs w:val="20"/>
          <w:color w:val="auto"/>
        </w:rPr>
      </w:pPr>
    </w:p>
    <w:p>
      <w:pPr>
        <w:jc w:val="both"/>
        <w:ind w:right="80" w:firstLine="569"/>
        <w:spacing w:after="0" w:line="281"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 Financing of the purchases was through cash provided by operating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8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4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34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30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30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340" w:type="dxa"/>
            <w:vAlign w:val="bottom"/>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300" w:type="dxa"/>
            <w:vAlign w:val="bottom"/>
          </w:tcPr>
          <w:p>
            <w:pPr>
              <w:spacing w:after="0"/>
              <w:rPr>
                <w:sz w:val="20"/>
                <w:szCs w:val="20"/>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51"/>
        </w:trPr>
        <w:tc>
          <w:tcPr>
            <w:tcW w:w="3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80" w:type="dxa"/>
            <w:vAlign w:val="bottom"/>
            <w:gridSpan w:val="2"/>
          </w:tcPr>
          <w:p>
            <w:pPr>
              <w:jc w:val="right"/>
              <w:ind w:right="1076"/>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0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08"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7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3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2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282,023</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254,359</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6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2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369,459</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338,601</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43,036</w:t>
            </w:r>
          </w:p>
        </w:tc>
        <w:tc>
          <w:tcPr>
            <w:tcW w:w="3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2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color w:val="auto"/>
                <w:highlight w:val="white"/>
              </w:rPr>
              <w:t>%</w:t>
            </w:r>
          </w:p>
        </w:tc>
        <w:tc>
          <w:tcPr>
            <w:tcW w:w="4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color w:val="auto"/>
                <w:highlight w:val="white"/>
              </w:rPr>
              <w:t>%</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316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351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88"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First Quarter</w:t>
            </w:r>
          </w:p>
        </w:tc>
        <w:tc>
          <w:tcPr>
            <w:tcW w:w="1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424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80" w:type="dxa"/>
            <w:vAlign w:val="bottom"/>
          </w:tcPr>
          <w:p>
            <w:pPr>
              <w:spacing w:after="0"/>
              <w:rPr>
                <w:sz w:val="12"/>
                <w:szCs w:val="12"/>
                <w:color w:val="auto"/>
              </w:rPr>
            </w:pPr>
          </w:p>
        </w:tc>
        <w:tc>
          <w:tcPr>
            <w:tcW w:w="266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87"/>
        </w:trPr>
        <w:tc>
          <w:tcPr>
            <w:tcW w:w="2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18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Petrochemicals</w:t>
            </w: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7"/>
                <w:szCs w:val="17"/>
                <w:color w:val="auto"/>
              </w:rPr>
            </w:pPr>
          </w:p>
        </w:tc>
        <w:tc>
          <w:tcPr>
            <w:tcW w:w="42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Benzene, Styrene, Methanol, Acrylonitrile, Xylene,</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Consumer non-durables – 70%,</w:t>
            </w: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Naphtha, Caustic Soda, Butadiene, Propylene</w:t>
            </w:r>
          </w:p>
        </w:tc>
        <w:tc>
          <w:tcPr>
            <w:tcW w:w="180" w:type="dxa"/>
            <w:vAlign w:val="bottom"/>
            <w:shd w:val="clear" w:color="auto" w:fill="CFF0FC"/>
          </w:tcPr>
          <w:p>
            <w:pPr>
              <w:spacing w:after="0"/>
              <w:rPr>
                <w:sz w:val="21"/>
                <w:szCs w:val="21"/>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durables – 30%</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Black Oil</w:t>
            </w:r>
          </w:p>
        </w:tc>
        <w:tc>
          <w:tcPr>
            <w:tcW w:w="1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Fuel Oil, Coker Feedstock, Vacuum Gas Oil,</w:t>
            </w:r>
          </w:p>
        </w:tc>
        <w:tc>
          <w:tcPr>
            <w:tcW w:w="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Asphalt, Carbon Black Feedstock, Crude Oil, Natural Gas</w:t>
            </w:r>
          </w:p>
        </w:tc>
        <w:tc>
          <w:tcPr>
            <w:tcW w:w="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Feedstock for Refineries, Road</w:t>
            </w: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Ship Bunkers</w:t>
            </w:r>
          </w:p>
        </w:tc>
        <w:tc>
          <w:tcPr>
            <w:tcW w:w="18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Refined Petroleum</w:t>
            </w:r>
          </w:p>
        </w:tc>
        <w:tc>
          <w:tcPr>
            <w:tcW w:w="18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Gasoline, No. 2 Oil, Jet Fuel, Heating Oil, Diesel Fuel,</w:t>
            </w:r>
          </w:p>
        </w:tc>
        <w:tc>
          <w:tcPr>
            <w:tcW w:w="18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Ethanol</w:t>
            </w:r>
          </w:p>
        </w:tc>
        <w:tc>
          <w:tcPr>
            <w:tcW w:w="180" w:type="dxa"/>
            <w:vAlign w:val="bottom"/>
            <w:shd w:val="clear" w:color="auto" w:fill="CFF0FC"/>
          </w:tcPr>
          <w:p>
            <w:pPr>
              <w:spacing w:after="0"/>
              <w:rPr>
                <w:sz w:val="21"/>
                <w:szCs w:val="21"/>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Chemicals</w:t>
            </w:r>
          </w:p>
        </w:tc>
        <w:tc>
          <w:tcPr>
            <w:tcW w:w="1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Anhydrous Ammonia, Nitrogen – Based Liquid Fertilizer,</w:t>
            </w:r>
          </w:p>
        </w:tc>
        <w:tc>
          <w:tcPr>
            <w:tcW w:w="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Corn, Cotton and Wheat Production,</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Ammonia</w:t>
            </w:r>
          </w:p>
        </w:tc>
        <w:tc>
          <w:tcPr>
            <w:tcW w:w="18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60" w:firstLine="569"/>
        <w:spacing w:after="0" w:line="255" w:lineRule="auto"/>
        <w:rPr>
          <w:sz w:val="20"/>
          <w:szCs w:val="20"/>
          <w:color w:val="auto"/>
        </w:rPr>
      </w:pPr>
      <w:r>
        <w:rPr>
          <w:rFonts w:ascii="Times New Roman" w:cs="Times New Roman" w:eastAsia="Times New Roman" w:hAnsi="Times New Roman"/>
          <w:sz w:val="18"/>
          <w:szCs w:val="18"/>
          <w:color w:val="auto"/>
        </w:rPr>
        <w:t>KMT revenues for the 2023 first quarter increased 16% compared to the 2022 first quarter revenues. The increase for the 2023 first quarter was primarily due to higher term and spot pricing, increased tank barge utilization, and higher fuel rebills in the inland and coastal markets. Also, the 2022 first quarter was impacted by the COVID-19 Omicron variant as increased cases among the Company’s mariners led to crewing challenges, lost revenue and increased operating costs. The 2023 and 2022 first quarters were impacted by poor operating conditions including seasonal wind and fog along the Gulf Coast and lock delays on the Mississippi and Illinois rivers resulting in higher delay days. For the 2023 first quarter, the inland tank barge fleet contributed 82% and the coastal fleet contributed 18% of KMT revenues. For the 2022 first quarter, the inland tank barge fleet contributed 78% and the coastal fleet contributed 22% of KMT revenues.</w:t>
      </w:r>
    </w:p>
    <w:p>
      <w:pPr>
        <w:spacing w:after="0" w:line="160" w:lineRule="exact"/>
        <w:rPr>
          <w:sz w:val="20"/>
          <w:szCs w:val="20"/>
          <w:color w:val="auto"/>
        </w:rPr>
      </w:pPr>
    </w:p>
    <w:p>
      <w:pPr>
        <w:jc w:val="both"/>
        <w:ind w:right="80" w:firstLine="569"/>
        <w:spacing w:after="0" w:line="265"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the 2023 first quarter compared to the mid-80% range during the 2022 first quarter. The 2023 first quarter reflected increasing activity levels as a result of higher refinery and petrochemical plant utilization while the 2022 first quarter was impacted by the COVID-19 Omicron variant as increased cases among the Company’s mariners led to crewing challenges.</w:t>
      </w:r>
    </w:p>
    <w:p>
      <w:pPr>
        <w:spacing w:after="0" w:line="137" w:lineRule="exact"/>
        <w:rPr>
          <w:sz w:val="20"/>
          <w:szCs w:val="20"/>
          <w:color w:val="auto"/>
        </w:rPr>
      </w:pPr>
    </w:p>
    <w:p>
      <w:pPr>
        <w:jc w:val="both"/>
        <w:ind w:right="60" w:firstLine="569"/>
        <w:spacing w:after="0" w:line="281" w:lineRule="auto"/>
        <w:rPr>
          <w:sz w:val="20"/>
          <w:szCs w:val="20"/>
          <w:color w:val="auto"/>
        </w:rPr>
      </w:pPr>
      <w:r>
        <w:rPr>
          <w:rFonts w:ascii="Times New Roman" w:cs="Times New Roman" w:eastAsia="Times New Roman" w:hAnsi="Times New Roman"/>
          <w:sz w:val="18"/>
          <w:szCs w:val="18"/>
          <w:color w:val="auto"/>
        </w:rPr>
        <w:t>Coastal tank barge utilization levels averaged in the mid to high-90% range during the 2023 first quarter compared to the low-90% range during the 2022 first quarter. The increase in coastal tank barge utilization during 2023 was primarily due to continued improvements in market and customer demand.</w:t>
      </w:r>
    </w:p>
    <w:p>
      <w:pPr>
        <w:spacing w:after="0" w:line="122" w:lineRule="exact"/>
        <w:rPr>
          <w:sz w:val="20"/>
          <w:szCs w:val="20"/>
          <w:color w:val="auto"/>
        </w:rPr>
      </w:pPr>
    </w:p>
    <w:p>
      <w:pPr>
        <w:jc w:val="both"/>
        <w:ind w:right="80" w:firstLine="562"/>
        <w:spacing w:after="0" w:line="312" w:lineRule="auto"/>
        <w:rPr>
          <w:sz w:val="20"/>
          <w:szCs w:val="20"/>
          <w:color w:val="auto"/>
        </w:rPr>
      </w:pPr>
      <w:r>
        <w:rPr>
          <w:rFonts w:ascii="Times New Roman" w:cs="Times New Roman" w:eastAsia="Times New Roman" w:hAnsi="Times New Roman"/>
          <w:sz w:val="17"/>
          <w:szCs w:val="17"/>
          <w:color w:val="auto"/>
        </w:rPr>
        <w:t>The petrochemical market, which is the Company’s largest market, contributed 50% of KMT revenues for the 2023 first quarter reflecting increased rates, volumes and utilization from Gulf Coast petrochemical plants as a result of improved economic conditions as compared to the 2022 first quarter.</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19" w:name="page20"/>
    <w:bookmarkEnd w:id="19"/>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26% of KMT revenues for the 2023 first quarter, reflected improved demand as refinery utilization and production levels of refined petroleum products and fuel oils increased. During the 2023 first quarter,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55"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The refined petroleum products market, which contributed 21% of KMT revenues for the 2023 first quarter, reflected increased volumes in the inland market with improved refinery utilization and product levels.</w:t>
      </w:r>
    </w:p>
    <w:p>
      <w:pPr>
        <w:spacing w:after="0" w:line="122"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agricultural chemical market, which contributed 3% of KMT revenues for both the 2023 first quarter, reflected improved demand for transportation of both domestically produced and imported products.</w:t>
      </w:r>
    </w:p>
    <w:p>
      <w:pPr>
        <w:spacing w:after="0" w:line="122"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For the 2023 first quarter, the inland operations incurred 4,125 delay days, 31% more than the 3,137 delay days that occurred during the 2022 first quarter.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on the Mississippi and Illinois rivers during the 2023 and 2022 first quarters.</w:t>
      </w:r>
    </w:p>
    <w:p>
      <w:pPr>
        <w:spacing w:after="0" w:line="155"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During the 2023 first quarter, approximately 55% of KMT inland revenues were under term contracts and 45% were spot contract revenues. During the 2022 first quarter, approximately 65% of KMT inland revenues were under term contracts and 35% were spot contract revenues. Inland time charters during the 2023 first quarter represented 60% of the inland revenues under term contracts compared with 58% in the 2022 first quarter, respectively. During the 2023 first quarter, approximately 75% of KMT coastal inland revenues were under term contracts and 25% were spot contracts. During the 2022 first quarter, approximately 80% of the coastal revenues were under term contracts and 20% were spot contract revenues. Coastal time charters represented approximately 90% of coastal revenues under term contracts during both the 2023 and 2022 first quarters. Term contracts have contract terms of 12 months or longer, while spot contracts have contract terms of less than 12 months.</w:t>
      </w:r>
    </w:p>
    <w:p>
      <w:pPr>
        <w:spacing w:after="0" w:line="14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2023 compared to contracts renewed during the corresponding quarter of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Pr>
          <w:p>
            <w:pPr>
              <w:spacing w:after="0"/>
              <w:rPr>
                <w:sz w:val="16"/>
                <w:szCs w:val="16"/>
                <w:color w:val="auto"/>
              </w:rPr>
            </w:pPr>
          </w:p>
        </w:tc>
        <w:tc>
          <w:tcPr>
            <w:tcW w:w="22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9020" w:type="dxa"/>
            <w:vAlign w:val="bottom"/>
          </w:tcPr>
          <w:p>
            <w:pPr>
              <w:spacing w:after="0"/>
              <w:rPr>
                <w:sz w:val="14"/>
                <w:szCs w:val="14"/>
                <w:color w:val="auto"/>
              </w:rPr>
            </w:pPr>
          </w:p>
        </w:tc>
        <w:tc>
          <w:tcPr>
            <w:tcW w:w="22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2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22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10% – 12%</w:t>
            </w:r>
          </w:p>
        </w:tc>
      </w:tr>
      <w:tr>
        <w:trPr>
          <w:trHeight w:val="247"/>
        </w:trPr>
        <w:tc>
          <w:tcPr>
            <w:tcW w:w="9020" w:type="dxa"/>
            <w:vAlign w:val="bottom"/>
            <w:shd w:val="clear" w:color="auto" w:fill="CFF0FC"/>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22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23% – 26%</w:t>
            </w: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9020" w:type="dxa"/>
            <w:vAlign w:val="bottom"/>
            <w:shd w:val="clear" w:color="auto" w:fill="CFF0FC"/>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22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10% – 12%</w:t>
            </w:r>
          </w:p>
        </w:tc>
      </w:tr>
      <w:tr>
        <w:trPr>
          <w:trHeight w:val="234"/>
        </w:trPr>
        <w:tc>
          <w:tcPr>
            <w:tcW w:w="9020" w:type="dxa"/>
            <w:vAlign w:val="bottom"/>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22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20% – 23%</w:t>
            </w:r>
          </w:p>
        </w:tc>
      </w:tr>
    </w:tbl>
    <w:p>
      <w:pPr>
        <w:spacing w:after="0" w:line="166" w:lineRule="exact"/>
        <w:rPr>
          <w:sz w:val="20"/>
          <w:szCs w:val="20"/>
          <w:color w:val="auto"/>
        </w:rPr>
      </w:pPr>
    </w:p>
    <w:p>
      <w:pPr>
        <w:ind w:left="940" w:hanging="371"/>
        <w:spacing w:after="0" w:line="28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Effective January 1, 2023, annual escalators for labor and the producer price index on a number of inland multi-year contracts resulted in rate increases on those contracts of approximately 9%, excluding fuel.</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8"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Costs and expenses for the 2023 first quarter increased 9%, respectively, compared to the 2022 first quarter. Costs of sales and operating expenses for the 2023 first quarter increased 11%, respectively, compared with the 2022 first quarter. The increases during the 2023 first quarter primarily reflect improved business activity levels, inflationary cost pressures and increased fuel costs. The 2022 first quarter was negatively impacted by incremental costs associated with the COVID-19 Omicron variant.</w:t>
      </w:r>
    </w:p>
    <w:p>
      <w:pPr>
        <w:spacing w:after="0" w:line="155"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282 towboats during the 2023 first quarter, of which an average of 66 were chartered, compared to 263 during the 2022 first quarter, of which an average of 56 were chartered. The increase was primarily due to increasing business activity levels during the 2023 first quarter.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0" w:name="page21"/>
    <w:bookmarkEnd w:id="20"/>
    <w:p>
      <w:pPr>
        <w:jc w:val="both"/>
        <w:ind w:right="60" w:firstLine="569"/>
        <w:spacing w:after="0" w:line="258" w:lineRule="auto"/>
        <w:rPr>
          <w:sz w:val="20"/>
          <w:szCs w:val="20"/>
          <w:color w:val="auto"/>
        </w:rPr>
      </w:pPr>
      <w:r>
        <w:rPr>
          <w:rFonts w:ascii="Times New Roman" w:cs="Times New Roman" w:eastAsia="Times New Roman" w:hAnsi="Times New Roman"/>
          <w:sz w:val="18"/>
          <w:szCs w:val="18"/>
          <w:color w:val="auto"/>
        </w:rPr>
        <w:t>During the 2023 first quarter, the inland operations consumed 12.2 million gallons of diesel fuel compared to 11.5 million gallons consumed during the 2022 first quarter. The average price per gallon of diesel fuel consumed during the 2023 first quarter was $3.31 per gallon compared with $2.50 per gallon for the 2022 first quarter.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55"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for the 2023 first quarter increased 8% compared to the 2022 first quarter due to higher business activity levels and inflationary cost pressures. The increase for the 2023 first quarter was also due to salary and wage increases which went into effect July 1, 2022.</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188" w:lineRule="exact"/>
        <w:rPr>
          <w:sz w:val="20"/>
          <w:szCs w:val="20"/>
          <w:color w:val="auto"/>
        </w:rPr>
      </w:pPr>
    </w:p>
    <w:p>
      <w:pPr>
        <w:jc w:val="both"/>
        <w:ind w:right="60" w:firstLine="562"/>
        <w:spacing w:after="0" w:line="258" w:lineRule="auto"/>
        <w:rPr>
          <w:sz w:val="20"/>
          <w:szCs w:val="20"/>
          <w:color w:val="auto"/>
        </w:rPr>
      </w:pPr>
      <w:r>
        <w:rPr>
          <w:rFonts w:ascii="Times New Roman" w:cs="Times New Roman" w:eastAsia="Times New Roman" w:hAnsi="Times New Roman"/>
          <w:sz w:val="18"/>
          <w:szCs w:val="18"/>
          <w:color w:val="auto"/>
        </w:rPr>
        <w:t>KMT operating income for the 2023 first quarter increased 154% compared with the 2022 first quarter. The 2023 first quarter operating margin was 10.4% compared with 4.8% for the 2022 first quarter. The increases in operating income and operating margin were primarily due to higher term and spot contract pricing and increased barge utilization in the inland and coastal markets, each as a result of improving business activity levels, partially offset by increasing fuel prices. The 2022 first quarter was negatively impacted by the COVID-19 Omicron variant as increased cases among the Company’s mariners led to crewing challenges, lost revenue and increased operating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7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3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2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196,519</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315,157</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244,275</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3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color w:val="auto"/>
                <w:highlight w:val="white"/>
              </w:rPr>
              <w:t>%</w:t>
            </w:r>
          </w:p>
        </w:tc>
        <w:tc>
          <w:tcPr>
            <w:tcW w:w="4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color w:val="auto"/>
                <w:highlight w:val="white"/>
              </w:rPr>
              <w:t>%</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316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351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First Quarter</w:t>
            </w:r>
          </w:p>
        </w:tc>
        <w:tc>
          <w:tcPr>
            <w:tcW w:w="2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2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2"/>
                <w:szCs w:val="12"/>
                <w:color w:val="auto"/>
              </w:rPr>
            </w:pPr>
          </w:p>
        </w:tc>
        <w:tc>
          <w:tcPr>
            <w:tcW w:w="536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87"/>
        </w:trPr>
        <w:tc>
          <w:tcPr>
            <w:tcW w:w="36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7"/>
                <w:szCs w:val="17"/>
                <w:color w:val="auto"/>
              </w:rPr>
            </w:pPr>
          </w:p>
        </w:tc>
        <w:tc>
          <w:tcPr>
            <w:tcW w:w="536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Liquid, Offshore Oilfield Services — Drilling Rigs &amp; Supply Boats,</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Harbor Towing, Dredging, Great Lakes Ore Carriers, Pleasure Crafts, On</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Off-Highway Transportation, Power Generation, Standby Power</w:t>
            </w:r>
          </w:p>
        </w:tc>
        <w:tc>
          <w:tcPr>
            <w:tcW w:w="0" w:type="dxa"/>
            <w:vAlign w:val="bottom"/>
          </w:tcPr>
          <w:p>
            <w:pPr>
              <w:spacing w:after="0"/>
              <w:rPr>
                <w:sz w:val="1"/>
                <w:szCs w:val="1"/>
                <w:color w:val="auto"/>
              </w:rPr>
            </w:pPr>
          </w:p>
        </w:tc>
      </w:tr>
      <w:tr>
        <w:trPr>
          <w:trHeight w:val="248"/>
        </w:trPr>
        <w:tc>
          <w:tcPr>
            <w:tcW w:w="3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Generation, Pumping Stations, Mining</w:t>
            </w: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20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60" w:firstLine="569"/>
        <w:spacing w:after="0" w:line="258" w:lineRule="auto"/>
        <w:rPr>
          <w:sz w:val="20"/>
          <w:szCs w:val="20"/>
          <w:color w:val="auto"/>
        </w:rPr>
      </w:pPr>
      <w:r>
        <w:rPr>
          <w:rFonts w:ascii="Times New Roman" w:cs="Times New Roman" w:eastAsia="Times New Roman" w:hAnsi="Times New Roman"/>
          <w:sz w:val="18"/>
          <w:szCs w:val="18"/>
          <w:color w:val="auto"/>
        </w:rPr>
        <w:t>KDS revenues for the 2023 first quarter increased 32% compared to the 2022 first quarter. In the commercial and industrial market, the increase for the 2023 first quarter was primarily attributable to strong economic activity across the United States which resulted in higher business levels in the marine and on-highway businesses. Increased product sales in Thermo King also contributed favorably to the 2023 first quarter results. These increases were partially offset by continuing supply chain constraints and delays. For the 2023 first quarter, the commercial and industrial market contributed 56% of KDS revenues.</w:t>
      </w:r>
    </w:p>
    <w:p>
      <w:pPr>
        <w:spacing w:after="0" w:line="141"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In the oil and gas market, revenues improved compared to the 2022 first quarter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w:t>
      </w:r>
    </w:p>
    <w:p>
      <w:pPr>
        <w:spacing w:after="0" w:line="1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21" w:name="page22"/>
    <w:bookmarkEnd w:id="21"/>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pressure pumping equipment and power generation equipment for electric fracturing. For the 2023 first quarter, the oil and gas market contributed 44% of KDS revenues.</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88"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Costs and expenses for the 2023 first quarter increased 29% compared with the 2022 first quarter. Costs of sales and operating expenses for the 2023 first quarter increased 32% compared with the 2022 first quarter, reflecting higher demand in the marine and on-highway businesses in commercial and industrial markets as well as increased demand in the oil and gas market as a result of higher oilfield activity levels.</w:t>
      </w:r>
    </w:p>
    <w:p>
      <w:pPr>
        <w:spacing w:after="0" w:line="137"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for the 2023 first quarter increased 17% compared to the 2022 first quarter, primarily due to continued inflationary cost pressures, higher business activity and annual compensation increases.</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188"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KDS operating income for the 2023 first quarter increased 108% compared with the 2022 first quarter. The 2023 first quarter operating margin was 6.7% compared to 4.3% for the 2022 first quarter. The results reflect increased business levels in both the commercial and industrial and oil and gas markets.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02" w:lineRule="exact"/>
        <w:rPr>
          <w:sz w:val="20"/>
          <w:szCs w:val="20"/>
          <w:color w:val="auto"/>
        </w:rPr>
      </w:pPr>
    </w:p>
    <w:p>
      <w:pPr>
        <w:jc w:val="both"/>
        <w:ind w:right="120" w:firstLine="562"/>
        <w:spacing w:after="0" w:line="281"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$2.2 million for the 2023 first quarter and $4.8 million for the 2022 first quarter. The net gains were primarily from sales of marine transportation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impairments, other income, noncontrolling interests, and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34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(152 )</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(13,221 )</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(10,203 )</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8"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Other income for the 2023 and 2022 first quarters include income of $1.2 million and $3.4 million, respectively, for all components of net benefit costs except the service cost component related to the Company’s defined benefit plans. The 2023 first quarter also includes interest income associated with the IRS refund.</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1,201,841</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1,178,916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1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1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166" w:lineRule="exact"/>
        <w:rPr>
          <w:sz w:val="20"/>
          <w:szCs w:val="20"/>
          <w:color w:val="auto"/>
        </w:rPr>
      </w:pPr>
    </w:p>
    <w:p>
      <w:pPr>
        <w:ind w:right="100" w:firstLine="569"/>
        <w:spacing w:after="0" w:line="281" w:lineRule="auto"/>
        <w:rPr>
          <w:sz w:val="20"/>
          <w:szCs w:val="20"/>
          <w:color w:val="auto"/>
        </w:rPr>
      </w:pPr>
      <w:r>
        <w:rPr>
          <w:rFonts w:ascii="Times New Roman" w:cs="Times New Roman" w:eastAsia="Times New Roman" w:hAnsi="Times New Roman"/>
          <w:sz w:val="18"/>
          <w:szCs w:val="18"/>
          <w:color w:val="auto"/>
        </w:rPr>
        <w:t>Interest expense for the 2023 first quarter increased 30% compared with the 2022 first quarter, primarily due to a higher average interest rate and slightly higher average debt outstanding. There was no capitalized interest excluded from interest expense during the 2023 or 2022 first quarter.</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1,200,366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1,211,759</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3,665,510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3,633,462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5,574,748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26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614,788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642,197</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1,076,326</w:t>
            </w:r>
          </w:p>
        </w:tc>
        <w:tc>
          <w:tcPr>
            <w:tcW w:w="26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625,884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3,085,140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3,045,168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5,574,748</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26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-1609090</wp:posOffset>
            </wp:positionV>
            <wp:extent cx="768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-1609090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7" w:lineRule="exact"/>
        <w:rPr>
          <w:sz w:val="20"/>
          <w:szCs w:val="20"/>
          <w:color w:val="auto"/>
        </w:rPr>
      </w:pPr>
    </w:p>
    <w:p>
      <w:pPr>
        <w:jc w:val="both"/>
        <w:ind w:right="100" w:firstLine="562"/>
        <w:spacing w:after="0" w:line="260" w:lineRule="auto"/>
        <w:rPr>
          <w:sz w:val="20"/>
          <w:szCs w:val="20"/>
          <w:color w:val="auto"/>
        </w:rPr>
      </w:pPr>
      <w:r>
        <w:rPr>
          <w:rFonts w:ascii="Times New Roman" w:cs="Times New Roman" w:eastAsia="Times New Roman" w:hAnsi="Times New Roman"/>
          <w:sz w:val="18"/>
          <w:szCs w:val="18"/>
          <w:color w:val="auto"/>
        </w:rPr>
        <w:t>Current assets as of March 31, 2023 decreased 1% compared with December 31, 2022. Trade accounts receivable increased 9%, primarily due to increased business activity levels in both KMT and KDS. Inventories increased by 3% due to higher activity and the impact of supply chain delays in KDS resulting in buildup for projects that will be delivered later in 2023. Prepaid expenses and other current assets decreased 13% primarily due to amortization of insurance premiums and the sale of assets held for sale.</w:t>
      </w:r>
    </w:p>
    <w:p>
      <w:pPr>
        <w:spacing w:after="0" w:line="155"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Property and equipment, net of accumulated depreciation, at March 31, 2023 increased 1% compared with December 31, 2022. The increase reflected $81.4 million of capital additions (including an increase in accrued capital expenditures of $8.2 million), partially offset by $49.2 million of depreciation expense and $0.2 million of property disposals more fully described under Cash Flows and Capital Expenditures below.</w:t>
      </w:r>
    </w:p>
    <w:p>
      <w:pPr>
        <w:spacing w:after="0" w:line="137"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Operating lease right-of-use assets as of March 31, 2023 increased 1% compared to December 31, 2022, primarily due to new leases acquired during the 2023 first quarter, partially offset by lease amortization expense.</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intangibles, net, as of March 31, 2023 decreased 4% compared with December 31, 2022, primarily due to amortization during the 2023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179" w:lineRule="exact"/>
        <w:rPr>
          <w:sz w:val="20"/>
          <w:szCs w:val="20"/>
          <w:color w:val="auto"/>
        </w:rPr>
      </w:pPr>
    </w:p>
    <w:p>
      <w:pPr>
        <w:jc w:val="both"/>
        <w:ind w:right="120" w:firstLine="562"/>
        <w:spacing w:after="0" w:line="281" w:lineRule="auto"/>
        <w:rPr>
          <w:sz w:val="20"/>
          <w:szCs w:val="20"/>
          <w:color w:val="auto"/>
        </w:rPr>
      </w:pPr>
      <w:r>
        <w:rPr>
          <w:rFonts w:ascii="Times New Roman" w:cs="Times New Roman" w:eastAsia="Times New Roman" w:hAnsi="Times New Roman"/>
          <w:sz w:val="18"/>
          <w:szCs w:val="18"/>
          <w:color w:val="auto"/>
        </w:rPr>
        <w:t>Other assets as of March 31, 2023 increased 1% compared with December 31, 2022, primarily due to additional deferred major maintenance drydock expenditures incurred during the 2023 first quarter partially offset by amortization of drydock expenditures.</w:t>
      </w:r>
    </w:p>
    <w:p>
      <w:pPr>
        <w:spacing w:after="0" w:line="122"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Current liabilities as of March 31, 2023 decreased 4% compared with December 31, 2022. Accrued liabilities decreased 15% primarily due to the payment of employee incentive compensation bonuses, property taxes, and interest. Deferred revenue increased 4% primarily due to deposits on equipment expected to be shipped later in 2023 in KDS.</w:t>
      </w:r>
    </w:p>
    <w:p>
      <w:pPr>
        <w:spacing w:after="0" w:line="137"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Long-term debt, net – less current portion, as of March 31, 2023 was flat compared with December 31, 2022, primarily reflecting the maturity of the 3.29% senior notes due February 27, 2023, offset by borrowings under the 3.46% and 3.51% senior notes due January 19, 2033 and the 2027 Revolving Credit Facility.</w:t>
      </w:r>
    </w:p>
    <w:p>
      <w:pPr>
        <w:spacing w:after="0" w:line="150"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Deferred income taxes as of March 31, 2023 increased 2% compared with December 31, 2022, primarily reflecting the deferred tax provision of $12.6 million.</w:t>
      </w:r>
    </w:p>
    <w:p>
      <w:pPr>
        <w:spacing w:after="0" w:line="122"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Operating lease liabilities – less current portion, as of March 31, 2023 increased 3% compared to December 31, 2022, primarily due to new leases acquired and liability accretion during the 2023 first quarter.</w:t>
      </w:r>
    </w:p>
    <w:p>
      <w:pPr>
        <w:spacing w:after="0" w:line="122"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Other long-term liabilities as of March 31, 2023 decreased 38% compared with December 31, 2022, primarily due to a decrease in pension liabilities and amortization of intangible liabilities.</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8" w:right="239" w:bottom="1440" w:gutter="0" w:footer="0" w:header="0"/>
        </w:sectPr>
      </w:pPr>
    </w:p>
    <w:bookmarkStart w:id="23" w:name="page24"/>
    <w:bookmarkEnd w:id="23"/>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Total equity as of March 31, 2023 increased 1% compared with December 31, 2022. The increase was primarily due to the net earnings attributable to Kirby of $40.7 million, amortization of share-based compensation of $5.8 million, and stock option exercises of $0.1 million, partially offset by treasury stock purchases of $3.2 million and tax withholdings of $3.6 million on RSU vestings.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1,085,983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1,083,292</w:t>
            </w:r>
          </w:p>
        </w:tc>
        <w:tc>
          <w:tcPr>
            <w:tcW w:w="100" w:type="dxa"/>
            <w:vAlign w:val="bottom"/>
          </w:tcPr>
          <w:p>
            <w:pPr>
              <w:spacing w:after="0"/>
              <w:rPr>
                <w:sz w:val="20"/>
                <w:szCs w:val="20"/>
                <w:color w:val="auto"/>
              </w:rPr>
            </w:pPr>
          </w:p>
        </w:tc>
      </w:tr>
      <w:tr>
        <w:trPr>
          <w:trHeight w:val="243"/>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discounts and issuance costs (b)</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(6,342 )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(3,674 )</w:t>
            </w:r>
          </w:p>
        </w:tc>
      </w:tr>
      <w:tr>
        <w:trPr>
          <w:trHeight w:val="236"/>
        </w:trPr>
        <w:tc>
          <w:tcPr>
            <w:tcW w:w="8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1,079,641</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1,079,618</w:t>
            </w:r>
          </w:p>
        </w:tc>
        <w:tc>
          <w:tcPr>
            <w:tcW w:w="100" w:type="dxa"/>
            <w:vAlign w:val="bottom"/>
            <w:tcBorders>
              <w:top w:val="single" w:sz="8" w:color="CFF0FC"/>
            </w:tcBorders>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-504825</wp:posOffset>
            </wp:positionV>
            <wp:extent cx="7683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7683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ind w:left="940" w:hanging="371"/>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6.3% at March 31, 2023.</w:t>
      </w:r>
    </w:p>
    <w:p>
      <w:pPr>
        <w:spacing w:after="0" w:line="27" w:lineRule="exact"/>
        <w:rPr>
          <w:rFonts w:ascii="Times New Roman" w:cs="Times New Roman" w:eastAsia="Times New Roman" w:hAnsi="Times New Roman"/>
          <w:sz w:val="18"/>
          <w:szCs w:val="18"/>
          <w:color w:val="auto"/>
        </w:rPr>
      </w:pPr>
    </w:p>
    <w:p>
      <w:pPr>
        <w:ind w:left="940" w:hanging="371"/>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attributable to the 2027 Revolving Credit Facility included in other assets at December 31, 2022.</w:t>
      </w:r>
    </w:p>
    <w:p>
      <w:pPr>
        <w:spacing w:after="0" w:line="179"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At the beginning of 2022, the Company had in place its 2024 Credit Agreement with a group of commercial banks, with JPMorgan Chase Bank, N.A. as the administrative agent bank, that allowed for an $850 million 2024 Revolving Credit Facility and a 2024 Term Loan with a maturity date of March 27, 2024. The 2024 Term Loan was prepayable, in whole or in part, without penalty.</w:t>
      </w:r>
    </w:p>
    <w:p>
      <w:pPr>
        <w:spacing w:after="0" w:line="137"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$80.0 million under the 2027 Term Loan prior to scheduled maturities. As a result, no repayments are required until June 30, 2025. Outstanding letters of credit under the 2027 Revolving Credit Facility were $5.1 million and available borrowing capacity was $382.9 million as of March 31, 2023.</w:t>
      </w:r>
    </w:p>
    <w:p>
      <w:pPr>
        <w:spacing w:after="0" w:line="149"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June 30, 2025,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4" w:name="page25"/>
    <w:bookmarkEnd w:id="24"/>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62"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has a $10 million line of credit (“Credit Line”) with Bank of America, N.A. (“Bank of America”) for short-term liquidity needs and letters of credit, with a maturity date of June 30, 2024. Outstanding letters of credit under the $10 million credit line were $0.6 million and available borrowing capacity was $9.4 million as of March 31, 2023.</w:t>
      </w:r>
    </w:p>
    <w:p>
      <w:pPr>
        <w:spacing w:after="0" w:line="137"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As of March 31, 2023,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202"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2023 first quarter with net cash provided by operating activities of $16.5 million compared with $32.2 million for the 2022 first quarter, a 49% decrease. Higher revenues and operating income in KMT and KDS during the 2023 first quarter were more than offset by an increase in trade accounts receivable, primarily due to higher revenues and timing of collections, and increased inventory levels in KDS due to higher activity and managing supply chain challenges during the 2023 first quarter. Increases in KMT revenues and operating income were driven by higher term and spot contract pricing and increased barge utilization in the inland and coastal markets during the 2023 first quarter. During the 2023 and 2022 first quarters, the Company generated cash of $8.0 million and $14.3 million, respectively, from proceeds from the disposition of assets, and $0.1 million and $2.3 million, respectively, from proceeds from the exercise of stock options.</w:t>
      </w:r>
    </w:p>
    <w:p>
      <w:pPr>
        <w:spacing w:after="0" w:line="146"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For the 2023 first quarter, cash generated was used for capital expenditures of $73.2 million, including $4.4 million for inland specialized equipment construction and $68.8 million primarily for upgrading existing marine equipment and KMT and KDS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During the 2023 first quarter, the Company purchased 46,850 shares of its common stock for $3.2 million, at an average price of $67.97 per share. As of May 5, 2023, the Company had approximately 6.0 million shares available under its existing repurchase authorization. Historically, treasury stock purchases have been financed through operating cash flows and borrowings under the Company’s then current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8"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May 5, 2023 the Company also had cash equivalents of $45.8 million, availability of $442.9 million under its 2027 Revolving Credit Facility, and $6.9 million available under its credit line.</w:t>
      </w:r>
    </w:p>
    <w:p>
      <w:pPr>
        <w:spacing w:after="0" w:line="150" w:lineRule="exact"/>
        <w:rPr>
          <w:sz w:val="20"/>
          <w:szCs w:val="20"/>
          <w:color w:val="auto"/>
        </w:rPr>
      </w:pPr>
    </w:p>
    <w:p>
      <w:pPr>
        <w:jc w:val="both"/>
        <w:ind w:right="20" w:firstLine="562"/>
        <w:spacing w:after="0" w:line="281"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22"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37"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4.2% senior unsecured notes do not mature until March 1, 2028 and require no prepayments. The 2033 Notes do not mature until January 19, 2033</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jc w:val="both"/>
        <w:spacing w:after="0" w:line="265" w:lineRule="auto"/>
        <w:rPr>
          <w:sz w:val="20"/>
          <w:szCs w:val="20"/>
          <w:color w:val="auto"/>
        </w:rPr>
      </w:pPr>
      <w:r>
        <w:rPr>
          <w:rFonts w:ascii="Times New Roman" w:cs="Times New Roman" w:eastAsia="Times New Roman" w:hAnsi="Times New Roman"/>
          <w:sz w:val="18"/>
          <w:szCs w:val="18"/>
          <w:color w:val="auto"/>
        </w:rPr>
        <w:t>and require no prepayments. The 2027 Term Loan in the amount of $250 million is subject to quarterly installments, beginning June 30, 2025,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2023. For a list of significant risks and uncertainties that could impact cash flows, see Note 14, Contingencies and Commitments, of the Notes to Condensed Financial Statements (Unaudited), and Item 1A — Risk Factors and Note 14, Contingencies and Commitments, in the Company’s Annual Report on Form 10-K for the year ended December 31, 2022.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2022.</w:t>
      </w:r>
    </w:p>
    <w:p>
      <w:pPr>
        <w:spacing w:after="0" w:line="14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$18.1 million at March 31, 2023, including $11.3 million in letters of credit and $6.8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5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While inflationary pressures have increased, 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limits exposure to inflation. The repair portion of KDS is based on prevailing current market rates.</w:t>
      </w:r>
    </w:p>
    <w:p>
      <w:pPr>
        <w:spacing w:after="0" w:line="1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8"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current bank credit facilities bear interest at variable rates based on prevailing short-term interest rates in the United States, while the previous bank credit facilities also included Europe. A 1% increase in variable interest rates would impact the 2023 interest expense by $1.7 million based on balances outstanding at December 31, 2022, and would change the fair value of the Company’s debt by approximately 1%.</w:t>
      </w:r>
    </w:p>
    <w:p>
      <w:pPr>
        <w:spacing w:after="0" w:line="15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6"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March 31, 2023, as required by Rule 13a-15(b) under the Exchange Act. Based on that evaluation, the Chief Executive Officer and the Chief Financial Officer concluded that, as of March 31, 2023,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51"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March 31, 2023 that have materially affected, or are reasonably likely to materially affect, the Company’s internal control over financial reporting.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ind w:firstLine="569"/>
        <w:spacing w:after="0" w:line="281"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the Company’s Annual Report on Form 10-K for the year ended December 31, 2022.</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32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 January 31, 2023</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 2023</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 March 31, 2023</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2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-187960</wp:posOffset>
            </wp:positionV>
            <wp:extent cx="7683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-187960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-187960</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jc w:val="both"/>
        <w:ind w:right="20" w:firstLine="569"/>
        <w:spacing w:after="0" w:line="281" w:lineRule="auto"/>
        <w:rPr>
          <w:sz w:val="20"/>
          <w:szCs w:val="20"/>
          <w:color w:val="auto"/>
        </w:rPr>
      </w:pPr>
      <w:r>
        <w:rPr>
          <w:rFonts w:ascii="Times New Roman" w:cs="Times New Roman" w:eastAsia="Times New Roman" w:hAnsi="Times New Roman"/>
          <w:sz w:val="18"/>
          <w:szCs w:val="18"/>
          <w:color w:val="auto"/>
        </w:rPr>
        <w:t>Purchases of the Company's common stock in March 2023 were made in the open market pursuant to a discretionary authorization by the Board of Directors.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0" w:type="dxa"/>
            <w:vAlign w:val="bottom"/>
            <w:gridSpan w:val="17"/>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89"/>
        </w:trPr>
        <w:tc>
          <w:tcPr>
            <w:tcW w:w="102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6"/>
                <w:szCs w:val="16"/>
                <w:color w:val="auto"/>
              </w:rPr>
            </w:pPr>
          </w:p>
        </w:tc>
        <w:tc>
          <w:tcPr>
            <w:tcW w:w="9180" w:type="dxa"/>
            <w:vAlign w:val="bottom"/>
            <w:tcBorders>
              <w:bottom w:val="single" w:sz="8" w:color="0000FF"/>
            </w:tcBorders>
            <w:gridSpan w:val="12"/>
            <w:shd w:val="clear" w:color="auto" w:fill="CFF0FC"/>
          </w:tcPr>
          <w:p>
            <w:pPr>
              <w:spacing w:after="0" w:line="189"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Restated Articles of Incorporation of the Company with all amendments to date (incorporated by reference to Exhibit 3.1 to the</w:t>
              </w:r>
            </w:hyperlink>
          </w:p>
        </w:tc>
        <w:tc>
          <w:tcPr>
            <w:tcW w:w="680" w:type="dxa"/>
            <w:vAlign w:val="bottom"/>
            <w:tcBorders>
              <w:bottom w:val="single" w:sz="8" w:color="CFF0FC"/>
            </w:tcBorders>
            <w:gridSpan w:val="7"/>
            <w:shd w:val="clear" w:color="auto" w:fill="CFF0FC"/>
          </w:tcPr>
          <w:p>
            <w:pPr>
              <w:spacing w:after="0"/>
              <w:rPr>
                <w:sz w:val="16"/>
                <w:szCs w:val="16"/>
                <w:color w:val="auto"/>
              </w:rPr>
            </w:pPr>
          </w:p>
        </w:tc>
      </w:tr>
      <w:tr>
        <w:trPr>
          <w:trHeight w:val="230"/>
        </w:trPr>
        <w:tc>
          <w:tcPr>
            <w:tcW w:w="10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940" w:type="dxa"/>
            <w:vAlign w:val="bottom"/>
            <w:tcBorders>
              <w:bottom w:val="single" w:sz="8" w:color="0000FF"/>
            </w:tcBorders>
            <w:gridSpan w:val="7"/>
            <w:shd w:val="clear" w:color="auto" w:fill="CFF0FC"/>
          </w:tcPr>
          <w:p>
            <w:pPr>
              <w:spacing w:after="0" w:line="195"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Registrant’s Annual Report on Form 10-K for the year ended December 31, 2014).</w:t>
              </w:r>
            </w:hyperlink>
          </w:p>
        </w:tc>
        <w:tc>
          <w:tcPr>
            <w:tcW w:w="3920" w:type="dxa"/>
            <w:vAlign w:val="bottom"/>
            <w:tcBorders>
              <w:bottom w:val="single" w:sz="8" w:color="CFF0FC"/>
            </w:tcBorders>
            <w:gridSpan w:val="12"/>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21"/>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7">
              <w:r>
                <w:rPr>
                  <w:rFonts w:ascii="Times New Roman" w:cs="Times New Roman" w:eastAsia="Times New Roman" w:hAnsi="Times New Roman"/>
                  <w:sz w:val="18"/>
                  <w:szCs w:val="18"/>
                  <w:color w:val="0000FF"/>
                </w:rPr>
                <w:t>Bylaws of the Company with all amendments to date (incorporated by reference to Exhibit 3.1 to the Registrant’s Current Report on</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8-K filed with the Commission on October 28, 2022).</w:t>
              </w:r>
            </w:hyperlink>
          </w:p>
        </w:tc>
        <w:tc>
          <w:tcPr>
            <w:tcW w:w="320" w:type="dxa"/>
            <w:vAlign w:val="bottom"/>
            <w:gridSpan w:val="4"/>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1"/>
        </w:trPr>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21"/>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See Exhibits 3.1 and 3.2 hereof for provisions of our Restated Articles of Incorporation of the Company with all amendments to date and</w:t>
            </w:r>
          </w:p>
        </w:tc>
      </w:tr>
      <w:tr>
        <w:trPr>
          <w:trHeight w:val="194"/>
        </w:trPr>
        <w:tc>
          <w:tcPr>
            <w:tcW w:w="10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860" w:type="dxa"/>
            <w:vAlign w:val="bottom"/>
            <w:gridSpan w:val="19"/>
            <w:shd w:val="clear" w:color="auto" w:fill="CFF0FC"/>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the Company with all amendments to date (incorporated, respectively, by reference to Exhibit </w:t>
            </w:r>
            <w:hyperlink r:id="rId216">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r>
      <w:tr>
        <w:trPr>
          <w:trHeight w:val="20"/>
        </w:trPr>
        <w:tc>
          <w:tcPr>
            <w:tcW w:w="10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980" w:type="dxa"/>
            <w:vAlign w:val="bottom"/>
            <w:gridSpan w:val="2"/>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1760" w:type="dxa"/>
            <w:vAlign w:val="bottom"/>
            <w:tcBorders>
              <w:right w:val="single" w:sz="8" w:color="0000EE"/>
            </w:tcBorders>
            <w:shd w:val="clear" w:color="auto" w:fill="CFF0FC"/>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2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96"/>
        </w:trPr>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860" w:type="dxa"/>
            <w:vAlign w:val="bottom"/>
            <w:gridSpan w:val="19"/>
            <w:shd w:val="clear" w:color="auto" w:fill="CFF0FC"/>
          </w:tcPr>
          <w:p>
            <w:pPr>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and Exhibit </w:t>
            </w:r>
            <w:hyperlink r:id="rId21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w:t>
            </w:r>
          </w:p>
        </w:tc>
      </w:tr>
      <w:tr>
        <w:trPr>
          <w:trHeight w:val="250"/>
        </w:trPr>
        <w:tc>
          <w:tcPr>
            <w:tcW w:w="102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860" w:type="dxa"/>
            <w:vAlign w:val="bottom"/>
            <w:tcBorders>
              <w:top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filed with the Commission on October 28, 2022).</w:t>
            </w:r>
          </w:p>
        </w:tc>
        <w:tc>
          <w:tcPr>
            <w:tcW w:w="220" w:type="dxa"/>
            <w:vAlign w:val="bottom"/>
            <w:tcBorders>
              <w:top w:val="single" w:sz="8" w:color="0000FF"/>
            </w:tcBorders>
            <w:gridSpan w:val="2"/>
            <w:shd w:val="clear" w:color="auto" w:fill="CFF0FC"/>
          </w:tcPr>
          <w:p>
            <w:pPr>
              <w:spacing w:after="0"/>
              <w:rPr>
                <w:sz w:val="21"/>
                <w:szCs w:val="21"/>
                <w:color w:val="auto"/>
              </w:rPr>
            </w:pPr>
          </w:p>
        </w:tc>
        <w:tc>
          <w:tcPr>
            <w:tcW w:w="3780" w:type="dxa"/>
            <w:vAlign w:val="bottom"/>
            <w:tcBorders>
              <w:top w:val="single" w:sz="8" w:color="CFF0FC"/>
            </w:tcBorders>
            <w:gridSpan w:val="11"/>
            <w:shd w:val="clear" w:color="auto" w:fill="CFF0FC"/>
          </w:tcPr>
          <w:p>
            <w:pPr>
              <w:spacing w:after="0"/>
              <w:rPr>
                <w:sz w:val="21"/>
                <w:szCs w:val="21"/>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1"/>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8">
              <w:r>
                <w:rPr>
                  <w:rFonts w:ascii="Times New Roman" w:cs="Times New Roman" w:eastAsia="Times New Roman" w:hAnsi="Times New Roman"/>
                  <w:sz w:val="18"/>
                  <w:szCs w:val="18"/>
                  <w:color w:val="0000FF"/>
                </w:rPr>
                <w:t>Annual Incentive Plan Guidelines for 2023 (incorporated by referenced to Exhibit 10.6 to the Registrant’s Annual Report on Form 10-K</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top w:val="single" w:sz="8" w:color="0000FF"/>
            </w:tcBorders>
            <w:gridSpan w:val="18"/>
          </w:tcPr>
          <w:p>
            <w:pPr>
              <w:spacing w:after="0" w:line="195"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 the year ended December 31, 2022).</w:t>
              </w:r>
            </w:hyperlink>
          </w:p>
        </w:tc>
        <w:tc>
          <w:tcPr>
            <w:tcW w:w="40" w:type="dxa"/>
            <w:vAlign w:val="bottom"/>
          </w:tcPr>
          <w:p>
            <w:pPr>
              <w:spacing w:after="0"/>
              <w:rPr>
                <w:sz w:val="17"/>
                <w:szCs w:val="17"/>
                <w:color w:val="auto"/>
              </w:rPr>
            </w:pP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21"/>
            <w:shd w:val="clear" w:color="auto" w:fill="CFF0FC"/>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9">
              <w:r>
                <w:rPr>
                  <w:rFonts w:ascii="Times New Roman" w:cs="Times New Roman" w:eastAsia="Times New Roman" w:hAnsi="Times New Roman"/>
                  <w:sz w:val="18"/>
                  <w:szCs w:val="18"/>
                  <w:color w:val="0000FF"/>
                </w:rPr>
                <w:t>Amended and Restated Annual Incentive Plan 2023 Plan Year Guidelines (incorporated by reference to Exhibit 10.1 to the Registrant’s</w:t>
              </w:r>
            </w:hyperlink>
          </w:p>
        </w:tc>
      </w:tr>
      <w:tr>
        <w:trPr>
          <w:trHeight w:val="230"/>
        </w:trPr>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540" w:type="dxa"/>
            <w:vAlign w:val="bottom"/>
            <w:tcBorders>
              <w:top w:val="single" w:sz="8" w:color="0000FF"/>
              <w:bottom w:val="single" w:sz="8" w:color="0000FF"/>
            </w:tcBorders>
            <w:gridSpan w:val="5"/>
            <w:shd w:val="clear" w:color="auto" w:fill="CFF0FC"/>
          </w:tcPr>
          <w:p>
            <w:pPr>
              <w:spacing w:after="0" w:line="195"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Current Report on Form 8-K filed with the Commission on March 24, 2023).</w:t>
              </w:r>
            </w:hyperlink>
          </w:p>
        </w:tc>
        <w:tc>
          <w:tcPr>
            <w:tcW w:w="4200" w:type="dxa"/>
            <w:vAlign w:val="bottom"/>
            <w:tcBorders>
              <w:top w:val="single" w:sz="8" w:color="0000FF"/>
              <w:bottom w:val="single" w:sz="8" w:color="CFF0FC"/>
            </w:tcBorders>
            <w:gridSpan w:val="12"/>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21"/>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20">
              <w:r>
                <w:rPr>
                  <w:rFonts w:ascii="Times New Roman" w:cs="Times New Roman" w:eastAsia="Times New Roman" w:hAnsi="Times New Roman"/>
                  <w:sz w:val="18"/>
                  <w:szCs w:val="18"/>
                  <w:color w:val="0000FF"/>
                </w:rPr>
                <w:t>Cooperation Agreement dated February 3, 2023 by and among the Company and JCP Investment Management, LLC and certain of its</w:t>
              </w:r>
            </w:hyperlink>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affiliates and associates (incorporated by reference to Exhibit 10.1 to the Registrant’s Current Report on Form 8-K filed with the</w:t>
              </w:r>
            </w:hyperlink>
          </w:p>
        </w:tc>
        <w:tc>
          <w:tcPr>
            <w:tcW w:w="440" w:type="dxa"/>
            <w:vAlign w:val="bottom"/>
            <w:tcBorders>
              <w:top w:val="single" w:sz="8" w:color="0000FF"/>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9"/>
          </w:tcPr>
          <w:p>
            <w:pPr>
              <w:spacing w:after="0" w:line="195"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Commission on February 3, 2023).</w:t>
              </w:r>
            </w:hyperlink>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21"/>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Amendment to Change of Control Agreement by and between Kirby Corporation and David W. Grzebinski dated March 6, 2023.</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50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14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70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1760" w:type="dxa"/>
            <w:vAlign w:val="bottom"/>
            <w:tcBorders>
              <w:top w:val="single" w:sz="8" w:color="0000FF"/>
              <w:right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21"/>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Amendment to Change of Control Agreement by and between Kirby Corporation and Raj Kumar dated March 6, 2023.</w:t>
            </w:r>
          </w:p>
        </w:tc>
      </w:tr>
      <w:tr>
        <w:trPr>
          <w:trHeight w:val="34"/>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7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21"/>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Amendment to Change of Control Agreement by and between Kirby Corporation and Christian G. O’Neil dated March 6, 2023.</w:t>
            </w: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50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14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70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1760" w:type="dxa"/>
            <w:vAlign w:val="bottom"/>
            <w:tcBorders>
              <w:top w:val="single" w:sz="8" w:color="0000FF"/>
              <w:right w:val="single" w:sz="8" w:color="CFF0FC"/>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21"/>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r>
      <w:tr>
        <w:trPr>
          <w:trHeight w:val="385"/>
        </w:trPr>
        <w:tc>
          <w:tcPr>
            <w:tcW w:w="10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840" w:type="dxa"/>
            <w:vAlign w:val="bottom"/>
            <w:tcBorders>
              <w:top w:val="single" w:sz="8" w:color="0000FF"/>
            </w:tcBorders>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r>
      <w:tr>
        <w:trPr>
          <w:trHeight w:val="34"/>
        </w:trPr>
        <w:tc>
          <w:tcPr>
            <w:tcW w:w="96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0000FF"/>
            </w:tcBorders>
            <w:shd w:val="clear" w:color="auto" w:fill="CFF0FC"/>
          </w:tcPr>
          <w:p>
            <w:pPr>
              <w:spacing w:after="0"/>
              <w:rPr>
                <w:sz w:val="2"/>
                <w:szCs w:val="2"/>
                <w:color w:val="auto"/>
              </w:rPr>
            </w:pPr>
          </w:p>
        </w:tc>
        <w:tc>
          <w:tcPr>
            <w:tcW w:w="1300" w:type="dxa"/>
            <w:vAlign w:val="bottom"/>
            <w:tcBorders>
              <w:top w:val="single" w:sz="8" w:color="0000FF"/>
            </w:tcBorders>
            <w:shd w:val="clear" w:color="auto" w:fill="CFF0FC"/>
          </w:tcPr>
          <w:p>
            <w:pPr>
              <w:spacing w:after="0"/>
              <w:rPr>
                <w:sz w:val="2"/>
                <w:szCs w:val="2"/>
                <w:color w:val="auto"/>
              </w:rPr>
            </w:pPr>
          </w:p>
        </w:tc>
        <w:tc>
          <w:tcPr>
            <w:tcW w:w="5060" w:type="dxa"/>
            <w:vAlign w:val="bottom"/>
            <w:tcBorders>
              <w:top w:val="single" w:sz="8" w:color="CFF0FC"/>
            </w:tcBorders>
            <w:shd w:val="clear" w:color="auto" w:fill="CFF0FC"/>
          </w:tcPr>
          <w:p>
            <w:pPr>
              <w:spacing w:after="0"/>
              <w:rPr>
                <w:sz w:val="2"/>
                <w:szCs w:val="2"/>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80" w:type="dxa"/>
            <w:vAlign w:val="bottom"/>
            <w:gridSpan w:val="4"/>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r>
      <w:tr>
        <w:trPr>
          <w:trHeight w:val="34"/>
        </w:trPr>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11"/>
        </w:trPr>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48"/>
        </w:trPr>
        <w:tc>
          <w:tcPr>
            <w:tcW w:w="9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247"/>
        </w:trPr>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23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47"/>
        </w:trPr>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23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243"/>
        </w:trPr>
        <w:tc>
          <w:tcPr>
            <w:tcW w:w="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tcBorders>
              <w:bottom w:val="single" w:sz="8" w:color="auto"/>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78" w:lineRule="exact"/>
        <w:rPr>
          <w:sz w:val="20"/>
          <w:szCs w:val="20"/>
          <w:color w:val="auto"/>
        </w:rPr>
      </w:pPr>
    </w:p>
    <w:p>
      <w:pPr>
        <w:ind w:left="564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2023</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CHANGE OF CONTROL AGREEMENT</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AMENDMENT TO CHANGE OF CONTROL AGREEMENT (this “Amendment”) is entered into as of March 6, 2023, by and between Kirby Corporation, a Nevada corporation (the “Company”), and David W. Grzebinski (“Executive”). Capitalized terms used and not otherwise defined herein shall have the meanings assigned to them in the Change of Control Agreement (as defined below).</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Change of Control Agreement, dated as of May 16, 2022 (the “Change of Control Agreement”); and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hereto desire to amend the Change of Control Agreement as provided in this Amendment.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intending to be legally bound, hereby agree to amend the Change of Control Agreement as follows:</w:t>
      </w:r>
    </w:p>
    <w:p>
      <w:pPr>
        <w:spacing w:after="0" w:line="172"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1(b) through 1(k) of the Change of Control Agreement are hereby designated as Sections 1(c) through 1(l), and the following new Section 1(b) is hereby added to the Change of Control Agreement:</w:t>
      </w:r>
    </w:p>
    <w:p>
      <w:pPr>
        <w:spacing w:after="0" w:line="157" w:lineRule="exact"/>
        <w:rPr>
          <w:sz w:val="20"/>
          <w:szCs w:val="20"/>
          <w:color w:val="auto"/>
        </w:rPr>
      </w:pPr>
    </w:p>
    <w:p>
      <w:pPr>
        <w:jc w:val="both"/>
        <w:ind w:left="760" w:right="740"/>
        <w:spacing w:after="0" w:line="237" w:lineRule="auto"/>
        <w:rPr>
          <w:sz w:val="20"/>
          <w:szCs w:val="20"/>
          <w:color w:val="auto"/>
        </w:rPr>
      </w:pPr>
      <w:r>
        <w:rPr>
          <w:rFonts w:ascii="Times New Roman" w:cs="Times New Roman" w:eastAsia="Times New Roman" w:hAnsi="Times New Roman"/>
          <w:sz w:val="22"/>
          <w:szCs w:val="22"/>
          <w:color w:val="auto"/>
        </w:rPr>
        <w:t>“(b) “Cash Performance Award” means any cash bonus or incentive award opportunity (i) the amount or vesting of which is to be determined on based on the achievement of performance criteria over a performance period that is scheduled to exceed one (1) year in duration, and (ii) that is granted to the Executive prior to, or after, the Effective Date under the terms of any of the Company’s equity or long-term incentive award plans or agreements (including, without limitation, the Company’s 2005 Stock and Incentive Plan).”</w:t>
      </w:r>
    </w:p>
    <w:p>
      <w:pPr>
        <w:spacing w:after="0" w:line="180" w:lineRule="exact"/>
        <w:rPr>
          <w:sz w:val="20"/>
          <w:szCs w:val="20"/>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1(m) is hereby added to the Change of Control Agreement:</w:t>
      </w:r>
    </w:p>
    <w:p>
      <w:pPr>
        <w:spacing w:after="0" w:line="205" w:lineRule="exact"/>
        <w:rPr>
          <w:sz w:val="20"/>
          <w:szCs w:val="20"/>
          <w:color w:val="auto"/>
        </w:rPr>
      </w:pPr>
    </w:p>
    <w:p>
      <w:pPr>
        <w:ind w:left="760" w:right="760"/>
        <w:spacing w:after="0" w:line="258" w:lineRule="auto"/>
        <w:rPr>
          <w:sz w:val="20"/>
          <w:szCs w:val="20"/>
          <w:color w:val="auto"/>
        </w:rPr>
      </w:pPr>
      <w:r>
        <w:rPr>
          <w:rFonts w:ascii="Times New Roman" w:cs="Times New Roman" w:eastAsia="Times New Roman" w:hAnsi="Times New Roman"/>
          <w:sz w:val="22"/>
          <w:szCs w:val="22"/>
          <w:color w:val="auto"/>
        </w:rPr>
        <w:t>“(m) “Performance-Based Equity Award” means any Equity Award the amount or vesting of which is to be determined based on the achievement of performance criteria.”</w:t>
      </w:r>
    </w:p>
    <w:p>
      <w:pPr>
        <w:spacing w:after="0" w:line="157" w:lineRule="exact"/>
        <w:rPr>
          <w:sz w:val="20"/>
          <w:szCs w:val="20"/>
          <w:color w:val="auto"/>
        </w:rPr>
      </w:pPr>
    </w:p>
    <w:p>
      <w:pPr>
        <w:ind w:left="2040" w:hanging="535"/>
        <w:spacing w:after="0"/>
        <w:tabs>
          <w:tab w:leader="none" w:pos="20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3(a)(2) of the Change of Control Agreement is hereby replaced in its entirety with the following:</w:t>
      </w:r>
    </w:p>
    <w:p>
      <w:pPr>
        <w:spacing w:after="0" w:line="228" w:lineRule="exact"/>
        <w:rPr>
          <w:sz w:val="20"/>
          <w:szCs w:val="20"/>
          <w:color w:val="auto"/>
        </w:rPr>
      </w:pPr>
    </w:p>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“(2) the Executive will be fully vested in each outstanding Cash Performance Award and each outstanding Performance-Based Equity Award, with the performance criteria for each such Cash Performance Award or Performance-Based Equity Award deemed achieved at the greater of (A) target levels for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left="760" w:right="760"/>
        <w:spacing w:after="0" w:line="258" w:lineRule="auto"/>
        <w:rPr>
          <w:sz w:val="20"/>
          <w:szCs w:val="20"/>
          <w:color w:val="auto"/>
        </w:rPr>
      </w:pPr>
      <w:r>
        <w:rPr>
          <w:rFonts w:ascii="Times New Roman" w:cs="Times New Roman" w:eastAsia="Times New Roman" w:hAnsi="Times New Roman"/>
          <w:sz w:val="22"/>
          <w:szCs w:val="22"/>
          <w:color w:val="auto"/>
        </w:rPr>
        <w:t>performance period(s) or (B) actual performance as of the date immediately preceding the Executive’s termination date.”</w:t>
      </w:r>
    </w:p>
    <w:p>
      <w:pPr>
        <w:spacing w:after="0" w:line="157" w:lineRule="exact"/>
        <w:rPr>
          <w:sz w:val="20"/>
          <w:szCs w:val="20"/>
          <w:color w:val="auto"/>
        </w:rPr>
      </w:pPr>
    </w:p>
    <w:p>
      <w:pPr>
        <w:jc w:val="both"/>
        <w:ind w:firstLine="757"/>
        <w:spacing w:after="0" w:line="236" w:lineRule="auto"/>
        <w:tabs>
          <w:tab w:leader="none" w:pos="1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This Amendment shall only serve to amend and modify the Change of Control Agreement to the extent specifically provided herein. All terms, conditions, provisions and references of and to the Change of Control Agreement, which are not specifically modified, amended and/or waived herein, shall remain in full force and effect and shall not be altered by any provisions herein contained. All prior agreements, promises, negotiations and representations, either oral or written, relating to the subject matter of this Amendment that are not expressly set forth in this Amendment are of no force or effect.</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may be executed in one or more counterparts, each of which when executed and delivered shall be deemed to be an original and all counterparts taken together shall constitute one and the same instrument. This Amendment and the Change of Control Agreement (as amended hereby) constitute the entire understanding of the parties hereto with respect to the subject matter hereof, and any and all prior agreements and understandings between the parties regarding the subject matter hereof, whether written or oral, except for the Change of Control Agreement (as amended hereby), are superseded by this Amendment. Any provision of this Amendment that is invalid or unenforceable in any jurisdiction shall be ineffective to the extent of such invalidity or unenforceability without invalidating or rendering unenforceable the remaining provisions hereof, and any invalidity or unenforceability in any jurisdiction shall not invalidate or render unenforceable such provision in any other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IN WITNESS WHEREOF, the undersigned have duly executed this Amendment as of the date first written above.</w:t>
      </w:r>
    </w:p>
    <w:p>
      <w:pPr>
        <w:sectPr>
          <w:pgSz w:w="11900" w:h="16838" w:orient="portrait"/>
          <w:cols w:equalWidth="0" w:num="1">
            <w:col w:w="9860"/>
          </w:cols>
          <w:pgMar w:left="1080" w:top="355" w:right="959" w:bottom="1440" w:gutter="0" w:footer="0" w:header="0"/>
        </w:sectPr>
      </w:pPr>
    </w:p>
    <w:p>
      <w:pPr>
        <w:spacing w:after="0" w:line="2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Amy D. Husted</w:t>
      </w:r>
    </w:p>
    <w:p>
      <w:pPr>
        <w:spacing w:after="0" w:line="20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Amy D. Husted</w:t>
      </w:r>
    </w:p>
    <w:p>
      <w:pPr>
        <w:spacing w:after="0" w:line="14"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22"/>
          <w:szCs w:val="22"/>
          <w:color w:val="auto"/>
        </w:rPr>
        <w:t>Title: Vice President, General Counsel and Secretary</w:t>
      </w:r>
    </w:p>
    <w:p>
      <w:pPr>
        <w:spacing w:after="0" w:line="200" w:lineRule="exact"/>
        <w:rPr>
          <w:sz w:val="20"/>
          <w:szCs w:val="20"/>
          <w:color w:val="auto"/>
        </w:rPr>
      </w:pPr>
    </w:p>
    <w:p>
      <w:pPr>
        <w:spacing w:after="0" w:line="2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25177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David W. Grzebinski</w:t>
      </w:r>
    </w:p>
    <w:p>
      <w:pPr>
        <w:spacing w:after="0" w:line="1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to Change of Control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212090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80" w:top="355" w:right="95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CHANGE OF CONTROL AGREEMENT</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AMENDMENT TO CHANGE OF CONTROL AGREEMENT (this “Amendment”) is entered into as of March 6, 2023, by and between Kirby Corporation, a Nevada corporation (the “Company”), and Raj Kumar (“Executive”). Capitalized terms used and not otherwise defined herein shall have the meanings assigned to them in the Change of Control Agreement (as defined below).</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Change of Control Agreement, dated as of May 16, 2022 (the “Change of Control Agreement”); and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hereto desire to amend the Change of Control Agreement as provided in this Amendment.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intending to be legally bound, hereby agree to amend the Change of Control Agreement as follows:</w:t>
      </w:r>
    </w:p>
    <w:p>
      <w:pPr>
        <w:spacing w:after="0" w:line="172" w:lineRule="exact"/>
        <w:rPr>
          <w:sz w:val="20"/>
          <w:szCs w:val="20"/>
          <w:color w:val="auto"/>
        </w:rPr>
      </w:pPr>
    </w:p>
    <w:p>
      <w:pPr>
        <w:ind w:left="1020" w:hanging="263"/>
        <w:spacing w:after="0"/>
        <w:tabs>
          <w:tab w:leader="none" w:pos="10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1(b) through 1(k) of the Change of Control Agreement are hereby designated as Sections 1(c) through 1(l), and the following new Section 1(b) is hereby added to the Change of Control Agreement:</w:t>
      </w:r>
    </w:p>
    <w:p>
      <w:pPr>
        <w:spacing w:after="0" w:line="157" w:lineRule="exact"/>
        <w:rPr>
          <w:sz w:val="20"/>
          <w:szCs w:val="20"/>
          <w:color w:val="auto"/>
        </w:rPr>
      </w:pPr>
    </w:p>
    <w:p>
      <w:pPr>
        <w:jc w:val="both"/>
        <w:ind w:left="760" w:right="740"/>
        <w:spacing w:after="0" w:line="237" w:lineRule="auto"/>
        <w:rPr>
          <w:sz w:val="20"/>
          <w:szCs w:val="20"/>
          <w:color w:val="auto"/>
        </w:rPr>
      </w:pPr>
      <w:r>
        <w:rPr>
          <w:rFonts w:ascii="Times New Roman" w:cs="Times New Roman" w:eastAsia="Times New Roman" w:hAnsi="Times New Roman"/>
          <w:sz w:val="22"/>
          <w:szCs w:val="22"/>
          <w:color w:val="auto"/>
        </w:rPr>
        <w:t>“(b) “Cash Performance Award” means any cash bonus or incentive award opportunity (i) the amount or vesting of which is to be determined on based on the achievement of performance criteria over a performance period that is scheduled to exceed one (1) year in duration, and (ii) that is granted to the Executive prior to, or after, the Effective Date under the terms of any of the Company’s equity or long-term incentive award plans or agreements (including, without limitation, the Company’s 2005 Stock and Incentive Plan).”</w:t>
      </w:r>
    </w:p>
    <w:p>
      <w:pPr>
        <w:spacing w:after="0" w:line="180" w:lineRule="exact"/>
        <w:rPr>
          <w:sz w:val="20"/>
          <w:szCs w:val="20"/>
          <w:color w:val="auto"/>
        </w:rPr>
      </w:pPr>
    </w:p>
    <w:p>
      <w:pPr>
        <w:ind w:left="2040" w:hanging="535"/>
        <w:spacing w:after="0"/>
        <w:tabs>
          <w:tab w:leader="none" w:pos="20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1(m) is hereby added to the Change of Control Agreement:</w:t>
      </w:r>
    </w:p>
    <w:p>
      <w:pPr>
        <w:spacing w:after="0" w:line="205" w:lineRule="exact"/>
        <w:rPr>
          <w:sz w:val="20"/>
          <w:szCs w:val="20"/>
          <w:color w:val="auto"/>
        </w:rPr>
      </w:pPr>
    </w:p>
    <w:p>
      <w:pPr>
        <w:ind w:left="760" w:right="760"/>
        <w:spacing w:after="0" w:line="258" w:lineRule="auto"/>
        <w:rPr>
          <w:sz w:val="20"/>
          <w:szCs w:val="20"/>
          <w:color w:val="auto"/>
        </w:rPr>
      </w:pPr>
      <w:r>
        <w:rPr>
          <w:rFonts w:ascii="Times New Roman" w:cs="Times New Roman" w:eastAsia="Times New Roman" w:hAnsi="Times New Roman"/>
          <w:sz w:val="22"/>
          <w:szCs w:val="22"/>
          <w:color w:val="auto"/>
        </w:rPr>
        <w:t>“(m) “Performance-Based Equity Award” means any Equity Award the amount or vesting of which is to be determined based on the achievement of performance criteria.”</w:t>
      </w:r>
    </w:p>
    <w:p>
      <w:pPr>
        <w:spacing w:after="0" w:line="157" w:lineRule="exact"/>
        <w:rPr>
          <w:sz w:val="20"/>
          <w:szCs w:val="20"/>
          <w:color w:val="auto"/>
        </w:rPr>
      </w:pPr>
    </w:p>
    <w:p>
      <w:pPr>
        <w:ind w:left="2040" w:hanging="535"/>
        <w:spacing w:after="0"/>
        <w:tabs>
          <w:tab w:leader="none" w:pos="20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3(a)(2) of the Change of Control Agreement is hereby replaced in its entirety with the following:</w:t>
      </w:r>
    </w:p>
    <w:p>
      <w:pPr>
        <w:spacing w:after="0" w:line="228" w:lineRule="exact"/>
        <w:rPr>
          <w:sz w:val="20"/>
          <w:szCs w:val="20"/>
          <w:color w:val="auto"/>
        </w:rPr>
      </w:pPr>
    </w:p>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“(2) the Executive will be fully vested in each outstanding Cash Performance Award and each outstanding Performance-Based Equity Award, with the performance criteria for each such Cash Performance Award or Performance-Based Equity Award deemed achieved at the greater of (A) target levels for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ind w:left="760" w:right="760"/>
        <w:spacing w:after="0" w:line="258" w:lineRule="auto"/>
        <w:rPr>
          <w:sz w:val="20"/>
          <w:szCs w:val="20"/>
          <w:color w:val="auto"/>
        </w:rPr>
      </w:pPr>
      <w:r>
        <w:rPr>
          <w:rFonts w:ascii="Times New Roman" w:cs="Times New Roman" w:eastAsia="Times New Roman" w:hAnsi="Times New Roman"/>
          <w:sz w:val="22"/>
          <w:szCs w:val="22"/>
          <w:color w:val="auto"/>
        </w:rPr>
        <w:t>performance period(s) or (B) actual performance as of the date immediately preceding the Executive’s termination date.”</w:t>
      </w:r>
    </w:p>
    <w:p>
      <w:pPr>
        <w:spacing w:after="0" w:line="157" w:lineRule="exact"/>
        <w:rPr>
          <w:sz w:val="20"/>
          <w:szCs w:val="20"/>
          <w:color w:val="auto"/>
        </w:rPr>
      </w:pPr>
    </w:p>
    <w:p>
      <w:pPr>
        <w:jc w:val="both"/>
        <w:ind w:firstLine="757"/>
        <w:spacing w:after="0" w:line="236"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This Amendment shall only serve to amend and modify the Change of Control Agreement to the extent specifically provided herein. All terms, conditions, provisions and references of and to the Change of Control Agreement, which are not specifically modified, amended and/or waived herein, shall remain in full force and effect and shall not be altered by any provisions herein contained. All prior agreements, promises, negotiations and representations, either oral or written, relating to the subject matter of this Amendment that are not expressly set forth in this Amendment are of no force or effect.</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may be executed in one or more counterparts, each of which when executed and delivered shall be deemed to be an original and all counterparts taken together shall constitute one and the same instrument. This Amendment and the Change of Control Agreement (as amended hereby) constitute the entire understanding of the parties hereto with respect to the subject matter hereof, and any and all prior agreements and understandings between the parties regarding the subject matter hereof, whether written or oral, except for the Change of Control Agreement (as amended hereby), are superseded by this Amendment. Any provision of this Amendment that is invalid or unenforceable in any jurisdiction shall be ineffective to the extent of such invalidity or unenforceability without invalidating or rendering unenforceable the remaining provisions hereof, and any invalidity or unenforceability in any jurisdiction shall not invalidate or render unenforceable such provision in any other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IN WITNESS WHEREOF, the undersigned have duly executed this Amendment as of the date first written above.</w:t>
      </w:r>
    </w:p>
    <w:p>
      <w:pPr>
        <w:sectPr>
          <w:pgSz w:w="11900" w:h="16838" w:orient="portrait"/>
          <w:cols w:equalWidth="0" w:num="1">
            <w:col w:w="9860"/>
          </w:cols>
          <w:pgMar w:left="1080" w:top="355" w:right="959" w:bottom="1440" w:gutter="0" w:footer="0" w:header="0"/>
        </w:sectPr>
      </w:pPr>
    </w:p>
    <w:p>
      <w:pPr>
        <w:spacing w:after="0" w:line="2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Amy D. Husted</w:t>
      </w:r>
    </w:p>
    <w:p>
      <w:pPr>
        <w:spacing w:after="0" w:line="23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Amy D. Husted</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Title: Vice President, General Counsel and Secretary</w:t>
      </w:r>
    </w:p>
    <w:p>
      <w:pPr>
        <w:spacing w:after="0" w:line="200" w:lineRule="exact"/>
        <w:rPr>
          <w:sz w:val="20"/>
          <w:szCs w:val="20"/>
          <w:color w:val="auto"/>
        </w:rPr>
      </w:pPr>
    </w:p>
    <w:p>
      <w:pPr>
        <w:spacing w:after="0" w:line="24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23780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Raj Kumar</w:t>
      </w:r>
    </w:p>
    <w:p>
      <w:pPr>
        <w:spacing w:after="0" w:line="1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to Change of Control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212090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80" w:top="355" w:right="95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CHANGE OF CONTROL AGREEMENT</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AMENDMENT TO CHANGE OF CONTROL AGREEMENT (this “Amendment”) is entered into as of March 6, 2023, by and between Kirby Corporation, a Nevada corporation (the “Company”), and Christian G. O’Neil (“Executive”). Capitalized terms used and not otherwise defined herein shall have the meanings assigned to them in the Change of Control Agreement (as defined below).</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Change of Control Agreement, dated as of May 16, 2022 (the “Change of Control Agreement”); and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hereto desire to amend the Change of Control Agreement as provided in this Amendment.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intending to be legally bound, hereby agree to amend the Change of Control Agreement as follows:</w:t>
      </w:r>
    </w:p>
    <w:p>
      <w:pPr>
        <w:spacing w:after="0" w:line="172" w:lineRule="exact"/>
        <w:rPr>
          <w:sz w:val="20"/>
          <w:szCs w:val="20"/>
          <w:color w:val="auto"/>
        </w:rPr>
      </w:pPr>
    </w:p>
    <w:p>
      <w:pPr>
        <w:ind w:left="1020" w:hanging="263"/>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1(b) through 1(k) of the Change of Control Agreement are hereby designated as Sections 1(c) through 1(l), and the following new Section 1(b) is hereby added to the Change of Control Agreement:</w:t>
      </w:r>
    </w:p>
    <w:p>
      <w:pPr>
        <w:spacing w:after="0" w:line="157" w:lineRule="exact"/>
        <w:rPr>
          <w:sz w:val="20"/>
          <w:szCs w:val="20"/>
          <w:color w:val="auto"/>
        </w:rPr>
      </w:pPr>
    </w:p>
    <w:p>
      <w:pPr>
        <w:jc w:val="both"/>
        <w:ind w:left="760" w:right="740"/>
        <w:spacing w:after="0" w:line="237" w:lineRule="auto"/>
        <w:rPr>
          <w:sz w:val="20"/>
          <w:szCs w:val="20"/>
          <w:color w:val="auto"/>
        </w:rPr>
      </w:pPr>
      <w:r>
        <w:rPr>
          <w:rFonts w:ascii="Times New Roman" w:cs="Times New Roman" w:eastAsia="Times New Roman" w:hAnsi="Times New Roman"/>
          <w:sz w:val="22"/>
          <w:szCs w:val="22"/>
          <w:color w:val="auto"/>
        </w:rPr>
        <w:t>“(b) “Cash Performance Award” means any cash bonus or incentive award opportunity (i) the amount or vesting of which is to be determined on based on the achievement of performance criteria over a performance period that is scheduled to exceed one (1) year in duration, and (ii) that is granted to the Executive prior to, or after, the Effective Date under the terms of any of the Company’s equity or long-term incentive award plans or agreements (including, without limitation, the Company’s 2005 Stock and Incentive Plan).”</w:t>
      </w:r>
    </w:p>
    <w:p>
      <w:pPr>
        <w:spacing w:after="0" w:line="180" w:lineRule="exact"/>
        <w:rPr>
          <w:sz w:val="20"/>
          <w:szCs w:val="20"/>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1(m) is hereby added to the Change of Control Agreement:</w:t>
      </w:r>
    </w:p>
    <w:p>
      <w:pPr>
        <w:spacing w:after="0" w:line="205" w:lineRule="exact"/>
        <w:rPr>
          <w:sz w:val="20"/>
          <w:szCs w:val="20"/>
          <w:color w:val="auto"/>
        </w:rPr>
      </w:pPr>
    </w:p>
    <w:p>
      <w:pPr>
        <w:ind w:left="760" w:right="760"/>
        <w:spacing w:after="0" w:line="258" w:lineRule="auto"/>
        <w:rPr>
          <w:sz w:val="20"/>
          <w:szCs w:val="20"/>
          <w:color w:val="auto"/>
        </w:rPr>
      </w:pPr>
      <w:r>
        <w:rPr>
          <w:rFonts w:ascii="Times New Roman" w:cs="Times New Roman" w:eastAsia="Times New Roman" w:hAnsi="Times New Roman"/>
          <w:sz w:val="22"/>
          <w:szCs w:val="22"/>
          <w:color w:val="auto"/>
        </w:rPr>
        <w:t>“(m) “Performance-Based Equity Award” means any Equity Award the amount or vesting of which is to be determined based on the achievement of performance criteria.”</w:t>
      </w:r>
    </w:p>
    <w:p>
      <w:pPr>
        <w:spacing w:after="0" w:line="157" w:lineRule="exact"/>
        <w:rPr>
          <w:sz w:val="20"/>
          <w:szCs w:val="20"/>
          <w:color w:val="auto"/>
        </w:rPr>
      </w:pPr>
    </w:p>
    <w:p>
      <w:pPr>
        <w:ind w:left="2040" w:hanging="535"/>
        <w:spacing w:after="0"/>
        <w:tabs>
          <w:tab w:leader="none" w:pos="20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3(a)(2) of the Change of Control Agreement is hereby replaced in its entirety with the following:</w:t>
      </w:r>
    </w:p>
    <w:p>
      <w:pPr>
        <w:spacing w:after="0" w:line="228" w:lineRule="exact"/>
        <w:rPr>
          <w:sz w:val="20"/>
          <w:szCs w:val="20"/>
          <w:color w:val="auto"/>
        </w:rPr>
      </w:pPr>
    </w:p>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“(2) the Executive will be fully vested in each outstanding Cash Performance Award and each outstanding Performance-Based Equity Award, with the performance criteria for each such Cash Performance Award or Performance-Based Equity Award deemed achieved at the greater of (A) target levels for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ind w:left="760" w:right="760"/>
        <w:spacing w:after="0" w:line="258" w:lineRule="auto"/>
        <w:rPr>
          <w:sz w:val="20"/>
          <w:szCs w:val="20"/>
          <w:color w:val="auto"/>
        </w:rPr>
      </w:pPr>
      <w:r>
        <w:rPr>
          <w:rFonts w:ascii="Times New Roman" w:cs="Times New Roman" w:eastAsia="Times New Roman" w:hAnsi="Times New Roman"/>
          <w:sz w:val="22"/>
          <w:szCs w:val="22"/>
          <w:color w:val="auto"/>
        </w:rPr>
        <w:t>performance period(s) or (B) actual performance as of the date immediately preceding the Executive’s termination date.”</w:t>
      </w:r>
    </w:p>
    <w:p>
      <w:pPr>
        <w:spacing w:after="0" w:line="157" w:lineRule="exact"/>
        <w:rPr>
          <w:sz w:val="20"/>
          <w:szCs w:val="20"/>
          <w:color w:val="auto"/>
        </w:rPr>
      </w:pPr>
    </w:p>
    <w:p>
      <w:pPr>
        <w:jc w:val="both"/>
        <w:ind w:firstLine="757"/>
        <w:spacing w:after="0" w:line="236" w:lineRule="auto"/>
        <w:tabs>
          <w:tab w:leader="none" w:pos="101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This Amendment shall only serve to amend and modify the Change of Control Agreement to the extent specifically provided herein. All terms, conditions, provisions and references of and to the Change of Control Agreement, which are not specifically modified, amended and/or waived herein, shall remain in full force and effect and shall not be altered by any provisions herein contained. All prior agreements, promises, negotiations and representations, either oral or written, relating to the subject matter of this Amendment that are not expressly set forth in this Amendment are of no force or effect.</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may be executed in one or more counterparts, each of which when executed and delivered shall be deemed to be an original and all counterparts taken together shall constitute one and the same instrument. This Amendment and the Change of Control Agreement (as amended hereby) constitute the entire understanding of the parties hereto with respect to the subject matter hereof, and any and all prior agreements and understandings between the parties regarding the subject matter hereof, whether written or oral, except for the Change of Control Agreement (as amended hereby), are superseded by this Amendment. Any provision of this Amendment that is invalid or unenforceable in any jurisdiction shall be ineffective to the extent of such invalidity or unenforceability without invalidating or rendering unenforceable the remaining provisions hereof, and any invalidity or unenforceability in any jurisdiction shall not invalidate or render unenforceable such provision in any other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IN WITNESS WHEREOF, the undersigned have duly executed this Amendment as of the date first written above.</w:t>
      </w:r>
    </w:p>
    <w:p>
      <w:pPr>
        <w:sectPr>
          <w:pgSz w:w="11900" w:h="16838" w:orient="portrait"/>
          <w:cols w:equalWidth="0" w:num="1">
            <w:col w:w="9860"/>
          </w:cols>
          <w:pgMar w:left="1080" w:top="355" w:right="959" w:bottom="1440" w:gutter="0" w:footer="0" w:header="0"/>
        </w:sectPr>
      </w:pPr>
    </w:p>
    <w:p>
      <w:pPr>
        <w:spacing w:after="0" w:line="2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Amy D. Husted</w:t>
      </w:r>
    </w:p>
    <w:p>
      <w:pPr>
        <w:spacing w:after="0" w:line="23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Amy D. Husted</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Title: Vice President, General Counsel and Secretary</w:t>
      </w:r>
    </w:p>
    <w:p>
      <w:pPr>
        <w:spacing w:after="0" w:line="200" w:lineRule="exact"/>
        <w:rPr>
          <w:sz w:val="20"/>
          <w:szCs w:val="20"/>
          <w:color w:val="auto"/>
        </w:rPr>
      </w:pPr>
    </w:p>
    <w:p>
      <w:pPr>
        <w:spacing w:after="0" w:line="24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Christian G.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23780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Christian G. O’Neil</w:t>
      </w:r>
    </w:p>
    <w:p>
      <w:pPr>
        <w:spacing w:after="0" w:line="1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to Change of Control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212090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80" w:top="355" w:right="95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6" w:lineRule="exact"/>
        <w:rPr>
          <w:sz w:val="20"/>
          <w:szCs w:val="20"/>
          <w:color w:val="auto"/>
        </w:rPr>
      </w:pPr>
    </w:p>
    <w:p>
      <w:pPr>
        <w:ind w:left="380" w:right="60"/>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2023 by Kirby Corporation, David W. Grzebinski certifies that:</w:t>
      </w:r>
    </w:p>
    <w:p>
      <w:pPr>
        <w:spacing w:after="0" w:line="55"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 w:hanging="372"/>
        <w:spacing w:after="0" w:line="265"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78"/>
        <w:spacing w:after="0" w:line="312" w:lineRule="auto"/>
        <w:tabs>
          <w:tab w:leader="none" w:pos="7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300" w:hanging="372"/>
        <w:spacing w:after="0" w:line="28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6" w:lineRule="exact"/>
        <w:rPr>
          <w:sz w:val="20"/>
          <w:szCs w:val="20"/>
          <w:color w:val="auto"/>
        </w:rPr>
      </w:pPr>
    </w:p>
    <w:p>
      <w:pPr>
        <w:ind w:left="380" w:right="160"/>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2023 by Kirby Corporation, Raj Kumar certifies that:</w:t>
      </w:r>
    </w:p>
    <w:p>
      <w:pPr>
        <w:spacing w:after="0" w:line="55"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 w:hanging="372"/>
        <w:spacing w:after="0" w:line="265"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78"/>
        <w:spacing w:after="0" w:line="312" w:lineRule="auto"/>
        <w:tabs>
          <w:tab w:leader="none" w:pos="7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300" w:hanging="372"/>
        <w:spacing w:after="0" w:line="28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06"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2023 (the “Report”) by Kirby Corporation (the “Company”), each of the undersigned hereby certifies that:</w:t>
      </w:r>
    </w:p>
    <w:p>
      <w:pPr>
        <w:spacing w:after="0" w:line="55"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8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12"/>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decimal"/>
      <w:start w:val="13"/>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decimal"/>
      <w:start w:val="1"/>
    </w:lvl>
    <w:lvl w:ilvl="1">
      <w:lvlJc w:val="left"/>
      <w:lvlText w:val="(%2)"/>
      <w:numFmt w:val="lowerLetter"/>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1)"/>
      <w:numFmt w:val="lowerLetter"/>
      <w:start w:val="3"/>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16" Type="http://schemas.openxmlformats.org/officeDocument/2006/relationships/hyperlink" Target="https://www.sec.gov/Archives/edgar/data/56047/000114036115008395/ex3_1.htm" TargetMode="External"/><Relationship Id="rId217" Type="http://schemas.openxmlformats.org/officeDocument/2006/relationships/hyperlink" Target="https://www.sec.gov/Archives/edgar/data/56047/000095017022020426/kex-ex3_1.htm" TargetMode="External"/><Relationship Id="rId218" Type="http://schemas.openxmlformats.org/officeDocument/2006/relationships/hyperlink" Target="https://www.sec.gov/Archives/edgar/data/56047/000095017023003306/kex-ex10_6.htm" TargetMode="External"/><Relationship Id="rId219" Type="http://schemas.openxmlformats.org/officeDocument/2006/relationships/hyperlink" Target="https://www.sec.gov/Archives/edgar/data/56047/000095017023009778/kex-ex10_1.htm" TargetMode="External"/><Relationship Id="rId220" Type="http://schemas.openxmlformats.org/officeDocument/2006/relationships/hyperlink" Target="https://www.sec.gov/Archives/edgar/data/56047/000095017023001792/ke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2023-05-08T13:27:48Z</dcterms:created>
  <dcterms:modified xsi:type="dcterms:W3CDTF">2023-05-08T13:27:48Z</dcterms:modified>
</cp:coreProperties>
</file>