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4"/>
          <w:szCs w:val="24"/>
          <w:color w:val="auto"/>
        </w:rPr>
      </w:pPr>
    </w:p>
    <w:p>
      <w:pPr>
        <w:ind w:left="486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ind w:left="18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32"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9" w:lineRule="exact"/>
        <w:rPr>
          <w:sz w:val="24"/>
          <w:szCs w:val="24"/>
          <w:color w:val="auto"/>
        </w:rPr>
      </w:pPr>
    </w:p>
    <w:p>
      <w:pPr>
        <w:ind w:left="180"/>
        <w:spacing w:after="0"/>
        <w:rPr>
          <w:sz w:val="20"/>
          <w:szCs w:val="20"/>
          <w:color w:val="auto"/>
        </w:rPr>
      </w:pPr>
      <w:r>
        <w:rPr>
          <w:rFonts w:ascii="Arial" w:cs="Arial" w:eastAsia="Arial" w:hAnsi="Arial"/>
          <w:sz w:val="18"/>
          <w:szCs w:val="18"/>
          <w:color w:val="auto"/>
        </w:rPr>
        <w:t>Transition report pursuant to Section 13 or 15(d) of the Securities Exchange Act of 1934</w:t>
      </w:r>
    </w:p>
    <w:p>
      <w:pPr>
        <w:spacing w:after="0" w:line="36" w:lineRule="exact"/>
        <w:rPr>
          <w:sz w:val="24"/>
          <w:szCs w:val="24"/>
          <w:color w:val="auto"/>
        </w:rPr>
      </w:pPr>
    </w:p>
    <w:p>
      <w:pPr>
        <w:ind w:left="4340"/>
        <w:spacing w:after="0"/>
        <w:tabs>
          <w:tab w:leader="none" w:pos="67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1-7615</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tbl>
      <w:tblPr>
        <w:tblLayout w:type="fixed"/>
        <w:tblInd w:w="620" w:type="dxa"/>
        <w:tblCellMar>
          <w:top w:w="0" w:type="dxa"/>
          <w:left w:w="0" w:type="dxa"/>
          <w:bottom w:w="0" w:type="dxa"/>
          <w:right w:w="0" w:type="dxa"/>
        </w:tblCellMar>
      </w:tblPr>
      <w:tr>
        <w:trPr>
          <w:trHeight w:val="233"/>
        </w:trPr>
        <w:tc>
          <w:tcPr>
            <w:tcW w:w="54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0"/>
              </w:rPr>
              <w:t>Nevada</w:t>
            </w:r>
          </w:p>
        </w:tc>
        <w:tc>
          <w:tcPr>
            <w:tcW w:w="376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74-1884980</w:t>
            </w:r>
          </w:p>
        </w:tc>
      </w:tr>
      <w:tr>
        <w:trPr>
          <w:trHeight w:val="257"/>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333"/>
        </w:trPr>
        <w:tc>
          <w:tcPr>
            <w:tcW w:w="54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1"/>
              </w:rPr>
              <w:t>55 Waugh Drive, Suite 1000</w:t>
            </w:r>
          </w:p>
        </w:tc>
        <w:tc>
          <w:tcPr>
            <w:tcW w:w="3760" w:type="dxa"/>
            <w:vAlign w:val="bottom"/>
          </w:tcPr>
          <w:p>
            <w:pPr>
              <w:spacing w:after="0"/>
              <w:rPr>
                <w:sz w:val="24"/>
                <w:szCs w:val="24"/>
                <w:color w:val="auto"/>
              </w:rPr>
            </w:pPr>
          </w:p>
        </w:tc>
      </w:tr>
      <w:tr>
        <w:trPr>
          <w:trHeight w:val="234"/>
        </w:trPr>
        <w:tc>
          <w:tcPr>
            <w:tcW w:w="5420" w:type="dxa"/>
            <w:vAlign w:val="bottom"/>
          </w:tcPr>
          <w:p>
            <w:pPr>
              <w:jc w:val="center"/>
              <w:ind w:right="1010"/>
              <w:spacing w:after="0"/>
              <w:rPr>
                <w:sz w:val="20"/>
                <w:szCs w:val="20"/>
                <w:color w:val="auto"/>
              </w:rPr>
            </w:pPr>
            <w:r>
              <w:rPr>
                <w:rFonts w:ascii="Arial" w:cs="Arial" w:eastAsia="Arial" w:hAnsi="Arial"/>
                <w:sz w:val="18"/>
                <w:szCs w:val="18"/>
                <w:b w:val="1"/>
                <w:bCs w:val="1"/>
                <w:color w:val="auto"/>
                <w:w w:val="94"/>
              </w:rPr>
              <w:t>Houston, TX</w:t>
            </w:r>
          </w:p>
        </w:tc>
        <w:tc>
          <w:tcPr>
            <w:tcW w:w="3760" w:type="dxa"/>
            <w:vAlign w:val="bottom"/>
          </w:tcPr>
          <w:p>
            <w:pPr>
              <w:jc w:val="center"/>
              <w:ind w:left="1030"/>
              <w:spacing w:after="0"/>
              <w:rPr>
                <w:sz w:val="20"/>
                <w:szCs w:val="20"/>
                <w:color w:val="auto"/>
              </w:rPr>
            </w:pPr>
            <w:r>
              <w:rPr>
                <w:rFonts w:ascii="Arial" w:cs="Arial" w:eastAsia="Arial" w:hAnsi="Arial"/>
                <w:sz w:val="18"/>
                <w:szCs w:val="18"/>
                <w:b w:val="1"/>
                <w:bCs w:val="1"/>
                <w:color w:val="auto"/>
                <w:w w:val="87"/>
              </w:rPr>
              <w:t>77007</w:t>
            </w:r>
          </w:p>
        </w:tc>
      </w:tr>
      <w:tr>
        <w:trPr>
          <w:trHeight w:val="257"/>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30"/>
              <w:spacing w:after="0"/>
              <w:rPr>
                <w:sz w:val="20"/>
                <w:szCs w:val="20"/>
                <w:color w:val="auto"/>
              </w:rPr>
            </w:pPr>
            <w:r>
              <w:rPr>
                <w:rFonts w:ascii="Arial" w:cs="Arial" w:eastAsia="Arial" w:hAnsi="Arial"/>
                <w:sz w:val="18"/>
                <w:szCs w:val="18"/>
                <w:color w:val="auto"/>
                <w:w w:val="94"/>
              </w:rPr>
              <w:t>(Zip Code)</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713-435-1000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Change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1"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4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KEX</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80" w:lineRule="exact"/>
        <w:rPr>
          <w:sz w:val="24"/>
          <w:szCs w:val="24"/>
          <w:color w:val="auto"/>
        </w:rPr>
      </w:pPr>
    </w:p>
    <w:p>
      <w:pPr>
        <w:ind w:right="300"/>
        <w:spacing w:after="0" w:line="27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196" w:lineRule="exact"/>
        <w:rPr>
          <w:sz w:val="24"/>
          <w:szCs w:val="24"/>
          <w:color w:val="auto"/>
        </w:rPr>
      </w:pPr>
    </w:p>
    <w:p>
      <w:pPr>
        <w:ind w:right="240"/>
        <w:spacing w:after="0" w:line="279"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and post such files). Yes No</w:t>
      </w:r>
    </w:p>
    <w:p>
      <w:pPr>
        <w:spacing w:after="0" w:line="196" w:lineRule="exact"/>
        <w:rPr>
          <w:sz w:val="24"/>
          <w:szCs w:val="24"/>
          <w:color w:val="auto"/>
        </w:rPr>
      </w:pPr>
    </w:p>
    <w:p>
      <w:pPr>
        <w:ind w:right="320"/>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00" w:right="339" w:bottom="1440" w:gutter="0" w:footer="0" w:header="0"/>
        </w:sectPr>
      </w:pPr>
    </w:p>
    <w:p>
      <w:pPr>
        <w:spacing w:after="0" w:line="61"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73" w:lineRule="exact"/>
        <w:rPr>
          <w:sz w:val="24"/>
          <w:szCs w:val="24"/>
          <w:color w:val="auto"/>
        </w:rPr>
      </w:pPr>
    </w:p>
    <w:p>
      <w:pPr>
        <w:ind w:left="2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140" w:lineRule="exact"/>
        <w:rPr>
          <w:sz w:val="24"/>
          <w:szCs w:val="24"/>
          <w:color w:val="auto"/>
        </w:rPr>
      </w:pPr>
    </w:p>
    <w:p>
      <w:pPr>
        <w:sectPr>
          <w:pgSz w:w="11900" w:h="16838" w:orient="portrait"/>
          <w:cols w:equalWidth="0" w:num="2">
            <w:col w:w="7180" w:space="720"/>
            <w:col w:w="3340"/>
          </w:cols>
          <w:pgMar w:left="320" w:top="900" w:right="339" w:bottom="1440" w:gutter="0" w:footer="0" w:header="0"/>
          <w:type w:val="continuous"/>
        </w:sectPr>
      </w:pPr>
    </w:p>
    <w:p>
      <w:pPr>
        <w:spacing w:after="0" w:line="293"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3" w:lineRule="exact"/>
        <w:rPr>
          <w:sz w:val="24"/>
          <w:szCs w:val="24"/>
          <w:color w:val="auto"/>
        </w:rPr>
      </w:pPr>
    </w:p>
    <w:p>
      <w:pPr>
        <w:spacing w:after="0"/>
        <w:tabs>
          <w:tab w:leader="none" w:pos="86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w:t>
        <w:tab/>
        <w:t>No</w:t>
      </w: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auto"/>
        </w:rPr>
        <w:t>As of August 4, 2021, 60,109,000 shares of the Registrant’s $0.10 par value per share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6"/>
        </w:trPr>
        <w:tc>
          <w:tcPr>
            <w:tcW w:w="8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 in thousands)</w:t>
            </w:r>
          </w:p>
        </w:tc>
      </w:tr>
      <w:tr>
        <w:trPr>
          <w:trHeight w:val="263"/>
        </w:trPr>
        <w:tc>
          <w:tcPr>
            <w:tcW w:w="8160" w:type="dxa"/>
            <w:vAlign w:val="bottom"/>
            <w:shd w:val="clear" w:color="auto" w:fill="CFF0FC"/>
          </w:tcPr>
          <w:p>
            <w:pPr>
              <w:ind w:left="368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53,052</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80,338</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Trade – less allowance for doubtful accounts</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352,372</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315,283</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165,478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284,899</w:t>
            </w: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 – net</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325,545</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309,675</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66,696</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57,776</w:t>
            </w:r>
          </w:p>
        </w:tc>
        <w:tc>
          <w:tcPr>
            <w:tcW w:w="100" w:type="dxa"/>
            <w:vAlign w:val="bottom"/>
          </w:tcPr>
          <w:p>
            <w:pPr>
              <w:spacing w:after="0"/>
              <w:rPr>
                <w:sz w:val="21"/>
                <w:szCs w:val="21"/>
                <w:color w:val="auto"/>
              </w:rPr>
            </w:pPr>
          </w:p>
        </w:tc>
      </w:tr>
      <w:tr>
        <w:trPr>
          <w:trHeight w:val="250"/>
        </w:trPr>
        <w:tc>
          <w:tcPr>
            <w:tcW w:w="81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963,143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1,047,971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35"/>
        </w:trPr>
        <w:tc>
          <w:tcPr>
            <w:tcW w:w="8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7"/>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5,593,651</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5,615,400</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Accumulated depreciation</w:t>
            </w:r>
          </w:p>
        </w:tc>
        <w:tc>
          <w:tcPr>
            <w:tcW w:w="26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(1,730,845 )</w:t>
            </w:r>
          </w:p>
        </w:tc>
        <w:tc>
          <w:tcPr>
            <w:tcW w:w="18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(1,698,330 )</w:t>
            </w:r>
          </w:p>
        </w:tc>
      </w:tr>
      <w:tr>
        <w:trPr>
          <w:trHeight w:val="250"/>
        </w:trPr>
        <w:tc>
          <w:tcPr>
            <w:tcW w:w="81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Property and equipment – net</w:t>
            </w: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3,862,806</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3,917,070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35"/>
        </w:trPr>
        <w:tc>
          <w:tcPr>
            <w:tcW w:w="8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7"/>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164,911</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174,317</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657,800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657,800</w:t>
            </w: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intangibles, net</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64,397</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68,979</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54,758</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58,037</w:t>
            </w:r>
          </w:p>
        </w:tc>
        <w:tc>
          <w:tcPr>
            <w:tcW w:w="100" w:type="dxa"/>
            <w:vAlign w:val="bottom"/>
          </w:tcPr>
          <w:p>
            <w:pPr>
              <w:spacing w:after="0"/>
              <w:rPr>
                <w:sz w:val="21"/>
                <w:szCs w:val="21"/>
                <w:color w:val="auto"/>
              </w:rPr>
            </w:pPr>
          </w:p>
        </w:tc>
      </w:tr>
      <w:tr>
        <w:trPr>
          <w:trHeight w:val="290"/>
        </w:trPr>
        <w:tc>
          <w:tcPr>
            <w:tcW w:w="81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5,767,815</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5,924,174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22"/>
        </w:trPr>
        <w:tc>
          <w:tcPr>
            <w:tcW w:w="8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7"/>
        </w:trPr>
        <w:tc>
          <w:tcPr>
            <w:tcW w:w="8160" w:type="dxa"/>
            <w:vAlign w:val="bottom"/>
            <w:shd w:val="clear" w:color="auto" w:fill="CFF0FC"/>
          </w:tcPr>
          <w:p>
            <w:pPr>
              <w:ind w:left="206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Bank notes payable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497</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188,724</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162,507</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231,603</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224,855</w:t>
            </w: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31,963</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32,750</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Deferred revenues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44,018</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45,406</w:t>
            </w:r>
          </w:p>
        </w:tc>
        <w:tc>
          <w:tcPr>
            <w:tcW w:w="100" w:type="dxa"/>
            <w:vAlign w:val="bottom"/>
          </w:tcPr>
          <w:p>
            <w:pPr>
              <w:spacing w:after="0"/>
              <w:rPr>
                <w:sz w:val="21"/>
                <w:szCs w:val="21"/>
                <w:color w:val="auto"/>
              </w:rPr>
            </w:pPr>
          </w:p>
        </w:tc>
      </w:tr>
      <w:tr>
        <w:trPr>
          <w:trHeight w:val="250"/>
        </w:trPr>
        <w:tc>
          <w:tcPr>
            <w:tcW w:w="81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498,222</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466,032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35"/>
        </w:trPr>
        <w:tc>
          <w:tcPr>
            <w:tcW w:w="8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7"/>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net – less current portion</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1,274,262</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1,468,546</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612,682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606,844</w:t>
            </w: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 less current portion</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153,457</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163,496</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123,863</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131,703</w:t>
            </w:r>
          </w:p>
        </w:tc>
        <w:tc>
          <w:tcPr>
            <w:tcW w:w="100" w:type="dxa"/>
            <w:vAlign w:val="bottom"/>
          </w:tcPr>
          <w:p>
            <w:pPr>
              <w:spacing w:after="0"/>
              <w:rPr>
                <w:sz w:val="21"/>
                <w:szCs w:val="21"/>
                <w:color w:val="auto"/>
              </w:rPr>
            </w:pPr>
          </w:p>
        </w:tc>
      </w:tr>
      <w:tr>
        <w:trPr>
          <w:trHeight w:val="250"/>
        </w:trPr>
        <w:tc>
          <w:tcPr>
            <w:tcW w:w="81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2,164,264</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2,370,589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35"/>
        </w:trPr>
        <w:tc>
          <w:tcPr>
            <w:tcW w:w="8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r>
      <w:tr>
        <w:trPr>
          <w:trHeight w:val="256"/>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Contingencies and commitments</w:t>
            </w: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35"/>
        </w:trPr>
        <w:tc>
          <w:tcPr>
            <w:tcW w:w="8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7"/>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Kirby stockholders’ equity:</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3"/>
              </w:rPr>
              <w:t>Common stock, $0.10 par value per share. Authorized 120,000,000 shares, issued 65,472,000 shares</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848,081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844,979</w:t>
            </w: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Accumulated other comprehensive income – net</w:t>
            </w: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(57,683 )</w:t>
            </w:r>
          </w:p>
        </w:tc>
        <w:tc>
          <w:tcPr>
            <w:tcW w:w="1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(61,452 )</w:t>
            </w: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2,600,208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2,593,393</w:t>
            </w:r>
          </w:p>
        </w:tc>
        <w:tc>
          <w:tcPr>
            <w:tcW w:w="100" w:type="dxa"/>
            <w:vAlign w:val="bottom"/>
          </w:tcPr>
          <w:p>
            <w:pPr>
              <w:spacing w:after="0"/>
              <w:rPr>
                <w:sz w:val="21"/>
                <w:szCs w:val="21"/>
                <w:color w:val="auto"/>
              </w:rPr>
            </w:pPr>
          </w:p>
        </w:tc>
      </w:tr>
      <w:tr>
        <w:trPr>
          <w:trHeight w:val="257"/>
        </w:trPr>
        <w:tc>
          <w:tcPr>
            <w:tcW w:w="816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7"/>
              </w:rPr>
              <w:t>Treasury stock – at cost, 5,366,000 shares at June 30, 2021 and 5,434,000 at December 31, 2020</w:t>
            </w: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(295,463 )</w:t>
            </w:r>
          </w:p>
        </w:tc>
        <w:tc>
          <w:tcPr>
            <w:tcW w:w="1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(299,161 )</w:t>
            </w:r>
          </w:p>
        </w:tc>
      </w:tr>
      <w:tr>
        <w:trPr>
          <w:trHeight w:val="250"/>
        </w:trPr>
        <w:tc>
          <w:tcPr>
            <w:tcW w:w="816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Total Kirby stockholders’ equity</w:t>
            </w: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3,101,690</w:t>
            </w:r>
          </w:p>
        </w:tc>
        <w:tc>
          <w:tcPr>
            <w:tcW w:w="28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3,084,306</w:t>
            </w:r>
          </w:p>
        </w:tc>
        <w:tc>
          <w:tcPr>
            <w:tcW w:w="100" w:type="dxa"/>
            <w:vAlign w:val="bottom"/>
            <w:tcBorders>
              <w:top w:val="single" w:sz="8" w:color="CFF0FC"/>
            </w:tcBorders>
          </w:tcPr>
          <w:p>
            <w:pPr>
              <w:spacing w:after="0"/>
              <w:rPr>
                <w:sz w:val="21"/>
                <w:szCs w:val="21"/>
                <w:color w:val="auto"/>
              </w:rPr>
            </w:pPr>
          </w:p>
        </w:tc>
      </w:tr>
      <w:tr>
        <w:trPr>
          <w:trHeight w:val="257"/>
        </w:trPr>
        <w:tc>
          <w:tcPr>
            <w:tcW w:w="8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3,639</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3,105,329</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3,087,553</w:t>
            </w:r>
          </w:p>
        </w:tc>
        <w:tc>
          <w:tcPr>
            <w:tcW w:w="100" w:type="dxa"/>
            <w:vAlign w:val="bottom"/>
          </w:tcPr>
          <w:p>
            <w:pPr>
              <w:spacing w:after="0"/>
              <w:rPr>
                <w:sz w:val="21"/>
                <w:szCs w:val="21"/>
                <w:color w:val="auto"/>
              </w:rPr>
            </w:pPr>
          </w:p>
        </w:tc>
      </w:tr>
      <w:tr>
        <w:trPr>
          <w:trHeight w:val="290"/>
        </w:trPr>
        <w:tc>
          <w:tcPr>
            <w:tcW w:w="81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5,767,815</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5,924,174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-6194425</wp:posOffset>
            </wp:positionV>
            <wp:extent cx="1714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-6194425</wp:posOffset>
            </wp:positionV>
            <wp:extent cx="6858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-5602605</wp:posOffset>
            </wp:positionV>
            <wp:extent cx="17145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-5602605</wp:posOffset>
            </wp:positionV>
            <wp:extent cx="685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-4688205</wp:posOffset>
            </wp:positionV>
            <wp:extent cx="171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-4671060</wp:posOffset>
            </wp:positionV>
            <wp:extent cx="171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-4688205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-4671060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-3099435</wp:posOffset>
            </wp:positionV>
            <wp:extent cx="17145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-3099435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-2182495</wp:posOffset>
            </wp:positionV>
            <wp:extent cx="17145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-2182495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-699135</wp:posOffset>
            </wp:positionV>
            <wp:extent cx="17145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-699135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-365125</wp:posOffset>
            </wp:positionV>
            <wp:extent cx="17145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1714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1714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01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EARNINGS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7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9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1"/>
              </w:rPr>
              <w:t>($ in thousands, except per share amounts)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Marine transportation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332,887</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380,987</w:t>
            </w:r>
          </w:p>
        </w:tc>
        <w:tc>
          <w:tcPr>
            <w:tcW w:w="2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633,838</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784,244</w:t>
            </w:r>
          </w:p>
        </w:tc>
        <w:tc>
          <w:tcPr>
            <w:tcW w:w="100" w:type="dxa"/>
            <w:vAlign w:val="bottom"/>
          </w:tcPr>
          <w:p>
            <w:pPr>
              <w:spacing w:after="0"/>
              <w:rPr>
                <w:sz w:val="21"/>
                <w:szCs w:val="21"/>
                <w:color w:val="auto"/>
              </w:rPr>
            </w:pPr>
          </w:p>
        </w:tc>
      </w:tr>
      <w:tr>
        <w:trPr>
          <w:trHeight w:val="257"/>
        </w:trPr>
        <w:tc>
          <w:tcPr>
            <w:tcW w:w="4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Distribution and services</w:t>
            </w: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226,737</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160,172</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422,636</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400,841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900" w:type="dxa"/>
            <w:vAlign w:val="bottom"/>
          </w:tcPr>
          <w:p>
            <w:pPr>
              <w:ind w:left="5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559,624</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541,159</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1,056,474</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1,185,085</w:t>
            </w:r>
          </w:p>
        </w:tc>
        <w:tc>
          <w:tcPr>
            <w:tcW w:w="100" w:type="dxa"/>
            <w:vAlign w:val="bottom"/>
          </w:tcPr>
          <w:p>
            <w:pPr>
              <w:spacing w:after="0"/>
              <w:rPr>
                <w:sz w:val="21"/>
                <w:szCs w:val="21"/>
                <w:color w:val="auto"/>
              </w:rPr>
            </w:pPr>
          </w:p>
        </w:tc>
      </w:tr>
      <w:tr>
        <w:trPr>
          <w:trHeight w:val="257"/>
        </w:trPr>
        <w:tc>
          <w:tcPr>
            <w:tcW w:w="49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Costs of sales and operating expenses</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409,479</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373,539</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772,519</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827,107</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62,740</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65,612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132,369</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137,692</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Taxes, other than on income</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10,364</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13,065</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18,624</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24,471</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55,132</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54,502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110,022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110,288</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Impairments and other charges</w:t>
            </w:r>
          </w:p>
        </w:tc>
        <w:tc>
          <w:tcPr>
            <w:tcW w:w="3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561,274</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(Gain) loss on disposition of assets</w:t>
            </w:r>
          </w:p>
        </w:tc>
        <w:tc>
          <w:tcPr>
            <w:tcW w:w="3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(2,119 )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(4,252 )</w:t>
            </w: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(303 )</w:t>
            </w:r>
          </w:p>
        </w:tc>
      </w:tr>
      <w:tr>
        <w:trPr>
          <w:trHeight w:val="250"/>
        </w:trPr>
        <w:tc>
          <w:tcPr>
            <w:tcW w:w="49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535,596</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506,907</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1,029,282</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1,660,529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6"/>
        </w:trPr>
        <w:tc>
          <w:tcPr>
            <w:tcW w:w="4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spacing w:after="0"/>
              <w:rPr>
                <w:sz w:val="22"/>
                <w:szCs w:val="22"/>
                <w:color w:val="auto"/>
              </w:rPr>
            </w:pPr>
          </w:p>
        </w:tc>
      </w:tr>
      <w:tr>
        <w:trPr>
          <w:trHeight w:val="257"/>
        </w:trPr>
        <w:tc>
          <w:tcPr>
            <w:tcW w:w="49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24,028</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34,252</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27,192</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(475,444 )</w:t>
            </w: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2,523</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6,314</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5,013</w:t>
            </w:r>
          </w:p>
        </w:tc>
        <w:tc>
          <w:tcPr>
            <w:tcW w:w="100" w:type="dxa"/>
            <w:vAlign w:val="bottom"/>
          </w:tcPr>
          <w:p>
            <w:pPr>
              <w:spacing w:after="0"/>
              <w:rPr>
                <w:sz w:val="21"/>
                <w:szCs w:val="21"/>
                <w:color w:val="auto"/>
              </w:rPr>
            </w:pPr>
          </w:p>
        </w:tc>
      </w:tr>
      <w:tr>
        <w:trPr>
          <w:trHeight w:val="257"/>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(10,706 )</w:t>
            </w:r>
          </w:p>
        </w:tc>
        <w:tc>
          <w:tcPr>
            <w:tcW w:w="12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(12,708 )</w:t>
            </w: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(21,672 )</w:t>
            </w: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(25,507 )</w:t>
            </w:r>
          </w:p>
        </w:tc>
      </w:tr>
      <w:tr>
        <w:trPr>
          <w:trHeight w:val="256"/>
        </w:trPr>
        <w:tc>
          <w:tcPr>
            <w:tcW w:w="4900" w:type="dxa"/>
            <w:vAlign w:val="bottom"/>
            <w:tcBorders>
              <w:top w:val="single" w:sz="8" w:color="CFF0FC"/>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80" w:type="dxa"/>
            <w:vAlign w:val="bottom"/>
            <w:tcBorders>
              <w:top w:val="single" w:sz="8" w:color="CFF0FC"/>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80" w:type="dxa"/>
            <w:vAlign w:val="bottom"/>
            <w:tcBorders>
              <w:top w:val="single" w:sz="8" w:color="CFF0FC"/>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57"/>
        </w:trPr>
        <w:tc>
          <w:tcPr>
            <w:tcW w:w="49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Earnings (loss) before taxes on income</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15,845</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23,834</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11,834</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(495,938 )</w:t>
            </w: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(Provision) benefit for taxes on income</w:t>
            </w:r>
          </w:p>
        </w:tc>
        <w:tc>
          <w:tcPr>
            <w:tcW w:w="3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(5,493 )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1,429</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(4,602 )</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174,238</w:t>
            </w:r>
          </w:p>
        </w:tc>
        <w:tc>
          <w:tcPr>
            <w:tcW w:w="100" w:type="dxa"/>
            <w:vAlign w:val="bottom"/>
          </w:tcPr>
          <w:p>
            <w:pPr>
              <w:spacing w:after="0"/>
              <w:rPr>
                <w:sz w:val="21"/>
                <w:szCs w:val="21"/>
                <w:color w:val="auto"/>
              </w:rPr>
            </w:pPr>
          </w:p>
        </w:tc>
      </w:tr>
      <w:tr>
        <w:trPr>
          <w:trHeight w:val="256"/>
        </w:trPr>
        <w:tc>
          <w:tcPr>
            <w:tcW w:w="490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124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02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520"/>
              <w:spacing w:after="0"/>
              <w:rPr>
                <w:sz w:val="20"/>
                <w:szCs w:val="20"/>
                <w:color w:val="auto"/>
              </w:rPr>
            </w:pPr>
            <w:r>
              <w:rPr>
                <w:rFonts w:ascii="Arial" w:cs="Arial" w:eastAsia="Arial" w:hAnsi="Arial"/>
                <w:sz w:val="18"/>
                <w:szCs w:val="18"/>
                <w:color w:val="auto"/>
              </w:rPr>
              <w:t>Net earnings (loss)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10,352</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25,263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7,232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(321,700 )</w:t>
            </w:r>
          </w:p>
        </w:tc>
      </w:tr>
      <w:tr>
        <w:trPr>
          <w:trHeight w:val="257"/>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Net earnings attributable to noncontrolling interests</w:t>
            </w:r>
          </w:p>
        </w:tc>
        <w:tc>
          <w:tcPr>
            <w:tcW w:w="3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(162 )</w:t>
            </w:r>
          </w:p>
        </w:tc>
        <w:tc>
          <w:tcPr>
            <w:tcW w:w="12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(261 )</w:t>
            </w: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(417 )</w:t>
            </w: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(539 )</w:t>
            </w:r>
          </w:p>
        </w:tc>
      </w:tr>
      <w:tr>
        <w:trPr>
          <w:trHeight w:val="256"/>
        </w:trPr>
        <w:tc>
          <w:tcPr>
            <w:tcW w:w="4900" w:type="dxa"/>
            <w:vAlign w:val="bottom"/>
            <w:tcBorders>
              <w:top w:val="single" w:sz="8" w:color="CFF0FC"/>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80" w:type="dxa"/>
            <w:vAlign w:val="bottom"/>
            <w:tcBorders>
              <w:top w:val="single" w:sz="8" w:color="CFF0FC"/>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80" w:type="dxa"/>
            <w:vAlign w:val="bottom"/>
            <w:tcBorders>
              <w:top w:val="single" w:sz="8" w:color="CFF0FC"/>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90"/>
        </w:trPr>
        <w:tc>
          <w:tcPr>
            <w:tcW w:w="49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earnings (loss) attributable to Kirby</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10,190</w:t>
            </w:r>
          </w:p>
        </w:tc>
        <w:tc>
          <w:tcPr>
            <w:tcW w:w="28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25,002</w:t>
            </w:r>
          </w:p>
        </w:tc>
        <w:tc>
          <w:tcPr>
            <w:tcW w:w="28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6,815</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(322,239 )</w:t>
            </w:r>
          </w:p>
        </w:tc>
      </w:tr>
      <w:tr>
        <w:trPr>
          <w:trHeight w:val="244"/>
        </w:trPr>
        <w:tc>
          <w:tcPr>
            <w:tcW w:w="490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42"/>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per share attributable to Kirby common</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0.17</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0.42</w:t>
            </w:r>
          </w:p>
        </w:tc>
        <w:tc>
          <w:tcPr>
            <w:tcW w:w="2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0.11</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(5.38 )</w:t>
            </w:r>
          </w:p>
        </w:tc>
      </w:tr>
      <w:tr>
        <w:trPr>
          <w:trHeight w:val="20"/>
        </w:trPr>
        <w:tc>
          <w:tcPr>
            <w:tcW w:w="4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(5.38 )</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-4514215</wp:posOffset>
            </wp:positionV>
            <wp:extent cx="17970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-4514215</wp:posOffset>
            </wp:positionV>
            <wp:extent cx="17970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-4514215</wp:posOffset>
            </wp:positionV>
            <wp:extent cx="16256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-4514215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-2859405</wp:posOffset>
            </wp:positionV>
            <wp:extent cx="17970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-2859405</wp:posOffset>
            </wp:positionV>
            <wp:extent cx="17970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-2859405</wp:posOffset>
            </wp:positionV>
            <wp:extent cx="16256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-2859405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-2199640</wp:posOffset>
            </wp:positionV>
            <wp:extent cx="17970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-2199640</wp:posOffset>
            </wp:positionV>
            <wp:extent cx="17970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-2199640</wp:posOffset>
            </wp:positionV>
            <wp:extent cx="16256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-2199640</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-1205230</wp:posOffset>
            </wp:positionV>
            <wp:extent cx="17970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-1205230</wp:posOffset>
            </wp:positionV>
            <wp:extent cx="17970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-1205230</wp:posOffset>
            </wp:positionV>
            <wp:extent cx="16256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-1205230</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-873760</wp:posOffset>
            </wp:positionV>
            <wp:extent cx="1797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-856615</wp:posOffset>
            </wp:positionV>
            <wp:extent cx="1797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-873760</wp:posOffset>
            </wp:positionV>
            <wp:extent cx="1797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-856615</wp:posOffset>
            </wp:positionV>
            <wp:extent cx="1797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-873760</wp:posOffset>
            </wp:positionV>
            <wp:extent cx="1625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-856615</wp:posOffset>
            </wp:positionV>
            <wp:extent cx="1625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1797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1797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1797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1797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625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1625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9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10,352</w:t>
            </w: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25,263</w:t>
            </w: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7,232</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(321,700 )</w:t>
            </w:r>
          </w:p>
        </w:tc>
      </w:tr>
      <w:tr>
        <w:trPr>
          <w:trHeight w:val="256"/>
        </w:trPr>
        <w:tc>
          <w:tcPr>
            <w:tcW w:w="4900" w:type="dxa"/>
            <w:vAlign w:val="bottom"/>
            <w:tcBorders>
              <w:top w:val="single" w:sz="8" w:color="CFF0FC"/>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80" w:type="dxa"/>
            <w:vAlign w:val="bottom"/>
            <w:tcBorders>
              <w:top w:val="single" w:sz="8" w:color="CFF0FC"/>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80" w:type="dxa"/>
            <w:vAlign w:val="bottom"/>
            <w:tcBorders>
              <w:top w:val="single" w:sz="8" w:color="CFF0FC"/>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57"/>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8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Pension and postretirement benefits</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3,607</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(2,477 )</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(2,395 )</w:t>
            </w:r>
          </w:p>
        </w:tc>
      </w:tr>
      <w:tr>
        <w:trPr>
          <w:trHeight w:val="257"/>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84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(86 )</w:t>
            </w:r>
          </w:p>
        </w:tc>
        <w:tc>
          <w:tcPr>
            <w:tcW w:w="84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(583 )</w:t>
            </w: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(923 )</w:t>
            </w:r>
          </w:p>
        </w:tc>
      </w:tr>
      <w:tr>
        <w:trPr>
          <w:trHeight w:val="20"/>
        </w:trPr>
        <w:tc>
          <w:tcPr>
            <w:tcW w:w="49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900" w:type="dxa"/>
            <w:vAlign w:val="bottom"/>
          </w:tcPr>
          <w:p>
            <w:pPr>
              <w:ind w:left="520"/>
              <w:spacing w:after="0"/>
              <w:rPr>
                <w:sz w:val="20"/>
                <w:szCs w:val="20"/>
                <w:color w:val="auto"/>
              </w:rPr>
            </w:pPr>
            <w:r>
              <w:rPr>
                <w:rFonts w:ascii="Arial" w:cs="Arial" w:eastAsia="Arial" w:hAnsi="Arial"/>
                <w:sz w:val="18"/>
                <w:szCs w:val="18"/>
                <w:color w:val="auto"/>
              </w:rPr>
              <w:t>Total other comprehensive income (loss), net of taxes</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3,521</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(2,126 )</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3,769</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(3,318 )</w:t>
            </w:r>
          </w:p>
        </w:tc>
      </w:tr>
      <w:tr>
        <w:trPr>
          <w:trHeight w:val="257"/>
        </w:trPr>
        <w:tc>
          <w:tcPr>
            <w:tcW w:w="4900" w:type="dxa"/>
            <w:vAlign w:val="bottom"/>
            <w:shd w:val="clear" w:color="auto" w:fill="CFF0FC"/>
          </w:tcPr>
          <w:p>
            <w:pPr>
              <w:spacing w:after="0"/>
              <w:rPr>
                <w:sz w:val="22"/>
                <w:szCs w:val="22"/>
                <w:color w:val="auto"/>
              </w:rPr>
            </w:pPr>
          </w:p>
        </w:tc>
        <w:tc>
          <w:tcPr>
            <w:tcW w:w="840" w:type="dxa"/>
            <w:vAlign w:val="bottom"/>
            <w:tcBorders>
              <w:top w:val="single" w:sz="8" w:color="auto"/>
            </w:tcBorders>
            <w:shd w:val="clear" w:color="auto" w:fill="CFF0FC"/>
          </w:tcPr>
          <w:p>
            <w:pPr>
              <w:spacing w:after="0"/>
              <w:rPr>
                <w:sz w:val="22"/>
                <w:szCs w:val="22"/>
                <w:color w:val="auto"/>
              </w:rPr>
            </w:pPr>
          </w:p>
        </w:tc>
        <w:tc>
          <w:tcPr>
            <w:tcW w:w="54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40" w:type="dxa"/>
            <w:vAlign w:val="bottom"/>
            <w:tcBorders>
              <w:top w:val="single" w:sz="8" w:color="auto"/>
            </w:tcBorders>
            <w:shd w:val="clear" w:color="auto" w:fill="CFF0FC"/>
          </w:tcPr>
          <w:p>
            <w:pPr>
              <w:spacing w:after="0"/>
              <w:rPr>
                <w:sz w:val="22"/>
                <w:szCs w:val="22"/>
                <w:color w:val="auto"/>
              </w:rPr>
            </w:pPr>
          </w:p>
        </w:tc>
        <w:tc>
          <w:tcPr>
            <w:tcW w:w="52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2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Total comprehensive income (loss), net of taxes</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13,873</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23,137</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11,001</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(325,018 )</w:t>
            </w:r>
          </w:p>
        </w:tc>
      </w:tr>
      <w:tr>
        <w:trPr>
          <w:trHeight w:val="257"/>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earnings attributable to noncontrolling interests</w:t>
            </w:r>
          </w:p>
        </w:tc>
        <w:tc>
          <w:tcPr>
            <w:tcW w:w="84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(162 )</w:t>
            </w:r>
          </w:p>
        </w:tc>
        <w:tc>
          <w:tcPr>
            <w:tcW w:w="84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(261 )</w:t>
            </w:r>
          </w:p>
        </w:tc>
        <w:tc>
          <w:tcPr>
            <w:tcW w:w="4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(417 )</w:t>
            </w: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(539 )</w:t>
            </w:r>
          </w:p>
        </w:tc>
      </w:tr>
      <w:tr>
        <w:trPr>
          <w:trHeight w:val="257"/>
        </w:trPr>
        <w:tc>
          <w:tcPr>
            <w:tcW w:w="4900" w:type="dxa"/>
            <w:vAlign w:val="bottom"/>
            <w:tcBorders>
              <w:top w:val="single" w:sz="8" w:color="CFF0FC"/>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80" w:type="dxa"/>
            <w:vAlign w:val="bottom"/>
            <w:tcBorders>
              <w:top w:val="single" w:sz="8" w:color="CFF0FC"/>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80" w:type="dxa"/>
            <w:vAlign w:val="bottom"/>
            <w:tcBorders>
              <w:top w:val="single" w:sz="8" w:color="CFF0FC"/>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70"/>
        </w:trPr>
        <w:tc>
          <w:tcPr>
            <w:tcW w:w="49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Comprehensive income (loss) attributable to Kirby</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13,711</w:t>
            </w:r>
          </w:p>
        </w:tc>
        <w:tc>
          <w:tcPr>
            <w:tcW w:w="280" w:type="dxa"/>
            <w:vAlign w:val="bottom"/>
            <w:shd w:val="clear" w:color="auto" w:fill="CFF0FC"/>
          </w:tcPr>
          <w:p>
            <w:pPr>
              <w:spacing w:after="0"/>
              <w:rPr>
                <w:sz w:val="23"/>
                <w:szCs w:val="23"/>
                <w:color w:val="auto"/>
              </w:rPr>
            </w:pP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22,876</w:t>
            </w:r>
          </w:p>
        </w:tc>
        <w:tc>
          <w:tcPr>
            <w:tcW w:w="280" w:type="dxa"/>
            <w:vAlign w:val="bottom"/>
            <w:shd w:val="clear" w:color="auto" w:fill="CFF0FC"/>
          </w:tcPr>
          <w:p>
            <w:pPr>
              <w:spacing w:after="0"/>
              <w:rPr>
                <w:sz w:val="23"/>
                <w:szCs w:val="23"/>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10,584</w:t>
            </w:r>
          </w:p>
        </w:tc>
        <w:tc>
          <w:tcPr>
            <w:tcW w:w="26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(325,557 )</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-1685290</wp:posOffset>
            </wp:positionV>
            <wp:extent cx="17970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-1685290</wp:posOffset>
            </wp:positionV>
            <wp:extent cx="17970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-1685290</wp:posOffset>
            </wp:positionV>
            <wp:extent cx="16256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-1685290</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-1024890</wp:posOffset>
            </wp:positionV>
            <wp:extent cx="17970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-1024890</wp:posOffset>
            </wp:positionV>
            <wp:extent cx="17970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-1024890</wp:posOffset>
            </wp:positionV>
            <wp:extent cx="16256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-1024890</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-356235</wp:posOffset>
            </wp:positionV>
            <wp:extent cx="17970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-356235</wp:posOffset>
            </wp:positionV>
            <wp:extent cx="17970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-356235</wp:posOffset>
            </wp:positionV>
            <wp:extent cx="16256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-356235</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1797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-8255</wp:posOffset>
            </wp:positionV>
            <wp:extent cx="1797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1797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1797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1625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1625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1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6"/>
        </w:trPr>
        <w:tc>
          <w:tcPr>
            <w:tcW w:w="8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Net earnings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7,232</w:t>
            </w:r>
          </w:p>
        </w:tc>
        <w:tc>
          <w:tcPr>
            <w:tcW w:w="28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(321,700 )</w:t>
            </w:r>
          </w:p>
        </w:tc>
      </w:tr>
      <w:tr>
        <w:trPr>
          <w:trHeight w:val="263"/>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Adjustments to reconcile net earnings (loss) to net cash provided by operations:</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110,022</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110,288</w:t>
            </w: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Provision (benefit) for deferred income taxes</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4,380</w:t>
            </w: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(18,588 )</w:t>
            </w: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Impairments and other charges</w:t>
            </w:r>
          </w:p>
        </w:tc>
        <w:tc>
          <w:tcPr>
            <w:tcW w:w="3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561,274</w:t>
            </w: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Amortization of unearned share-based compensation</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9,148</w:t>
            </w: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8,652</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Amortization of major maintenance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17,082</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14,473</w:t>
            </w: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(4,309 )</w:t>
            </w:r>
          </w:p>
        </w:tc>
        <w:tc>
          <w:tcPr>
            <w:tcW w:w="4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Increase (decrease) in cash flows resulting from changes in operating assets and liabilities,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54,263</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(115,768 )</w:t>
            </w:r>
          </w:p>
        </w:tc>
      </w:tr>
      <w:tr>
        <w:trPr>
          <w:trHeight w:val="250"/>
        </w:trPr>
        <w:tc>
          <w:tcPr>
            <w:tcW w:w="81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197,818</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6"/>
        </w:trPr>
        <w:tc>
          <w:tcPr>
            <w:tcW w:w="8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(38,369 )</w:t>
            </w:r>
          </w:p>
        </w:tc>
        <w:tc>
          <w:tcPr>
            <w:tcW w:w="4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(92,830 )</w:t>
            </w:r>
          </w:p>
        </w:tc>
      </w:tr>
      <w:tr>
        <w:trPr>
          <w:trHeight w:val="263"/>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Acquisitions of businesses and marine equipment</w:t>
            </w:r>
          </w:p>
        </w:tc>
        <w:tc>
          <w:tcPr>
            <w:tcW w:w="3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(7,470 )</w:t>
            </w:r>
          </w:p>
        </w:tc>
        <w:tc>
          <w:tcPr>
            <w:tcW w:w="4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(342,247 )</w:t>
            </w: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Proceeds from disposition of assets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16,731</w:t>
            </w:r>
          </w:p>
        </w:tc>
        <w:tc>
          <w:tcPr>
            <w:tcW w:w="2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w:t>
            </w:r>
          </w:p>
        </w:tc>
        <w:tc>
          <w:tcPr>
            <w:tcW w:w="100" w:type="dxa"/>
            <w:vAlign w:val="bottom"/>
          </w:tcPr>
          <w:p>
            <w:pPr>
              <w:spacing w:after="0"/>
              <w:rPr>
                <w:sz w:val="21"/>
                <w:szCs w:val="21"/>
                <w:color w:val="auto"/>
              </w:rPr>
            </w:pPr>
          </w:p>
        </w:tc>
      </w:tr>
      <w:tr>
        <w:trPr>
          <w:trHeight w:val="250"/>
        </w:trPr>
        <w:tc>
          <w:tcPr>
            <w:tcW w:w="8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(29,108 )</w:t>
            </w:r>
          </w:p>
        </w:tc>
        <w:tc>
          <w:tcPr>
            <w:tcW w:w="4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(430,159 )</w:t>
            </w:r>
          </w:p>
        </w:tc>
      </w:tr>
      <w:tr>
        <w:trPr>
          <w:trHeight w:val="256"/>
        </w:trPr>
        <w:tc>
          <w:tcPr>
            <w:tcW w:w="8160" w:type="dxa"/>
            <w:vAlign w:val="bottom"/>
            <w:tcBorders>
              <w:top w:val="single" w:sz="8" w:color="CFF0FC"/>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280" w:type="dxa"/>
            <w:vAlign w:val="bottom"/>
            <w:tcBorders>
              <w:top w:val="single" w:sz="8" w:color="CFF0FC"/>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57"/>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Borrowings (payments) on bank credit facilities, net</w:t>
            </w:r>
          </w:p>
        </w:tc>
        <w:tc>
          <w:tcPr>
            <w:tcW w:w="3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(193,623 )</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424,991</w:t>
            </w: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Payments on long-term debt</w:t>
            </w:r>
          </w:p>
        </w:tc>
        <w:tc>
          <w:tcPr>
            <w:tcW w:w="3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(150,000 )</w:t>
            </w: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Payments related to tax withholding for share-based compensation</w:t>
            </w:r>
          </w:p>
        </w:tc>
        <w:tc>
          <w:tcPr>
            <w:tcW w:w="3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(2,853 )</w:t>
            </w:r>
          </w:p>
        </w:tc>
        <w:tc>
          <w:tcPr>
            <w:tcW w:w="4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(3,191 )</w:t>
            </w: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Return of investment to noncontrolling interest</w:t>
            </w:r>
          </w:p>
        </w:tc>
        <w:tc>
          <w:tcPr>
            <w:tcW w:w="3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(25 )</w:t>
            </w:r>
          </w:p>
        </w:tc>
        <w:tc>
          <w:tcPr>
            <w:tcW w:w="4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(404 )</w:t>
            </w:r>
          </w:p>
        </w:tc>
      </w:tr>
      <w:tr>
        <w:trPr>
          <w:trHeight w:val="20"/>
        </w:trPr>
        <w:tc>
          <w:tcPr>
            <w:tcW w:w="8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(195,996 )</w:t>
            </w: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271,749</w:t>
            </w:r>
          </w:p>
        </w:tc>
        <w:tc>
          <w:tcPr>
            <w:tcW w:w="100" w:type="dxa"/>
            <w:vAlign w:val="bottom"/>
            <w:shd w:val="clear" w:color="auto" w:fill="CFF0FC"/>
          </w:tcPr>
          <w:p>
            <w:pPr>
              <w:spacing w:after="0"/>
              <w:rPr>
                <w:sz w:val="21"/>
                <w:szCs w:val="21"/>
                <w:color w:val="auto"/>
              </w:rPr>
            </w:pPr>
          </w:p>
        </w:tc>
      </w:tr>
      <w:tr>
        <w:trPr>
          <w:trHeight w:val="20"/>
        </w:trPr>
        <w:tc>
          <w:tcPr>
            <w:tcW w:w="8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(27,286 )</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83,734</w:t>
            </w: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80,338</w:t>
            </w:r>
          </w:p>
        </w:tc>
        <w:tc>
          <w:tcPr>
            <w:tcW w:w="2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24,737</w:t>
            </w:r>
          </w:p>
        </w:tc>
        <w:tc>
          <w:tcPr>
            <w:tcW w:w="100" w:type="dxa"/>
            <w:vAlign w:val="bottom"/>
          </w:tcPr>
          <w:p>
            <w:pPr>
              <w:spacing w:after="0"/>
              <w:rPr>
                <w:sz w:val="21"/>
                <w:szCs w:val="21"/>
                <w:color w:val="auto"/>
              </w:rPr>
            </w:pPr>
          </w:p>
        </w:tc>
      </w:tr>
      <w:tr>
        <w:trPr>
          <w:trHeight w:val="290"/>
        </w:trPr>
        <w:tc>
          <w:tcPr>
            <w:tcW w:w="8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53,052</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108,471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3"/>
        </w:trPr>
        <w:tc>
          <w:tcPr>
            <w:tcW w:w="8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Cash paid (received) during the period: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Interest paid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20,913</w:t>
            </w: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26,265</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Income taxes refunded,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(116,451 )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(37,704 )</w:t>
            </w:r>
          </w:p>
        </w:tc>
      </w:tr>
      <w:tr>
        <w:trPr>
          <w:trHeight w:val="263"/>
        </w:trPr>
        <w:tc>
          <w:tcPr>
            <w:tcW w:w="8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Operating cash outflow from operating leases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21,996</w:t>
            </w: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21,323</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Non-cash investing activity: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Capital expenditures included in accounts payable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(18,401 )</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4,936</w:t>
            </w:r>
          </w:p>
        </w:tc>
        <w:tc>
          <w:tcPr>
            <w:tcW w:w="100" w:type="dxa"/>
            <w:vAlign w:val="bottom"/>
            <w:shd w:val="clear" w:color="auto" w:fill="CFF0FC"/>
          </w:tcPr>
          <w:p>
            <w:pPr>
              <w:spacing w:after="0"/>
              <w:rPr>
                <w:sz w:val="22"/>
                <w:szCs w:val="22"/>
                <w:color w:val="auto"/>
              </w:rPr>
            </w:pPr>
          </w:p>
        </w:tc>
      </w:tr>
      <w:tr>
        <w:trPr>
          <w:trHeight w:val="243"/>
        </w:trPr>
        <w:tc>
          <w:tcPr>
            <w:tcW w:w="8160" w:type="dxa"/>
            <w:vAlign w:val="bottom"/>
          </w:tcPr>
          <w:p>
            <w:pPr>
              <w:ind w:left="520"/>
              <w:spacing w:after="0"/>
              <w:rPr>
                <w:sz w:val="20"/>
                <w:szCs w:val="20"/>
                <w:color w:val="auto"/>
              </w:rPr>
            </w:pPr>
            <w:r>
              <w:rPr>
                <w:rFonts w:ascii="Arial" w:cs="Arial" w:eastAsia="Arial" w:hAnsi="Arial"/>
                <w:sz w:val="18"/>
                <w:szCs w:val="18"/>
                <w:color w:val="auto"/>
              </w:rPr>
              <w:t>Right-of-use assets obtained in exchange for lease obligations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7,413</w:t>
            </w:r>
          </w:p>
        </w:tc>
        <w:tc>
          <w:tcPr>
            <w:tcW w:w="28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38,754</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-4462780</wp:posOffset>
            </wp:positionV>
            <wp:extent cx="17145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-4462780</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-3468370</wp:posOffset>
            </wp:positionV>
            <wp:extent cx="17145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-3468370</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-2148205</wp:posOffset>
            </wp:positionV>
            <wp:extent cx="17145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-2148205</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-1482090</wp:posOffset>
            </wp:positionV>
            <wp:extent cx="1714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-1464945</wp:posOffset>
            </wp:positionV>
            <wp:extent cx="1714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8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Paid-in-</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Retained</w:t>
            </w:r>
          </w:p>
        </w:tc>
        <w:tc>
          <w:tcPr>
            <w:tcW w:w="162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Income, Net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6"/>
                <w:szCs w:val="16"/>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Interests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(in thousands)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Balance at March 31, 2021</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2,590,01</w:t>
            </w: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(296,35</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3,088,74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$ 6,547</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846,259</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(61,204 )</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(5,384 )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280"/>
              <w:spacing w:after="0"/>
              <w:rPr>
                <w:sz w:val="20"/>
                <w:szCs w:val="20"/>
                <w:color w:val="auto"/>
              </w:rPr>
            </w:pPr>
            <w:r>
              <w:rPr>
                <w:rFonts w:ascii="Arial" w:cs="Arial" w:eastAsia="Arial" w:hAnsi="Arial"/>
                <w:sz w:val="18"/>
                <w:szCs w:val="18"/>
                <w:color w:val="auto"/>
                <w:w w:val="98"/>
              </w:rPr>
              <w:t>Stock option exercises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stock for</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equity awards, net of</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forfeitures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(1,615 )</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80" w:type="dxa"/>
            <w:vAlign w:val="bottom"/>
          </w:tcPr>
          <w:p>
            <w:pPr>
              <w:ind w:left="280"/>
              <w:spacing w:after="0"/>
              <w:rPr>
                <w:sz w:val="20"/>
                <w:szCs w:val="20"/>
                <w:color w:val="auto"/>
              </w:rPr>
            </w:pPr>
            <w:r>
              <w:rPr>
                <w:rFonts w:ascii="Arial" w:cs="Arial" w:eastAsia="Arial" w:hAnsi="Arial"/>
                <w:sz w:val="18"/>
                <w:szCs w:val="18"/>
                <w:color w:val="auto"/>
              </w:rPr>
              <w:t>Tax withholdings on</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80"/>
              <w:spacing w:after="0"/>
              <w:rPr>
                <w:sz w:val="20"/>
                <w:szCs w:val="20"/>
                <w:color w:val="auto"/>
              </w:rPr>
            </w:pPr>
            <w:r>
              <w:rPr>
                <w:rFonts w:ascii="Arial" w:cs="Arial" w:eastAsia="Arial" w:hAnsi="Arial"/>
                <w:sz w:val="18"/>
                <w:szCs w:val="18"/>
                <w:color w:val="auto"/>
              </w:rPr>
              <w:t>equity award vesting</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(808 )</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(808 )</w:t>
            </w: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Amortization of</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8"/>
              </w:rPr>
              <w:t>unearned share-based</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80" w:type="dxa"/>
            <w:vAlign w:val="bottom"/>
          </w:tcPr>
          <w:p>
            <w:pPr>
              <w:ind w:left="280"/>
              <w:spacing w:after="0"/>
              <w:rPr>
                <w:sz w:val="20"/>
                <w:szCs w:val="20"/>
                <w:color w:val="auto"/>
              </w:rPr>
            </w:pPr>
            <w:r>
              <w:rPr>
                <w:rFonts w:ascii="Arial" w:cs="Arial" w:eastAsia="Arial" w:hAnsi="Arial"/>
                <w:sz w:val="18"/>
                <w:szCs w:val="18"/>
                <w:color w:val="auto"/>
              </w:rPr>
              <w:t>Total comprehensive</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10,190</w:t>
            </w:r>
          </w:p>
        </w:tc>
        <w:tc>
          <w:tcPr>
            <w:tcW w:w="200" w:type="dxa"/>
            <w:vAlign w:val="bottom"/>
          </w:tcPr>
          <w:p>
            <w:pPr>
              <w:spacing w:after="0"/>
              <w:rPr>
                <w:sz w:val="21"/>
                <w:szCs w:val="2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13,873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80"/>
              <w:spacing w:after="0"/>
              <w:rPr>
                <w:sz w:val="20"/>
                <w:szCs w:val="20"/>
                <w:color w:val="auto"/>
              </w:rPr>
            </w:pPr>
            <w:r>
              <w:rPr>
                <w:rFonts w:ascii="Arial" w:cs="Arial" w:eastAsia="Arial" w:hAnsi="Arial"/>
                <w:sz w:val="18"/>
                <w:szCs w:val="18"/>
                <w:color w:val="auto"/>
              </w:rPr>
              <w:t>income, net of taxes</w:t>
            </w:r>
          </w:p>
        </w:tc>
        <w:tc>
          <w:tcPr>
            <w:tcW w:w="6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Balance at June 30, 2021</w:t>
            </w:r>
          </w:p>
        </w:tc>
        <w:tc>
          <w:tcPr>
            <w:tcW w:w="6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2,600,20</w:t>
            </w:r>
          </w:p>
        </w:tc>
        <w:tc>
          <w:tcPr>
            <w:tcW w:w="200" w:type="dxa"/>
            <w:vAlign w:val="bottom"/>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(295,46</w:t>
            </w:r>
          </w:p>
        </w:tc>
        <w:tc>
          <w:tcPr>
            <w:tcW w:w="1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3,105,32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80" w:type="dxa"/>
            <w:vAlign w:val="bottom"/>
            <w:shd w:val="clear" w:color="auto" w:fill="CFF0FC"/>
          </w:tcPr>
          <w:p>
            <w:pPr>
              <w:spacing w:after="0"/>
              <w:rPr>
                <w:sz w:val="24"/>
                <w:szCs w:val="2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220" w:type="dxa"/>
            <w:vAlign w:val="bottom"/>
            <w:shd w:val="clear" w:color="auto" w:fill="CFF0FC"/>
          </w:tcPr>
          <w:p>
            <w:pPr>
              <w:spacing w:after="0"/>
              <w:rPr>
                <w:sz w:val="24"/>
                <w:szCs w:val="2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$ 6,547</w:t>
            </w:r>
          </w:p>
        </w:tc>
        <w:tc>
          <w:tcPr>
            <w:tcW w:w="200" w:type="dxa"/>
            <w:vAlign w:val="bottom"/>
            <w:gridSpan w:val="2"/>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848,081</w:t>
            </w:r>
          </w:p>
        </w:tc>
        <w:tc>
          <w:tcPr>
            <w:tcW w:w="1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(57,683 )</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24"/>
                <w:szCs w:val="2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(5,366 )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3,639</w:t>
            </w:r>
          </w:p>
        </w:tc>
        <w:tc>
          <w:tcPr>
            <w:tcW w:w="18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8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8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Paid-in-</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Retained</w:t>
            </w:r>
          </w:p>
        </w:tc>
        <w:tc>
          <w:tcPr>
            <w:tcW w:w="162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Income, Net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6"/>
                <w:szCs w:val="16"/>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Interests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(in thousands)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Balance at March 31, 2020</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2,518,69</w:t>
            </w: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(301,42</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3,025,75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$ 6,547</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837,879</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(38,991 )</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(5,475 )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80" w:type="dxa"/>
            <w:vAlign w:val="bottom"/>
          </w:tcPr>
          <w:p>
            <w:pPr>
              <w:ind w:left="280"/>
              <w:spacing w:after="0"/>
              <w:rPr>
                <w:sz w:val="20"/>
                <w:szCs w:val="20"/>
                <w:color w:val="auto"/>
              </w:rPr>
            </w:pPr>
            <w:r>
              <w:rPr>
                <w:rFonts w:ascii="Arial" w:cs="Arial" w:eastAsia="Arial" w:hAnsi="Arial"/>
                <w:sz w:val="18"/>
                <w:szCs w:val="18"/>
                <w:color w:val="auto"/>
              </w:rPr>
              <w:t>Issuance of stock for</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80" w:type="dxa"/>
            <w:vAlign w:val="bottom"/>
          </w:tcPr>
          <w:p>
            <w:pPr>
              <w:ind w:left="280"/>
              <w:spacing w:after="0"/>
              <w:rPr>
                <w:sz w:val="20"/>
                <w:szCs w:val="20"/>
                <w:color w:val="auto"/>
              </w:rPr>
            </w:pPr>
            <w:r>
              <w:rPr>
                <w:rFonts w:ascii="Arial" w:cs="Arial" w:eastAsia="Arial" w:hAnsi="Arial"/>
                <w:sz w:val="18"/>
                <w:szCs w:val="18"/>
                <w:color w:val="auto"/>
              </w:rPr>
              <w:t>equity awards, net of</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80"/>
              <w:spacing w:after="0"/>
              <w:rPr>
                <w:sz w:val="20"/>
                <w:szCs w:val="20"/>
                <w:color w:val="auto"/>
              </w:rPr>
            </w:pPr>
            <w:r>
              <w:rPr>
                <w:rFonts w:ascii="Arial" w:cs="Arial" w:eastAsia="Arial" w:hAnsi="Arial"/>
                <w:sz w:val="18"/>
                <w:szCs w:val="18"/>
                <w:color w:val="auto"/>
              </w:rPr>
              <w:t>forfeitures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(2,326 )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Tax withholdings on</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equity award vesting</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2"/>
        </w:trPr>
        <w:tc>
          <w:tcPr>
            <w:tcW w:w="2080" w:type="dxa"/>
            <w:vAlign w:val="bottom"/>
          </w:tcPr>
          <w:p>
            <w:pPr>
              <w:ind w:left="280"/>
              <w:spacing w:after="0"/>
              <w:rPr>
                <w:sz w:val="20"/>
                <w:szCs w:val="20"/>
                <w:color w:val="auto"/>
              </w:rPr>
            </w:pPr>
            <w:r>
              <w:rPr>
                <w:rFonts w:ascii="Arial" w:cs="Arial" w:eastAsia="Arial" w:hAnsi="Arial"/>
                <w:sz w:val="18"/>
                <w:szCs w:val="18"/>
                <w:color w:val="auto"/>
              </w:rPr>
              <w:t>Amortization of</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80"/>
              <w:spacing w:after="0"/>
              <w:rPr>
                <w:sz w:val="20"/>
                <w:szCs w:val="20"/>
                <w:color w:val="auto"/>
              </w:rPr>
            </w:pPr>
            <w:r>
              <w:rPr>
                <w:rFonts w:ascii="Arial" w:cs="Arial" w:eastAsia="Arial" w:hAnsi="Arial"/>
                <w:sz w:val="18"/>
                <w:szCs w:val="18"/>
                <w:color w:val="auto"/>
                <w:w w:val="98"/>
              </w:rPr>
              <w:t>unearned share-based</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80"/>
              <w:spacing w:after="0"/>
              <w:rPr>
                <w:sz w:val="20"/>
                <w:szCs w:val="20"/>
                <w:color w:val="auto"/>
              </w:rPr>
            </w:pPr>
            <w:r>
              <w:rPr>
                <w:rFonts w:ascii="Arial" w:cs="Arial" w:eastAsia="Arial" w:hAnsi="Arial"/>
                <w:sz w:val="18"/>
                <w:szCs w:val="18"/>
                <w:color w:val="auto"/>
              </w:rPr>
              <w:t>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comprehensive</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net of taxes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(2,126 )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25,002</w:t>
            </w: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80" w:type="dxa"/>
            <w:vAlign w:val="bottom"/>
          </w:tcPr>
          <w:p>
            <w:pPr>
              <w:ind w:left="280"/>
              <w:spacing w:after="0"/>
              <w:rPr>
                <w:sz w:val="20"/>
                <w:szCs w:val="20"/>
                <w:color w:val="auto"/>
              </w:rPr>
            </w:pPr>
            <w:r>
              <w:rPr>
                <w:rFonts w:ascii="Arial" w:cs="Arial" w:eastAsia="Arial" w:hAnsi="Arial"/>
                <w:sz w:val="18"/>
                <w:szCs w:val="18"/>
                <w:color w:val="auto"/>
                <w:w w:val="95"/>
              </w:rPr>
              <w:t>Return of investment to</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(202 )</w:t>
            </w:r>
          </w:p>
        </w:tc>
        <w:tc>
          <w:tcPr>
            <w:tcW w:w="160" w:type="dxa"/>
            <w:vAlign w:val="bottom"/>
          </w:tcPr>
          <w:p>
            <w:pPr>
              <w:spacing w:after="0"/>
              <w:rPr>
                <w:sz w:val="21"/>
                <w:szCs w:val="21"/>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30"/>
        </w:trPr>
        <w:tc>
          <w:tcPr>
            <w:tcW w:w="2080" w:type="dxa"/>
            <w:vAlign w:val="bottom"/>
          </w:tcPr>
          <w:p>
            <w:pPr>
              <w:ind w:left="280"/>
              <w:spacing w:after="0"/>
              <w:rPr>
                <w:sz w:val="20"/>
                <w:szCs w:val="20"/>
                <w:color w:val="auto"/>
              </w:rPr>
            </w:pPr>
            <w:r>
              <w:rPr>
                <w:rFonts w:ascii="Arial" w:cs="Arial" w:eastAsia="Arial" w:hAnsi="Arial"/>
                <w:sz w:val="18"/>
                <w:szCs w:val="18"/>
                <w:color w:val="auto"/>
                <w:w w:val="96"/>
              </w:rPr>
              <w:t>noncontrolling interests</w:t>
            </w:r>
          </w:p>
        </w:tc>
        <w:tc>
          <w:tcPr>
            <w:tcW w:w="6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Balance at June 30, 2020</w:t>
            </w:r>
          </w:p>
        </w:tc>
        <w:tc>
          <w:tcPr>
            <w:tcW w:w="6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2,543,70</w:t>
            </w:r>
          </w:p>
        </w:tc>
        <w:tc>
          <w:tcPr>
            <w:tcW w:w="200" w:type="dxa"/>
            <w:vAlign w:val="bottom"/>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(299,12</w:t>
            </w:r>
          </w:p>
        </w:tc>
        <w:tc>
          <w:tcPr>
            <w:tcW w:w="1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3,051,98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8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2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$ 6,547</w:t>
            </w:r>
          </w:p>
        </w:tc>
        <w:tc>
          <w:tcPr>
            <w:tcW w:w="120" w:type="dxa"/>
            <w:vAlign w:val="bottom"/>
            <w:shd w:val="clear" w:color="auto" w:fill="CFF0FC"/>
          </w:tcPr>
          <w:p>
            <w:pPr>
              <w:spacing w:after="0"/>
              <w:rPr>
                <w:sz w:val="22"/>
                <w:szCs w:val="22"/>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838,874</w:t>
            </w:r>
          </w:p>
        </w:tc>
        <w:tc>
          <w:tcPr>
            <w:tcW w:w="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(41,117 )</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(5,434 )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-3308350</wp:posOffset>
            </wp:positionV>
            <wp:extent cx="1289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-3291205</wp:posOffset>
            </wp:positionV>
            <wp:extent cx="1289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-3308350</wp:posOffset>
            </wp:positionV>
            <wp:extent cx="137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-3291205</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-3308350</wp:posOffset>
            </wp:positionV>
            <wp:extent cx="1282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-3291205</wp:posOffset>
            </wp:positionV>
            <wp:extent cx="1282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-3308350</wp:posOffset>
            </wp:positionV>
            <wp:extent cx="1200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-3291205</wp:posOffset>
            </wp:positionV>
            <wp:extent cx="120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-3308350</wp:posOffset>
            </wp:positionV>
            <wp:extent cx="120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-3291205</wp:posOffset>
            </wp:positionV>
            <wp:extent cx="120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-3308350</wp:posOffset>
            </wp:positionV>
            <wp:extent cx="120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-3291205</wp:posOffset>
            </wp:positionV>
            <wp:extent cx="120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-3308350</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-3291205</wp:posOffset>
            </wp:positionV>
            <wp:extent cx="120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-3308350</wp:posOffset>
            </wp:positionV>
            <wp:extent cx="1200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-3291205</wp:posOffset>
            </wp:positionV>
            <wp:extent cx="120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-25400</wp:posOffset>
            </wp:positionV>
            <wp:extent cx="1289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-8255</wp:posOffset>
            </wp:positionV>
            <wp:extent cx="1289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-25400</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-8255</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-25400</wp:posOffset>
            </wp:positionV>
            <wp:extent cx="768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-8255</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-25400</wp:posOffset>
            </wp:positionV>
            <wp:extent cx="1200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-8255</wp:posOffset>
            </wp:positionV>
            <wp:extent cx="1200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-25400</wp:posOffset>
            </wp:positionV>
            <wp:extent cx="1200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1200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1200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120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1200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1200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1200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1200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8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Paid-in-</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Retained</w:t>
            </w:r>
          </w:p>
        </w:tc>
        <w:tc>
          <w:tcPr>
            <w:tcW w:w="162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Income, Net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6"/>
                <w:szCs w:val="16"/>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Interests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(in thousands)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2,593,39</w:t>
            </w: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(299,16</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3,087,55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2020</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$ 6,547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844,979</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(61,452 )</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(5,434 )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280"/>
              <w:spacing w:after="0"/>
              <w:rPr>
                <w:sz w:val="20"/>
                <w:szCs w:val="20"/>
                <w:color w:val="auto"/>
              </w:rPr>
            </w:pPr>
            <w:r>
              <w:rPr>
                <w:rFonts w:ascii="Arial" w:cs="Arial" w:eastAsia="Arial" w:hAnsi="Arial"/>
                <w:sz w:val="18"/>
                <w:szCs w:val="18"/>
                <w:color w:val="auto"/>
                <w:w w:val="98"/>
              </w:rPr>
              <w:t>Stock option exercises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stock for</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equity awards, net of</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forfeitures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(6,076 )</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6,076</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80" w:type="dxa"/>
            <w:vAlign w:val="bottom"/>
          </w:tcPr>
          <w:p>
            <w:pPr>
              <w:ind w:left="280"/>
              <w:spacing w:after="0"/>
              <w:rPr>
                <w:sz w:val="20"/>
                <w:szCs w:val="20"/>
                <w:color w:val="auto"/>
              </w:rPr>
            </w:pPr>
            <w:r>
              <w:rPr>
                <w:rFonts w:ascii="Arial" w:cs="Arial" w:eastAsia="Arial" w:hAnsi="Arial"/>
                <w:sz w:val="18"/>
                <w:szCs w:val="18"/>
                <w:color w:val="auto"/>
              </w:rPr>
              <w:t>Tax withholdings on</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80"/>
              <w:spacing w:after="0"/>
              <w:rPr>
                <w:sz w:val="20"/>
                <w:szCs w:val="20"/>
                <w:color w:val="auto"/>
              </w:rPr>
            </w:pPr>
            <w:r>
              <w:rPr>
                <w:rFonts w:ascii="Arial" w:cs="Arial" w:eastAsia="Arial" w:hAnsi="Arial"/>
                <w:sz w:val="18"/>
                <w:szCs w:val="18"/>
                <w:color w:val="auto"/>
              </w:rPr>
              <w:t>equity award vesting</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(52 )</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(2,853 )</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(2,853 )</w:t>
            </w: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Amortization of</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8"/>
              </w:rPr>
              <w:t>unearned share-based</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9,148</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80" w:type="dxa"/>
            <w:vAlign w:val="bottom"/>
          </w:tcPr>
          <w:p>
            <w:pPr>
              <w:ind w:left="280"/>
              <w:spacing w:after="0"/>
              <w:rPr>
                <w:sz w:val="20"/>
                <w:szCs w:val="20"/>
                <w:color w:val="auto"/>
              </w:rPr>
            </w:pPr>
            <w:r>
              <w:rPr>
                <w:rFonts w:ascii="Arial" w:cs="Arial" w:eastAsia="Arial" w:hAnsi="Arial"/>
                <w:sz w:val="18"/>
                <w:szCs w:val="18"/>
                <w:color w:val="auto"/>
              </w:rPr>
              <w:t>Total comprehensive</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80"/>
              <w:spacing w:after="0"/>
              <w:rPr>
                <w:sz w:val="20"/>
                <w:szCs w:val="20"/>
                <w:color w:val="auto"/>
              </w:rPr>
            </w:pPr>
            <w:r>
              <w:rPr>
                <w:rFonts w:ascii="Arial" w:cs="Arial" w:eastAsia="Arial" w:hAnsi="Arial"/>
                <w:sz w:val="18"/>
                <w:szCs w:val="18"/>
                <w:color w:val="auto"/>
              </w:rPr>
              <w:t>income, net of taxes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6,815</w:t>
            </w:r>
          </w:p>
        </w:tc>
        <w:tc>
          <w:tcPr>
            <w:tcW w:w="2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5"/>
              </w:rPr>
              <w:t>Return of investment to</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(25 )</w:t>
            </w:r>
          </w:p>
        </w:tc>
        <w:tc>
          <w:tcPr>
            <w:tcW w:w="140" w:type="dxa"/>
            <w:vAlign w:val="bottom"/>
            <w:shd w:val="clear" w:color="auto" w:fill="CFF0FC"/>
          </w:tcPr>
          <w:p>
            <w:pPr>
              <w:spacing w:after="0"/>
              <w:rPr>
                <w:sz w:val="21"/>
                <w:szCs w:val="21"/>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6"/>
              </w:rPr>
              <w:t>noncontrolling interests</w:t>
            </w:r>
          </w:p>
        </w:tc>
        <w:tc>
          <w:tcPr>
            <w:tcW w:w="66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vMerge w:val="continue"/>
            <w:shd w:val="clear" w:color="auto" w:fill="CFF0FC"/>
          </w:tcPr>
          <w:p>
            <w:pPr>
              <w:spacing w:after="0"/>
              <w:rPr>
                <w:sz w:val="20"/>
                <w:szCs w:val="20"/>
                <w:color w:val="auto"/>
              </w:rPr>
            </w:pPr>
          </w:p>
        </w:tc>
        <w:tc>
          <w:tcPr>
            <w:tcW w:w="84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9"/>
              </w:rPr>
              <w:t>Balance at June 30, 2021</w:t>
            </w:r>
          </w:p>
        </w:tc>
        <w:tc>
          <w:tcPr>
            <w:tcW w:w="66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2,600,20</w:t>
            </w:r>
          </w:p>
        </w:tc>
        <w:tc>
          <w:tcPr>
            <w:tcW w:w="200" w:type="dxa"/>
            <w:vAlign w:val="bottom"/>
            <w:tcBorders>
              <w:top w:val="single" w:sz="8" w:color="CFF0FC"/>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(295,46</w:t>
            </w:r>
          </w:p>
        </w:tc>
        <w:tc>
          <w:tcPr>
            <w:tcW w:w="1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3,105,32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65,472</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9"/>
              </w:rPr>
              <w:t>$ 6,547</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848,081</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(57,683 )</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(5,366 )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3,639</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8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Paid-in-</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Retained</w:t>
            </w:r>
          </w:p>
        </w:tc>
        <w:tc>
          <w:tcPr>
            <w:tcW w:w="162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Income, Net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6"/>
                <w:szCs w:val="16"/>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Interests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(in thousands)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2,865,93</w:t>
            </w: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(301,96</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3,371,59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2019</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$ 6,547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835,899</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(37,799 )</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(5,513 )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280"/>
              <w:spacing w:after="0"/>
              <w:rPr>
                <w:sz w:val="20"/>
                <w:szCs w:val="20"/>
                <w:color w:val="auto"/>
              </w:rPr>
            </w:pPr>
            <w:r>
              <w:rPr>
                <w:rFonts w:ascii="Arial" w:cs="Arial" w:eastAsia="Arial" w:hAnsi="Arial"/>
                <w:sz w:val="18"/>
                <w:szCs w:val="18"/>
                <w:color w:val="auto"/>
                <w:w w:val="98"/>
              </w:rPr>
              <w:t>Stock option exercises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stock for</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equity awards, net of</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forfeitures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(5,703 )</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5,703</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80" w:type="dxa"/>
            <w:vAlign w:val="bottom"/>
          </w:tcPr>
          <w:p>
            <w:pPr>
              <w:ind w:left="280"/>
              <w:spacing w:after="0"/>
              <w:rPr>
                <w:sz w:val="20"/>
                <w:szCs w:val="20"/>
                <w:color w:val="auto"/>
              </w:rPr>
            </w:pPr>
            <w:r>
              <w:rPr>
                <w:rFonts w:ascii="Arial" w:cs="Arial" w:eastAsia="Arial" w:hAnsi="Arial"/>
                <w:sz w:val="18"/>
                <w:szCs w:val="18"/>
                <w:color w:val="auto"/>
              </w:rPr>
              <w:t>Tax withholdings on</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80"/>
              <w:spacing w:after="0"/>
              <w:rPr>
                <w:sz w:val="20"/>
                <w:szCs w:val="20"/>
                <w:color w:val="auto"/>
              </w:rPr>
            </w:pPr>
            <w:r>
              <w:rPr>
                <w:rFonts w:ascii="Arial" w:cs="Arial" w:eastAsia="Arial" w:hAnsi="Arial"/>
                <w:sz w:val="18"/>
                <w:szCs w:val="18"/>
                <w:color w:val="auto"/>
              </w:rPr>
              <w:t>equity award vesting</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(3,191 )</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(3,191 )</w:t>
            </w: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Amortization of</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8"/>
              </w:rPr>
              <w:t>unearned share-based</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8,652</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80" w:type="dxa"/>
            <w:vAlign w:val="bottom"/>
          </w:tcPr>
          <w:p>
            <w:pPr>
              <w:ind w:left="280"/>
              <w:spacing w:after="0"/>
              <w:rPr>
                <w:sz w:val="20"/>
                <w:szCs w:val="20"/>
                <w:color w:val="auto"/>
              </w:rPr>
            </w:pPr>
            <w:r>
              <w:rPr>
                <w:rFonts w:ascii="Arial" w:cs="Arial" w:eastAsia="Arial" w:hAnsi="Arial"/>
                <w:sz w:val="18"/>
                <w:szCs w:val="18"/>
                <w:color w:val="auto"/>
              </w:rPr>
              <w:t>Total comprehensive</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80"/>
              <w:spacing w:after="0"/>
              <w:rPr>
                <w:sz w:val="20"/>
                <w:szCs w:val="20"/>
                <w:color w:val="auto"/>
              </w:rPr>
            </w:pPr>
            <w:r>
              <w:rPr>
                <w:rFonts w:ascii="Arial" w:cs="Arial" w:eastAsia="Arial" w:hAnsi="Arial"/>
                <w:sz w:val="18"/>
                <w:szCs w:val="18"/>
                <w:color w:val="auto"/>
              </w:rPr>
              <w:t>loss, net of taxes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(3,318 )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(322,239 )</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(325,018 )</w:t>
            </w: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5"/>
              </w:rPr>
              <w:t>Return of investment to</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(404 )</w:t>
            </w:r>
          </w:p>
        </w:tc>
        <w:tc>
          <w:tcPr>
            <w:tcW w:w="140" w:type="dxa"/>
            <w:vAlign w:val="bottom"/>
            <w:shd w:val="clear" w:color="auto" w:fill="CFF0FC"/>
          </w:tcPr>
          <w:p>
            <w:pPr>
              <w:spacing w:after="0"/>
              <w:rPr>
                <w:sz w:val="21"/>
                <w:szCs w:val="21"/>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6"/>
              </w:rPr>
              <w:t>noncontrolling interests</w:t>
            </w:r>
          </w:p>
        </w:tc>
        <w:tc>
          <w:tcPr>
            <w:tcW w:w="66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vMerge w:val="continue"/>
            <w:shd w:val="clear" w:color="auto" w:fill="CFF0FC"/>
          </w:tcPr>
          <w:p>
            <w:pPr>
              <w:spacing w:after="0"/>
              <w:rPr>
                <w:sz w:val="20"/>
                <w:szCs w:val="20"/>
                <w:color w:val="auto"/>
              </w:rPr>
            </w:pPr>
          </w:p>
        </w:tc>
        <w:tc>
          <w:tcPr>
            <w:tcW w:w="84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9"/>
              </w:rPr>
              <w:t>Balance at June 30, 2020</w:t>
            </w:r>
          </w:p>
        </w:tc>
        <w:tc>
          <w:tcPr>
            <w:tcW w:w="66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2,543,70</w:t>
            </w:r>
          </w:p>
        </w:tc>
        <w:tc>
          <w:tcPr>
            <w:tcW w:w="200" w:type="dxa"/>
            <w:vAlign w:val="bottom"/>
            <w:tcBorders>
              <w:top w:val="single" w:sz="8" w:color="CFF0FC"/>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(299,12</w:t>
            </w:r>
          </w:p>
        </w:tc>
        <w:tc>
          <w:tcPr>
            <w:tcW w:w="1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3,051,98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65,472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$ 6,547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838,874</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(41,117 )</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(5,434 )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3,104</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-3785235</wp:posOffset>
            </wp:positionV>
            <wp:extent cx="12890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-3785235</wp:posOffset>
            </wp:positionV>
            <wp:extent cx="13716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-3785235</wp:posOffset>
            </wp:positionV>
            <wp:extent cx="12827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-3785235</wp:posOffset>
            </wp:positionV>
            <wp:extent cx="12001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-3785235</wp:posOffset>
            </wp:positionV>
            <wp:extent cx="12001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-3785235</wp:posOffset>
            </wp:positionV>
            <wp:extent cx="12001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-3785235</wp:posOffset>
            </wp:positionV>
            <wp:extent cx="12001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-3785235</wp:posOffset>
            </wp:positionV>
            <wp:extent cx="12001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-3785235</wp:posOffset>
            </wp:positionV>
            <wp:extent cx="685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-339090</wp:posOffset>
            </wp:positionV>
            <wp:extent cx="12890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-339090</wp:posOffset>
            </wp:positionV>
            <wp:extent cx="13716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-339090</wp:posOffset>
            </wp:positionV>
            <wp:extent cx="12827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-339090</wp:posOffset>
            </wp:positionV>
            <wp:extent cx="12001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-339090</wp:posOffset>
            </wp:positionV>
            <wp:extent cx="12001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-339090</wp:posOffset>
            </wp:positionV>
            <wp:extent cx="12001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-339090</wp:posOffset>
            </wp:positionV>
            <wp:extent cx="12001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-339090</wp:posOffset>
            </wp:positionV>
            <wp:extent cx="12001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-339090</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ind w:left="500" w:hanging="486"/>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Preparation of the Condensed Financial Statements</w:t>
      </w:r>
    </w:p>
    <w:p>
      <w:pPr>
        <w:spacing w:after="0" w:line="256" w:lineRule="exact"/>
        <w:rPr>
          <w:sz w:val="20"/>
          <w:szCs w:val="20"/>
          <w:color w:val="auto"/>
        </w:rPr>
      </w:pPr>
    </w:p>
    <w:p>
      <w:pPr>
        <w:jc w:val="both"/>
        <w:ind w:firstLine="492"/>
        <w:spacing w:after="0" w:line="290" w:lineRule="auto"/>
        <w:rPr>
          <w:sz w:val="20"/>
          <w:szCs w:val="20"/>
          <w:color w:val="auto"/>
        </w:rPr>
      </w:pPr>
      <w:r>
        <w:rPr>
          <w:rFonts w:ascii="Arial" w:cs="Arial" w:eastAsia="Arial" w:hAnsi="Arial"/>
          <w:sz w:val="17"/>
          <w:szCs w:val="17"/>
          <w:color w:val="auto"/>
        </w:rPr>
        <w:t>The condensed financial statements included herein have been prepared by Kirby Corporation and its consolidated subsidiaries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2020. Certain reclassifications have been made to reflect the current presentation of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 Adoption</w:t>
      </w:r>
    </w:p>
    <w:p>
      <w:pPr>
        <w:spacing w:after="0" w:line="252" w:lineRule="exact"/>
        <w:rPr>
          <w:sz w:val="20"/>
          <w:szCs w:val="20"/>
          <w:color w:val="auto"/>
        </w:rPr>
      </w:pPr>
    </w:p>
    <w:p>
      <w:pPr>
        <w:jc w:val="both"/>
        <w:ind w:firstLine="492"/>
        <w:spacing w:after="0" w:line="275" w:lineRule="auto"/>
        <w:rPr>
          <w:sz w:val="20"/>
          <w:szCs w:val="20"/>
          <w:color w:val="auto"/>
        </w:rPr>
      </w:pPr>
      <w:r>
        <w:rPr>
          <w:rFonts w:ascii="Arial" w:cs="Arial" w:eastAsia="Arial" w:hAnsi="Arial"/>
          <w:sz w:val="18"/>
          <w:szCs w:val="18"/>
          <w:color w:val="auto"/>
        </w:rPr>
        <w:t>In December 2019, the Financial Accounting Standards Board issued Accounting Standards Update 2019-12, “Income Taxes (Topic 740): Simplifying the Accounting for Income Taxes” (“ASU 2019-12”) which simplifies the accounting for income taxes by removing certain exceptions to the general principles in Topic 740, Income Taxes. The Company adopted ASU 2019-12 on January 1, 2021. There was no material impact on the Company’s financial statements or disclosures upon adoption of ASU 2019-12.</w:t>
      </w:r>
    </w:p>
    <w:p>
      <w:pPr>
        <w:spacing w:after="0" w:line="195"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56" w:lineRule="exact"/>
        <w:rPr>
          <w:sz w:val="20"/>
          <w:szCs w:val="20"/>
          <w:color w:val="auto"/>
        </w:rPr>
      </w:pPr>
    </w:p>
    <w:p>
      <w:pPr>
        <w:ind w:firstLine="486"/>
        <w:spacing w:after="0" w:line="293" w:lineRule="auto"/>
        <w:rPr>
          <w:sz w:val="20"/>
          <w:szCs w:val="20"/>
          <w:color w:val="auto"/>
        </w:rPr>
      </w:pPr>
      <w:r>
        <w:rPr>
          <w:rFonts w:ascii="Arial" w:cs="Arial" w:eastAsia="Arial" w:hAnsi="Arial"/>
          <w:sz w:val="18"/>
          <w:szCs w:val="18"/>
          <w:color w:val="auto"/>
        </w:rPr>
        <w:t>During the six months ended June 30, 2021, the Company purchased four inland tank barges from a leasing company for $7,470,000 in cash. The Company had been leasing the barges prior to the purchase.</w:t>
      </w:r>
    </w:p>
    <w:p>
      <w:pPr>
        <w:spacing w:after="0" w:line="17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Company’s revenues by major source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Marine transportation segment:</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Inland transportation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253,588</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303,012</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478,039</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621,577</w:t>
            </w:r>
          </w:p>
        </w:tc>
        <w:tc>
          <w:tcPr>
            <w:tcW w:w="100" w:type="dxa"/>
            <w:vAlign w:val="bottom"/>
          </w:tcPr>
          <w:p>
            <w:pPr>
              <w:spacing w:after="0"/>
              <w:rPr>
                <w:sz w:val="21"/>
                <w:szCs w:val="21"/>
                <w:color w:val="auto"/>
              </w:rPr>
            </w:pPr>
          </w:p>
        </w:tc>
      </w:tr>
      <w:tr>
        <w:trPr>
          <w:trHeight w:val="257"/>
        </w:trPr>
        <w:tc>
          <w:tcPr>
            <w:tcW w:w="4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Coastal transportation</w:t>
            </w: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79,299</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77,975</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155,799</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162,667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9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332,887</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380,987</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633,838</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784,244</w:t>
            </w:r>
          </w:p>
        </w:tc>
        <w:tc>
          <w:tcPr>
            <w:tcW w:w="10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Distribution and services segment: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Commercial and industrial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140,966</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129,548</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273,874</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291,539</w:t>
            </w:r>
          </w:p>
        </w:tc>
        <w:tc>
          <w:tcPr>
            <w:tcW w:w="100" w:type="dxa"/>
            <w:vAlign w:val="bottom"/>
          </w:tcPr>
          <w:p>
            <w:pPr>
              <w:spacing w:after="0"/>
              <w:rPr>
                <w:sz w:val="21"/>
                <w:szCs w:val="21"/>
                <w:color w:val="auto"/>
              </w:rPr>
            </w:pPr>
          </w:p>
        </w:tc>
      </w:tr>
      <w:tr>
        <w:trPr>
          <w:trHeight w:val="257"/>
        </w:trPr>
        <w:tc>
          <w:tcPr>
            <w:tcW w:w="4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Oil and gas</w:t>
            </w: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85,771</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30,624</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148,762</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109,302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9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226,737</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160,172</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422,636</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400,841</w:t>
            </w:r>
          </w:p>
        </w:tc>
        <w:tc>
          <w:tcPr>
            <w:tcW w:w="10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-879475</wp:posOffset>
            </wp:positionV>
            <wp:extent cx="17970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-879475</wp:posOffset>
            </wp:positionV>
            <wp:extent cx="17970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-879475</wp:posOffset>
            </wp:positionV>
            <wp:extent cx="16256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-879475</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-193675</wp:posOffset>
            </wp:positionV>
            <wp:extent cx="17970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-193675</wp:posOffset>
            </wp:positionV>
            <wp:extent cx="17970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-193675</wp:posOffset>
            </wp:positionV>
            <wp:extent cx="16256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color w:val="auto"/>
        </w:rPr>
        <w:t>Contract liabilities represent advance consideration received from customers, and are recognized as revenue over time as the related performance obligation is satisfied. Revenues recognized during the six months ended June 30, 2021 and 2020 that were included in the opening contract liability balances were $39,181,000 and $33,693,000, respectively. The Company presents all contract liabilities within the deferred revenues financial statement caption on the balance sheets. The Company did not have any contract assets at June 30, 2021 or December 31, 2020. The Company applies the practical expedient that allows non-disclosure of information about remaining performance obligations that have original expected durations of one year or less.</w:t>
      </w:r>
    </w:p>
    <w:p>
      <w:pPr>
        <w:spacing w:after="0" w:line="169"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operations are aggregated into two reportable business segments as follows:</w:t>
      </w:r>
    </w:p>
    <w:p>
      <w:pPr>
        <w:spacing w:after="0" w:line="252" w:lineRule="exact"/>
        <w:rPr>
          <w:sz w:val="20"/>
          <w:szCs w:val="20"/>
          <w:color w:val="auto"/>
        </w:rPr>
      </w:pPr>
    </w:p>
    <w:p>
      <w:pPr>
        <w:jc w:val="both"/>
        <w:ind w:firstLine="486"/>
        <w:spacing w:after="0" w:line="329" w:lineRule="auto"/>
        <w:rPr>
          <w:sz w:val="20"/>
          <w:szCs w:val="20"/>
          <w:color w:val="auto"/>
        </w:rPr>
      </w:pPr>
      <w:r>
        <w:rPr>
          <w:rFonts w:ascii="Arial" w:cs="Arial" w:eastAsia="Arial" w:hAnsi="Arial"/>
          <w:sz w:val="16"/>
          <w:szCs w:val="16"/>
          <w:i w:val="1"/>
          <w:iCs w:val="1"/>
          <w:color w:val="auto"/>
        </w:rPr>
        <w:t xml:space="preserve">Marine Transportation </w:t>
      </w:r>
      <w:r>
        <w:rPr>
          <w:rFonts w:ascii="Arial" w:cs="Arial" w:eastAsia="Arial" w:hAnsi="Arial"/>
          <w:sz w:val="16"/>
          <w:szCs w:val="16"/>
          <w:color w:val="auto"/>
        </w:rPr>
        <w:t>— Provides marine transportation by United States flagged vessels principally of liquid cargoes throughout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inland waterway system, along all three United States coasts, in Alaska and Hawaii and, to a lesser extent, in United States coastal transportation of dry-bulk cargoes. The principal products transported include petrochemicals, black oil, refined petroleum products and agricultural chemicals.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both"/>
        <w:ind w:firstLine="492"/>
        <w:spacing w:after="0" w:line="296" w:lineRule="auto"/>
        <w:rPr>
          <w:sz w:val="20"/>
          <w:szCs w:val="20"/>
          <w:color w:val="auto"/>
        </w:rPr>
      </w:pPr>
      <w:r>
        <w:rPr>
          <w:rFonts w:ascii="Arial" w:cs="Arial" w:eastAsia="Arial" w:hAnsi="Arial"/>
          <w:sz w:val="17"/>
          <w:szCs w:val="17"/>
          <w:i w:val="1"/>
          <w:iCs w:val="1"/>
          <w:color w:val="auto"/>
        </w:rPr>
        <w:t xml:space="preserve">Distribution and Services </w:t>
      </w:r>
      <w:r>
        <w:rPr>
          <w:rFonts w:ascii="Arial" w:cs="Arial" w:eastAsia="Arial" w:hAnsi="Arial"/>
          <w:sz w:val="17"/>
          <w:szCs w:val="17"/>
          <w:color w:val="auto"/>
        </w:rPr>
        <w:t>— Provides after-market services and parts for engines, transmissions, reduction gears and related equipment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oilfield service,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183" w:lineRule="exact"/>
        <w:rPr>
          <w:sz w:val="20"/>
          <w:szCs w:val="20"/>
          <w:color w:val="auto"/>
        </w:rPr>
      </w:pPr>
    </w:p>
    <w:p>
      <w:pPr>
        <w:jc w:val="both"/>
        <w:ind w:firstLine="486"/>
        <w:spacing w:after="0" w:line="309" w:lineRule="auto"/>
        <w:rPr>
          <w:sz w:val="20"/>
          <w:szCs w:val="20"/>
          <w:color w:val="auto"/>
        </w:rPr>
      </w:pPr>
      <w:r>
        <w:rPr>
          <w:rFonts w:ascii="Arial" w:cs="Arial" w:eastAsia="Arial" w:hAnsi="Arial"/>
          <w:sz w:val="16"/>
          <w:szCs w:val="16"/>
          <w:color w:val="auto"/>
        </w:rPr>
        <w:t>The Company’s two reportable business segments are managed separately based on fundamental differences in their operations. The Company evaluates the performance of its segments based on the contributions to operating income of the respective segments, before income taxes, interest, gains or losses on disposition of assets, other nonoperating income, noncontrolling interests, accounting changes, and nonrecurring items. Intersegment revenues, based on market-based pricing, of the distribution and services segment from the marine transportation segment of $7,254,000 and $12,157,000 for the three months and six months ended June 30, 2021, respectively, and $6,061,000 and $16,347,000 for the three months and six months ended June 30, 2020, respectively, as well as the related intersegment profit of $726,000 and $1,216,000 for the three months and six months ending June 30, 2021, respectively, and $606,000 and $1,635,000 for the three months and six months ended June 30, 2020, respectively, have been eliminated from the tables below.</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set forth the Company’s revenues and profit or loss by reportable segment and total assets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7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9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Marine transportation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332,887</w:t>
            </w:r>
          </w:p>
        </w:tc>
        <w:tc>
          <w:tcPr>
            <w:tcW w:w="2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380,987</w:t>
            </w:r>
          </w:p>
        </w:tc>
        <w:tc>
          <w:tcPr>
            <w:tcW w:w="2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633,838</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784,244</w:t>
            </w:r>
          </w:p>
        </w:tc>
        <w:tc>
          <w:tcPr>
            <w:tcW w:w="100" w:type="dxa"/>
            <w:vAlign w:val="bottom"/>
          </w:tcPr>
          <w:p>
            <w:pPr>
              <w:spacing w:after="0"/>
              <w:rPr>
                <w:sz w:val="21"/>
                <w:szCs w:val="21"/>
                <w:color w:val="auto"/>
              </w:rPr>
            </w:pPr>
          </w:p>
        </w:tc>
      </w:tr>
      <w:tr>
        <w:trPr>
          <w:trHeight w:val="257"/>
        </w:trPr>
        <w:tc>
          <w:tcPr>
            <w:tcW w:w="4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Distribution and services</w:t>
            </w: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226,737</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160,172</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422,636</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400,841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9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559,624</w:t>
            </w:r>
          </w:p>
        </w:tc>
        <w:tc>
          <w:tcPr>
            <w:tcW w:w="28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541,159</w:t>
            </w:r>
          </w:p>
        </w:tc>
        <w:tc>
          <w:tcPr>
            <w:tcW w:w="28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1,056,474</w:t>
            </w:r>
          </w:p>
        </w:tc>
        <w:tc>
          <w:tcPr>
            <w:tcW w:w="26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1,185,085</w:t>
            </w:r>
          </w:p>
        </w:tc>
        <w:tc>
          <w:tcPr>
            <w:tcW w:w="10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profit (loss):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Marine transportation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18,478</w:t>
            </w:r>
          </w:p>
        </w:tc>
        <w:tc>
          <w:tcPr>
            <w:tcW w:w="2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51,375</w:t>
            </w:r>
          </w:p>
        </w:tc>
        <w:tc>
          <w:tcPr>
            <w:tcW w:w="2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20,418</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102,091</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Distribution and services</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6,156</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(14,147 )</w:t>
            </w: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9,067</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(10,429 )</w:t>
            </w: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(8,789 )</w:t>
            </w:r>
          </w:p>
        </w:tc>
        <w:tc>
          <w:tcPr>
            <w:tcW w:w="3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(13,394 )</w:t>
            </w: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(17,651 )</w:t>
            </w: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(587,600 )</w:t>
            </w:r>
          </w:p>
        </w:tc>
      </w:tr>
      <w:tr>
        <w:trPr>
          <w:trHeight w:val="20"/>
        </w:trPr>
        <w:tc>
          <w:tcPr>
            <w:tcW w:w="4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900" w:type="dxa"/>
            <w:vAlign w:val="bottom"/>
            <w:shd w:val="clear" w:color="auto" w:fill="CFF0FC"/>
          </w:tcPr>
          <w:p>
            <w:pPr>
              <w:spacing w:after="0"/>
              <w:rPr>
                <w:sz w:val="23"/>
                <w:szCs w:val="23"/>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15,845</w:t>
            </w:r>
          </w:p>
        </w:tc>
        <w:tc>
          <w:tcPr>
            <w:tcW w:w="280" w:type="dxa"/>
            <w:vAlign w:val="bottom"/>
            <w:shd w:val="clear" w:color="auto" w:fill="CFF0FC"/>
          </w:tcPr>
          <w:p>
            <w:pPr>
              <w:spacing w:after="0"/>
              <w:rPr>
                <w:sz w:val="23"/>
                <w:szCs w:val="23"/>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23,834</w:t>
            </w:r>
          </w:p>
        </w:tc>
        <w:tc>
          <w:tcPr>
            <w:tcW w:w="280" w:type="dxa"/>
            <w:vAlign w:val="bottom"/>
            <w:shd w:val="clear" w:color="auto" w:fill="CFF0FC"/>
          </w:tcPr>
          <w:p>
            <w:pPr>
              <w:spacing w:after="0"/>
              <w:rPr>
                <w:sz w:val="23"/>
                <w:szCs w:val="23"/>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11,834</w:t>
            </w:r>
          </w:p>
        </w:tc>
        <w:tc>
          <w:tcPr>
            <w:tcW w:w="26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(495,938 )</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-1042035</wp:posOffset>
            </wp:positionV>
            <wp:extent cx="17970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-1042035</wp:posOffset>
            </wp:positionV>
            <wp:extent cx="17970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-1042035</wp:posOffset>
            </wp:positionV>
            <wp:extent cx="16256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-1042035</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1797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1797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1797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1797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625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1625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spacing w:after="0" w:line="234" w:lineRule="exact"/>
        <w:rPr>
          <w:sz w:val="20"/>
          <w:szCs w:val="20"/>
          <w:color w:val="auto"/>
        </w:rPr>
      </w:pPr>
    </w:p>
    <w:p>
      <w:pPr>
        <w:jc w:val="center"/>
        <w:ind w:left="8360"/>
        <w:spacing w:after="0"/>
        <w:rPr>
          <w:sz w:val="20"/>
          <w:szCs w:val="20"/>
          <w:color w:val="auto"/>
        </w:rPr>
      </w:pPr>
      <w:r>
        <w:rPr>
          <w:rFonts w:ascii="Arial" w:cs="Arial" w:eastAsia="Arial" w:hAnsi="Arial"/>
          <w:sz w:val="12"/>
          <w:szCs w:val="12"/>
          <w:b w:val="1"/>
          <w:bCs w:val="1"/>
          <w:color w:val="auto"/>
        </w:rPr>
        <w:t>June 30,</w:t>
      </w:r>
    </w:p>
    <w:p>
      <w:pPr>
        <w:spacing w:after="0" w:line="4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color w:val="auto"/>
        </w:rPr>
        <w:t>December 31,</w:t>
      </w:r>
    </w:p>
    <w:p>
      <w:pPr>
        <w:spacing w:after="0" w:line="48"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2020</w:t>
      </w:r>
    </w:p>
    <w:p>
      <w:pPr>
        <w:spacing w:after="0" w:line="15" w:lineRule="exact"/>
        <w:rPr>
          <w:sz w:val="20"/>
          <w:szCs w:val="20"/>
          <w:color w:val="auto"/>
        </w:rPr>
      </w:pPr>
    </w:p>
    <w:p>
      <w:pPr>
        <w:sectPr>
          <w:pgSz w:w="11900" w:h="16838" w:orient="portrait"/>
          <w:cols w:equalWidth="0" w:num="2">
            <w:col w:w="9320" w:space="720"/>
            <w:col w:w="120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9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CFF0FC"/>
            </w:tcBorders>
            <w:shd w:val="clear" w:color="auto" w:fill="CFF0FC"/>
          </w:tcPr>
          <w:p>
            <w:pPr>
              <w:spacing w:after="0"/>
              <w:rPr>
                <w:sz w:val="22"/>
                <w:szCs w:val="22"/>
                <w:color w:val="auto"/>
              </w:rPr>
            </w:pPr>
          </w:p>
        </w:tc>
        <w:tc>
          <w:tcPr>
            <w:tcW w:w="1060" w:type="dxa"/>
            <w:vAlign w:val="bottom"/>
            <w:tcBorders>
              <w:top w:val="single" w:sz="8" w:color="CFF0FC"/>
            </w:tcBorders>
            <w:shd w:val="clear" w:color="auto" w:fill="CFF0FC"/>
          </w:tcPr>
          <w:p>
            <w:pPr>
              <w:spacing w:after="0"/>
              <w:rPr>
                <w:sz w:val="22"/>
                <w:szCs w:val="22"/>
                <w:color w:val="auto"/>
              </w:rPr>
            </w:pPr>
          </w:p>
        </w:tc>
        <w:tc>
          <w:tcPr>
            <w:tcW w:w="280" w:type="dxa"/>
            <w:vAlign w:val="bottom"/>
            <w:tcBorders>
              <w:top w:val="single" w:sz="8" w:color="CFF0FC"/>
            </w:tcBorders>
            <w:shd w:val="clear" w:color="auto" w:fill="CFF0FC"/>
          </w:tcPr>
          <w:p>
            <w:pPr>
              <w:spacing w:after="0"/>
              <w:rPr>
                <w:sz w:val="22"/>
                <w:szCs w:val="22"/>
                <w:color w:val="auto"/>
              </w:rPr>
            </w:pPr>
          </w:p>
        </w:tc>
        <w:tc>
          <w:tcPr>
            <w:tcW w:w="320" w:type="dxa"/>
            <w:vAlign w:val="bottom"/>
            <w:tcBorders>
              <w:top w:val="single" w:sz="8" w:color="CFF0FC"/>
            </w:tcBorders>
            <w:shd w:val="clear" w:color="auto" w:fill="CFF0FC"/>
          </w:tcPr>
          <w:p>
            <w:pPr>
              <w:spacing w:after="0"/>
              <w:rPr>
                <w:sz w:val="22"/>
                <w:szCs w:val="22"/>
                <w:color w:val="auto"/>
              </w:rPr>
            </w:pPr>
          </w:p>
        </w:tc>
        <w:tc>
          <w:tcPr>
            <w:tcW w:w="1040" w:type="dxa"/>
            <w:vAlign w:val="bottom"/>
            <w:tcBorders>
              <w:top w:val="single" w:sz="8" w:color="CFF0FC"/>
            </w:tcBorders>
            <w:shd w:val="clear" w:color="auto" w:fill="CFF0FC"/>
          </w:tcPr>
          <w:p>
            <w:pPr>
              <w:spacing w:after="0"/>
              <w:rPr>
                <w:sz w:val="22"/>
                <w:szCs w:val="22"/>
                <w:color w:val="auto"/>
              </w:rPr>
            </w:pPr>
          </w:p>
        </w:tc>
        <w:tc>
          <w:tcPr>
            <w:tcW w:w="240" w:type="dxa"/>
            <w:vAlign w:val="bottom"/>
            <w:tcBorders>
              <w:top w:val="single" w:sz="8" w:color="CFF0FC"/>
            </w:tcBorders>
            <w:shd w:val="clear" w:color="auto" w:fill="CFF0FC"/>
          </w:tcPr>
          <w:p>
            <w:pPr>
              <w:spacing w:after="0"/>
              <w:rPr>
                <w:sz w:val="22"/>
                <w:szCs w:val="22"/>
                <w:color w:val="auto"/>
              </w:rPr>
            </w:pPr>
          </w:p>
        </w:tc>
        <w:tc>
          <w:tcPr>
            <w:tcW w:w="40" w:type="dxa"/>
            <w:vAlign w:val="bottom"/>
            <w:tcBorders>
              <w:top w:val="single" w:sz="8" w:color="auto"/>
            </w:tcBorders>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20" w:type="dxa"/>
            <w:vAlign w:val="bottom"/>
            <w:tcBorders>
              <w:top w:val="single" w:sz="8" w:color="CFF0FC"/>
            </w:tcBorders>
            <w:shd w:val="clear" w:color="auto" w:fill="CFF0FC"/>
          </w:tcPr>
          <w:p>
            <w:pPr>
              <w:spacing w:after="0"/>
              <w:rPr>
                <w:sz w:val="22"/>
                <w:szCs w:val="22"/>
                <w:color w:val="auto"/>
              </w:rPr>
            </w:pPr>
          </w:p>
        </w:tc>
        <w:tc>
          <w:tcPr>
            <w:tcW w:w="260" w:type="dxa"/>
            <w:vAlign w:val="bottom"/>
            <w:tcBorders>
              <w:top w:val="single" w:sz="8" w:color="CFF0FC"/>
            </w:tcBorders>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Marine transportation</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4,723,786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4,760,449</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Distribution and services</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832,497</w:t>
            </w: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805,831</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211,532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357,894</w:t>
            </w:r>
          </w:p>
        </w:tc>
        <w:tc>
          <w:tcPr>
            <w:tcW w:w="100" w:type="dxa"/>
            <w:vAlign w:val="bottom"/>
          </w:tcPr>
          <w:p>
            <w:pPr>
              <w:spacing w:after="0"/>
              <w:rPr>
                <w:sz w:val="21"/>
                <w:szCs w:val="21"/>
                <w:color w:val="auto"/>
              </w:rPr>
            </w:pPr>
          </w:p>
        </w:tc>
      </w:tr>
      <w:tr>
        <w:trPr>
          <w:trHeight w:val="290"/>
        </w:trPr>
        <w:tc>
          <w:tcPr>
            <w:tcW w:w="49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5,767,815</w:t>
            </w:r>
          </w:p>
        </w:tc>
        <w:tc>
          <w:tcPr>
            <w:tcW w:w="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5,924,174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6"/>
        </w:trPr>
        <w:tc>
          <w:tcPr>
            <w:tcW w:w="6560" w:type="dxa"/>
            <w:vAlign w:val="bottom"/>
            <w:gridSpan w:val="4"/>
          </w:tcPr>
          <w:p>
            <w:pPr>
              <w:ind w:left="500"/>
              <w:spacing w:after="0"/>
              <w:rPr>
                <w:sz w:val="20"/>
                <w:szCs w:val="20"/>
                <w:color w:val="auto"/>
              </w:rPr>
            </w:pPr>
            <w:r>
              <w:rPr>
                <w:rFonts w:ascii="Arial" w:cs="Arial" w:eastAsia="Arial" w:hAnsi="Arial"/>
                <w:sz w:val="18"/>
                <w:szCs w:val="18"/>
                <w:color w:val="auto"/>
                <w:w w:val="96"/>
              </w:rPr>
              <w:t>The following table presents the details of “Other” segment loss (in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9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corporate expenses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(2,725 )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(2,787 )</w:t>
            </w: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(6,545 )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(6,135 )</w:t>
            </w: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Gain (loss) on disposition of assets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2,119</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(189 )</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4,252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Impairments and other charges</w:t>
            </w:r>
          </w:p>
        </w:tc>
        <w:tc>
          <w:tcPr>
            <w:tcW w:w="3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8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(561,274 )</w:t>
            </w: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(10,706 )</w:t>
            </w:r>
          </w:p>
        </w:tc>
        <w:tc>
          <w:tcPr>
            <w:tcW w:w="3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(12,708 )</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(21,672 )</w:t>
            </w: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(25,507 )</w:t>
            </w:r>
          </w:p>
        </w:tc>
      </w:tr>
      <w:tr>
        <w:trPr>
          <w:trHeight w:val="257"/>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w:t>
            </w:r>
          </w:p>
        </w:tc>
        <w:tc>
          <w:tcPr>
            <w:tcW w:w="24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6,314</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9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(8,789 )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(13,394 )</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(17,651 )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(587,600 )</w:t>
            </w:r>
          </w:p>
        </w:tc>
      </w:tr>
      <w:tr>
        <w:trPr>
          <w:trHeight w:val="20"/>
        </w:trPr>
        <w:tc>
          <w:tcPr>
            <w:tcW w:w="4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-1748155</wp:posOffset>
            </wp:positionV>
            <wp:extent cx="1714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-1731010</wp:posOffset>
            </wp:positionV>
            <wp:extent cx="1714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-193675</wp:posOffset>
            </wp:positionV>
            <wp:extent cx="17970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-193675</wp:posOffset>
            </wp:positionV>
            <wp:extent cx="17970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-193675</wp:posOffset>
            </wp:positionV>
            <wp:extent cx="16256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details of “Other” total assets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337"/>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5"/>
                <w:szCs w:val="15"/>
                <w:color w:val="auto"/>
              </w:rPr>
            </w:pPr>
          </w:p>
        </w:tc>
      </w:tr>
      <w:tr>
        <w:trPr>
          <w:trHeight w:val="192"/>
        </w:trPr>
        <w:tc>
          <w:tcPr>
            <w:tcW w:w="36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corporate assets</w:t>
            </w:r>
          </w:p>
        </w:tc>
        <w:tc>
          <w:tcPr>
            <w:tcW w:w="4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209,670</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355,205</w:t>
            </w:r>
          </w:p>
        </w:tc>
        <w:tc>
          <w:tcPr>
            <w:tcW w:w="100" w:type="dxa"/>
            <w:vAlign w:val="bottom"/>
            <w:shd w:val="clear" w:color="auto" w:fill="CFF0FC"/>
          </w:tcPr>
          <w:p>
            <w:pPr>
              <w:spacing w:after="0"/>
              <w:rPr>
                <w:sz w:val="22"/>
                <w:szCs w:val="22"/>
                <w:color w:val="auto"/>
              </w:rPr>
            </w:pPr>
          </w:p>
        </w:tc>
      </w:tr>
      <w:tr>
        <w:trPr>
          <w:trHeight w:val="250"/>
        </w:trPr>
        <w:tc>
          <w:tcPr>
            <w:tcW w:w="3680" w:type="dxa"/>
            <w:vAlign w:val="bottom"/>
          </w:tcPr>
          <w:p>
            <w:pPr>
              <w:ind w:left="20"/>
              <w:spacing w:after="0"/>
              <w:rPr>
                <w:sz w:val="20"/>
                <w:szCs w:val="20"/>
                <w:color w:val="auto"/>
              </w:rPr>
            </w:pPr>
            <w:r>
              <w:rPr>
                <w:rFonts w:ascii="Arial" w:cs="Arial" w:eastAsia="Arial" w:hAnsi="Arial"/>
                <w:sz w:val="18"/>
                <w:szCs w:val="18"/>
                <w:color w:val="auto"/>
              </w:rPr>
              <w:t>Investment in affiliates</w:t>
            </w:r>
          </w:p>
        </w:tc>
        <w:tc>
          <w:tcPr>
            <w:tcW w:w="44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21"/>
                <w:szCs w:val="21"/>
                <w:color w:val="auto"/>
              </w:rPr>
            </w:pPr>
          </w:p>
        </w:tc>
      </w:tr>
      <w:tr>
        <w:trPr>
          <w:trHeight w:val="290"/>
        </w:trPr>
        <w:tc>
          <w:tcPr>
            <w:tcW w:w="3680" w:type="dxa"/>
            <w:vAlign w:val="bottom"/>
            <w:shd w:val="clear" w:color="auto" w:fill="CFF0FC"/>
          </w:tcPr>
          <w:p>
            <w:pPr>
              <w:spacing w:after="0"/>
              <w:rPr>
                <w:sz w:val="24"/>
                <w:szCs w:val="24"/>
                <w:color w:val="auto"/>
              </w:rPr>
            </w:pPr>
          </w:p>
        </w:tc>
        <w:tc>
          <w:tcPr>
            <w:tcW w:w="4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211,532</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357,894</w:t>
            </w:r>
          </w:p>
        </w:tc>
        <w:tc>
          <w:tcPr>
            <w:tcW w:w="100" w:type="dxa"/>
            <w:vAlign w:val="bottom"/>
            <w:shd w:val="clear" w:color="auto" w:fill="CFF0FC"/>
          </w:tcPr>
          <w:p>
            <w:pPr>
              <w:spacing w:after="0"/>
              <w:rPr>
                <w:sz w:val="24"/>
                <w:szCs w:val="24"/>
                <w:color w:val="auto"/>
              </w:rPr>
            </w:pPr>
          </w:p>
        </w:tc>
      </w:tr>
      <w:tr>
        <w:trPr>
          <w:trHeight w:val="594"/>
        </w:trPr>
        <w:tc>
          <w:tcPr>
            <w:tcW w:w="3680" w:type="dxa"/>
            <w:vAlign w:val="bottom"/>
            <w:tcBorders>
              <w:top w:val="single" w:sz="8" w:color="CFF0FC"/>
            </w:tcBorders>
          </w:tcPr>
          <w:p>
            <w:pPr>
              <w:spacing w:after="0"/>
              <w:rPr>
                <w:sz w:val="24"/>
                <w:szCs w:val="24"/>
                <w:color w:val="auto"/>
              </w:rPr>
            </w:pPr>
          </w:p>
        </w:tc>
        <w:tc>
          <w:tcPr>
            <w:tcW w:w="4480" w:type="dxa"/>
            <w:vAlign w:val="bottom"/>
            <w:tcBorders>
              <w:top w:val="single" w:sz="8" w:color="CFF0FC"/>
            </w:tcBorders>
          </w:tcPr>
          <w:p>
            <w:pPr>
              <w:jc w:val="right"/>
              <w:ind w:right="2410"/>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-496570</wp:posOffset>
            </wp:positionV>
            <wp:extent cx="1714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-479425</wp:posOffset>
            </wp:positionV>
            <wp:extent cx="1714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9" w:name="page10"/>
    <w:bookmarkEnd w:id="9"/>
    <w:p>
      <w:pPr>
        <w:ind w:left="480" w:hanging="472"/>
        <w:spacing w:after="0"/>
        <w:tabs>
          <w:tab w:leader="none" w:pos="4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56" w:lineRule="exact"/>
        <w:rPr>
          <w:sz w:val="20"/>
          <w:szCs w:val="20"/>
          <w:color w:val="auto"/>
        </w:rPr>
      </w:pPr>
    </w:p>
    <w:p>
      <w:pPr>
        <w:ind w:right="220" w:firstLine="486"/>
        <w:spacing w:after="0" w:line="293" w:lineRule="auto"/>
        <w:rPr>
          <w:sz w:val="20"/>
          <w:szCs w:val="20"/>
          <w:color w:val="auto"/>
        </w:rPr>
      </w:pPr>
      <w:r>
        <w:rPr>
          <w:rFonts w:ascii="Arial" w:cs="Arial" w:eastAsia="Arial" w:hAnsi="Arial"/>
          <w:sz w:val="18"/>
          <w:szCs w:val="18"/>
          <w:color w:val="auto"/>
        </w:rPr>
        <w:t>The following table presents the carrying value and fair value (determined using inputs characteristic of a Level 2 fair value measurement) of debt outstanding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10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Carrying Value</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7"/>
              </w:rPr>
              <w:t>Carrying Value</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7"/>
                <w:szCs w:val="17"/>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Credit Facility (a)</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tcBorders>
              <w:left w:val="single" w:sz="8" w:color="CFF0FC"/>
            </w:tcBorders>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3.29% senior notes due February 27, 2023</w:t>
            </w: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361,800</w:t>
            </w:r>
          </w:p>
        </w:tc>
        <w:tc>
          <w:tcPr>
            <w:tcW w:w="28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280" w:type="dxa"/>
            <w:vAlign w:val="bottom"/>
            <w:tcBorders>
              <w:left w:val="single" w:sz="8" w:color="CFF0FC"/>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364,538</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4.2% senior notes due March 1, 2028</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500,000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558,551</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500,000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581,115</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Credit line due June 30, 2022</w:t>
            </w:r>
          </w:p>
        </w:tc>
        <w:tc>
          <w:tcPr>
            <w:tcW w:w="1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Bank notes payable</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r>
      <w:tr>
        <w:trPr>
          <w:trHeight w:val="257"/>
        </w:trPr>
        <w:tc>
          <w:tcPr>
            <w:tcW w:w="49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1,281,417</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1,351,768</w:t>
            </w:r>
          </w:p>
        </w:tc>
        <w:tc>
          <w:tcPr>
            <w:tcW w:w="28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1,475,040</w:t>
            </w:r>
          </w:p>
        </w:tc>
        <w:tc>
          <w:tcPr>
            <w:tcW w:w="280" w:type="dxa"/>
            <w:vAlign w:val="bottom"/>
            <w:tcBorders>
              <w:left w:val="single" w:sz="8" w:color="CFF0FC"/>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1,570,693</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Unamortized debt discounts and issuance costs</w:t>
            </w:r>
          </w:p>
        </w:tc>
        <w:tc>
          <w:tcPr>
            <w:tcW w:w="1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(5,738 )</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(6,454 )</w:t>
            </w:r>
          </w:p>
        </w:tc>
        <w:tc>
          <w:tcPr>
            <w:tcW w:w="2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90"/>
        </w:trPr>
        <w:tc>
          <w:tcPr>
            <w:tcW w:w="49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1,275,679</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1,351,768</w:t>
            </w:r>
          </w:p>
        </w:tc>
        <w:tc>
          <w:tcPr>
            <w:tcW w:w="280" w:type="dxa"/>
            <w:vAlign w:val="bottom"/>
            <w:tcBorders>
              <w:bottom w:val="single" w:sz="8" w:color="CFF0FC"/>
              <w:right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1,468,586</w:t>
            </w:r>
          </w:p>
        </w:tc>
        <w:tc>
          <w:tcPr>
            <w:tcW w:w="280" w:type="dxa"/>
            <w:vAlign w:val="bottom"/>
            <w:tcBorders>
              <w:left w:val="single" w:sz="8" w:color="CFF0FC"/>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1,570,693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6"/>
        </w:trPr>
        <w:tc>
          <w:tcPr>
            <w:tcW w:w="6560" w:type="dxa"/>
            <w:vAlign w:val="bottom"/>
            <w:gridSpan w:val="4"/>
          </w:tcPr>
          <w:p>
            <w:pPr>
              <w:ind w:left="500"/>
              <w:spacing w:after="0"/>
              <w:rPr>
                <w:sz w:val="20"/>
                <w:szCs w:val="20"/>
                <w:color w:val="auto"/>
              </w:rPr>
            </w:pPr>
            <w:r>
              <w:rPr>
                <w:rFonts w:ascii="Arial" w:cs="Arial" w:eastAsia="Arial" w:hAnsi="Arial"/>
                <w:sz w:val="18"/>
                <w:szCs w:val="18"/>
                <w:color w:val="auto"/>
                <w:w w:val="93"/>
              </w:rPr>
              <w:t>(a)  Variable interest rate of 1.5% at both June 30, 2021 and December 31, 2020.</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920" w:type="dxa"/>
            <w:vAlign w:val="bottom"/>
            <w:gridSpan w:val="6"/>
          </w:tcPr>
          <w:p>
            <w:pPr>
              <w:ind w:left="500"/>
              <w:spacing w:after="0"/>
              <w:rPr>
                <w:sz w:val="20"/>
                <w:szCs w:val="20"/>
                <w:color w:val="auto"/>
              </w:rPr>
            </w:pPr>
            <w:r>
              <w:rPr>
                <w:rFonts w:ascii="Arial" w:cs="Arial" w:eastAsia="Arial" w:hAnsi="Arial"/>
                <w:sz w:val="18"/>
                <w:szCs w:val="18"/>
                <w:color w:val="auto"/>
                <w:w w:val="92"/>
              </w:rPr>
              <w:t>The following table presents borrowings and payments under the bank credit facilities (in thousands):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Borrowings on bank credit facilities</w:t>
            </w: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w:t>
            </w:r>
          </w:p>
        </w:tc>
        <w:tc>
          <w:tcPr>
            <w:tcW w:w="280" w:type="dxa"/>
            <w:vAlign w:val="bottom"/>
            <w:tcBorders>
              <w:left w:val="single" w:sz="8" w:color="CFF0FC"/>
            </w:tcBorders>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582,038</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Payments on bank credit facilities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(195,988 )</w:t>
            </w:r>
          </w:p>
        </w:tc>
        <w:tc>
          <w:tcPr>
            <w:tcW w:w="2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(157,047 )</w:t>
            </w: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9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280" w:type="dxa"/>
            <w:vAlign w:val="bottom"/>
            <w:tcBorders>
              <w:right w:val="single" w:sz="8" w:color="CFF0FC"/>
            </w:tcBorders>
            <w:shd w:val="clear" w:color="auto" w:fill="CFF0FC"/>
          </w:tcPr>
          <w:p>
            <w:pPr>
              <w:spacing w:after="0"/>
              <w:rPr>
                <w:sz w:val="23"/>
                <w:szCs w:val="23"/>
                <w:color w:val="auto"/>
              </w:rPr>
            </w:pPr>
          </w:p>
        </w:tc>
        <w:tc>
          <w:tcPr>
            <w:tcW w:w="16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(193,623 )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424,991</w:t>
            </w:r>
          </w:p>
        </w:tc>
        <w:tc>
          <w:tcPr>
            <w:tcW w:w="100" w:type="dxa"/>
            <w:vAlign w:val="bottom"/>
            <w:shd w:val="clear" w:color="auto" w:fill="CFF0FC"/>
          </w:tcPr>
          <w:p>
            <w:pPr>
              <w:spacing w:after="0"/>
              <w:rPr>
                <w:sz w:val="23"/>
                <w:szCs w:val="23"/>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-1550670</wp:posOffset>
            </wp:positionV>
            <wp:extent cx="1797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-1533525</wp:posOffset>
            </wp:positionV>
            <wp:extent cx="1797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-1550670</wp:posOffset>
            </wp:positionV>
            <wp:extent cx="1797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-1533525</wp:posOffset>
            </wp:positionV>
            <wp:extent cx="1797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-1550670</wp:posOffset>
            </wp:positionV>
            <wp:extent cx="1625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-1533525</wp:posOffset>
            </wp:positionV>
            <wp:extent cx="1625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1714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1714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has an amended and restated credit agreement (the “Credit Agreement”) with a group of commercial banks, with JPMorgan Chase Bank, N.A. as the administrative agent bank, allowing for an $850,000,000 unsecured revolving credit facility (“Revolving Credit Facility”) and an unsecured term loan (“Term Loan”) with a maturity date of March 27, 2024. The Term Loan is repayable in quarterly installments currently scheduled to commence September 30, 2023, with $343,750,000 due on March 27, 2024. The Term Loan is prepayable, in whole or in part, without penalty. Outstanding letters of credit under the Revolving Credit Facility were $5,063,000 and available borrowing capacity was $789,937,000 as of June 30, 2021. Outstanding letters of credit under the $10,000,000 credit line were $1,299,000 and available borrowing capacity was $8,701,000 as of June 30, 2021.</w:t>
      </w:r>
    </w:p>
    <w:p>
      <w:pPr>
        <w:spacing w:after="0" w:line="172"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currently leases various facilities and equipment under cancelable and noncancelable operating leases. The accounting for the Company’s leases may require judgments, which include determining whether a contract contains a lease, allocating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7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8"/>
          <w:szCs w:val="18"/>
          <w:color w:val="auto"/>
        </w:rPr>
        <w:t>Future minimum lease payments under operating leases that have initial noncancelable lease terms in excess of one year were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38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3840" w:type="dxa"/>
            <w:vAlign w:val="bottom"/>
            <w:shd w:val="clear" w:color="auto" w:fill="CFF0FC"/>
          </w:tcPr>
          <w:p>
            <w:pPr>
              <w:jc w:val="right"/>
              <w:ind w:right="3330"/>
              <w:spacing w:after="0"/>
              <w:rPr>
                <w:sz w:val="20"/>
                <w:szCs w:val="20"/>
                <w:color w:val="auto"/>
              </w:rPr>
            </w:pPr>
            <w:r>
              <w:rPr>
                <w:rFonts w:ascii="Arial" w:cs="Arial" w:eastAsia="Arial" w:hAnsi="Arial"/>
                <w:sz w:val="18"/>
                <w:szCs w:val="18"/>
                <w:color w:val="auto"/>
                <w:w w:val="99"/>
              </w:rPr>
              <w:t>2021</w:t>
            </w:r>
          </w:p>
        </w:tc>
        <w:tc>
          <w:tcPr>
            <w:tcW w:w="45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20,296</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40,224</w:t>
            </w:r>
          </w:p>
        </w:tc>
        <w:tc>
          <w:tcPr>
            <w:tcW w:w="100" w:type="dxa"/>
            <w:vAlign w:val="bottom"/>
            <w:shd w:val="clear" w:color="auto" w:fill="CFF0FC"/>
          </w:tcPr>
          <w:p>
            <w:pPr>
              <w:spacing w:after="0"/>
              <w:rPr>
                <w:sz w:val="22"/>
                <w:szCs w:val="22"/>
                <w:color w:val="auto"/>
              </w:rPr>
            </w:pPr>
          </w:p>
        </w:tc>
      </w:tr>
      <w:tr>
        <w:trPr>
          <w:trHeight w:val="250"/>
        </w:trPr>
        <w:tc>
          <w:tcPr>
            <w:tcW w:w="3840" w:type="dxa"/>
            <w:vAlign w:val="bottom"/>
          </w:tcPr>
          <w:p>
            <w:pPr>
              <w:jc w:val="right"/>
              <w:ind w:right="3330"/>
              <w:spacing w:after="0"/>
              <w:rPr>
                <w:sz w:val="20"/>
                <w:szCs w:val="20"/>
                <w:color w:val="auto"/>
              </w:rPr>
            </w:pPr>
            <w:r>
              <w:rPr>
                <w:rFonts w:ascii="Arial" w:cs="Arial" w:eastAsia="Arial" w:hAnsi="Arial"/>
                <w:sz w:val="18"/>
                <w:szCs w:val="18"/>
                <w:color w:val="auto"/>
                <w:w w:val="99"/>
              </w:rPr>
              <w:t>2022</w:t>
            </w:r>
          </w:p>
        </w:tc>
        <w:tc>
          <w:tcPr>
            <w:tcW w:w="4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34,859</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33,543</w:t>
            </w:r>
          </w:p>
        </w:tc>
        <w:tc>
          <w:tcPr>
            <w:tcW w:w="100" w:type="dxa"/>
            <w:vAlign w:val="bottom"/>
          </w:tcPr>
          <w:p>
            <w:pPr>
              <w:spacing w:after="0"/>
              <w:rPr>
                <w:sz w:val="21"/>
                <w:szCs w:val="21"/>
                <w:color w:val="auto"/>
              </w:rPr>
            </w:pPr>
          </w:p>
        </w:tc>
      </w:tr>
      <w:tr>
        <w:trPr>
          <w:trHeight w:val="263"/>
        </w:trPr>
        <w:tc>
          <w:tcPr>
            <w:tcW w:w="3840" w:type="dxa"/>
            <w:vAlign w:val="bottom"/>
            <w:shd w:val="clear" w:color="auto" w:fill="CFF0FC"/>
          </w:tcPr>
          <w:p>
            <w:pPr>
              <w:jc w:val="right"/>
              <w:ind w:right="3330"/>
              <w:spacing w:after="0"/>
              <w:rPr>
                <w:sz w:val="20"/>
                <w:szCs w:val="20"/>
                <w:color w:val="auto"/>
              </w:rPr>
            </w:pPr>
            <w:r>
              <w:rPr>
                <w:rFonts w:ascii="Arial" w:cs="Arial" w:eastAsia="Arial" w:hAnsi="Arial"/>
                <w:sz w:val="18"/>
                <w:szCs w:val="18"/>
                <w:color w:val="auto"/>
                <w:w w:val="99"/>
              </w:rPr>
              <w:t>2023</w:t>
            </w:r>
          </w:p>
        </w:tc>
        <w:tc>
          <w:tcPr>
            <w:tcW w:w="43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29,675</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28,012</w:t>
            </w:r>
          </w:p>
        </w:tc>
        <w:tc>
          <w:tcPr>
            <w:tcW w:w="100" w:type="dxa"/>
            <w:vAlign w:val="bottom"/>
            <w:shd w:val="clear" w:color="auto" w:fill="CFF0FC"/>
          </w:tcPr>
          <w:p>
            <w:pPr>
              <w:spacing w:after="0"/>
              <w:rPr>
                <w:sz w:val="22"/>
                <w:szCs w:val="22"/>
                <w:color w:val="auto"/>
              </w:rPr>
            </w:pPr>
          </w:p>
        </w:tc>
      </w:tr>
      <w:tr>
        <w:trPr>
          <w:trHeight w:val="250"/>
        </w:trPr>
        <w:tc>
          <w:tcPr>
            <w:tcW w:w="3840" w:type="dxa"/>
            <w:vAlign w:val="bottom"/>
          </w:tcPr>
          <w:p>
            <w:pPr>
              <w:jc w:val="right"/>
              <w:ind w:right="3330"/>
              <w:spacing w:after="0"/>
              <w:rPr>
                <w:sz w:val="20"/>
                <w:szCs w:val="20"/>
                <w:color w:val="auto"/>
              </w:rPr>
            </w:pPr>
            <w:r>
              <w:rPr>
                <w:rFonts w:ascii="Arial" w:cs="Arial" w:eastAsia="Arial" w:hAnsi="Arial"/>
                <w:sz w:val="18"/>
                <w:szCs w:val="18"/>
                <w:color w:val="auto"/>
                <w:w w:val="99"/>
              </w:rPr>
              <w:t>2024</w:t>
            </w:r>
          </w:p>
        </w:tc>
        <w:tc>
          <w:tcPr>
            <w:tcW w:w="4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24,032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23,578</w:t>
            </w:r>
          </w:p>
        </w:tc>
        <w:tc>
          <w:tcPr>
            <w:tcW w:w="100" w:type="dxa"/>
            <w:vAlign w:val="bottom"/>
          </w:tcPr>
          <w:p>
            <w:pPr>
              <w:spacing w:after="0"/>
              <w:rPr>
                <w:sz w:val="21"/>
                <w:szCs w:val="21"/>
                <w:color w:val="auto"/>
              </w:rPr>
            </w:pPr>
          </w:p>
        </w:tc>
      </w:tr>
      <w:tr>
        <w:trPr>
          <w:trHeight w:val="263"/>
        </w:trPr>
        <w:tc>
          <w:tcPr>
            <w:tcW w:w="3840" w:type="dxa"/>
            <w:vAlign w:val="bottom"/>
            <w:shd w:val="clear" w:color="auto" w:fill="CFF0FC"/>
          </w:tcPr>
          <w:p>
            <w:pPr>
              <w:jc w:val="right"/>
              <w:ind w:right="3330"/>
              <w:spacing w:after="0"/>
              <w:rPr>
                <w:sz w:val="20"/>
                <w:szCs w:val="20"/>
                <w:color w:val="auto"/>
              </w:rPr>
            </w:pPr>
            <w:r>
              <w:rPr>
                <w:rFonts w:ascii="Arial" w:cs="Arial" w:eastAsia="Arial" w:hAnsi="Arial"/>
                <w:sz w:val="18"/>
                <w:szCs w:val="18"/>
                <w:color w:val="auto"/>
                <w:w w:val="99"/>
              </w:rPr>
              <w:t>2025</w:t>
            </w:r>
          </w:p>
        </w:tc>
        <w:tc>
          <w:tcPr>
            <w:tcW w:w="43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21,606</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21,261</w:t>
            </w:r>
          </w:p>
        </w:tc>
        <w:tc>
          <w:tcPr>
            <w:tcW w:w="100" w:type="dxa"/>
            <w:vAlign w:val="bottom"/>
            <w:shd w:val="clear" w:color="auto" w:fill="CFF0FC"/>
          </w:tcPr>
          <w:p>
            <w:pPr>
              <w:spacing w:after="0"/>
              <w:rPr>
                <w:sz w:val="22"/>
                <w:szCs w:val="22"/>
                <w:color w:val="auto"/>
              </w:rPr>
            </w:pPr>
          </w:p>
        </w:tc>
      </w:tr>
      <w:tr>
        <w:trPr>
          <w:trHeight w:val="250"/>
        </w:trPr>
        <w:tc>
          <w:tcPr>
            <w:tcW w:w="38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97,885</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96,491</w:t>
            </w:r>
          </w:p>
        </w:tc>
        <w:tc>
          <w:tcPr>
            <w:tcW w:w="100" w:type="dxa"/>
            <w:vAlign w:val="bottom"/>
          </w:tcPr>
          <w:p>
            <w:pPr>
              <w:spacing w:after="0"/>
              <w:rPr>
                <w:sz w:val="21"/>
                <w:szCs w:val="21"/>
                <w:color w:val="auto"/>
              </w:rPr>
            </w:pPr>
          </w:p>
        </w:tc>
      </w:tr>
      <w:tr>
        <w:trPr>
          <w:trHeight w:val="256"/>
        </w:trPr>
        <w:tc>
          <w:tcPr>
            <w:tcW w:w="3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lease payments</w:t>
            </w:r>
          </w:p>
        </w:tc>
        <w:tc>
          <w:tcPr>
            <w:tcW w:w="43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228,353</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243,109</w:t>
            </w:r>
          </w:p>
        </w:tc>
        <w:tc>
          <w:tcPr>
            <w:tcW w:w="100" w:type="dxa"/>
            <w:vAlign w:val="bottom"/>
            <w:shd w:val="clear" w:color="auto" w:fill="CFF0FC"/>
          </w:tcPr>
          <w:p>
            <w:pPr>
              <w:spacing w:after="0"/>
              <w:rPr>
                <w:sz w:val="22"/>
                <w:szCs w:val="22"/>
                <w:color w:val="auto"/>
              </w:rPr>
            </w:pPr>
          </w:p>
        </w:tc>
      </w:tr>
      <w:tr>
        <w:trPr>
          <w:trHeight w:val="250"/>
        </w:trPr>
        <w:tc>
          <w:tcPr>
            <w:tcW w:w="38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4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(42,933 )</w:t>
            </w:r>
          </w:p>
        </w:tc>
        <w:tc>
          <w:tcPr>
            <w:tcW w:w="18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(46,863 )</w:t>
            </w:r>
          </w:p>
        </w:tc>
      </w:tr>
      <w:tr>
        <w:trPr>
          <w:trHeight w:val="290"/>
        </w:trPr>
        <w:tc>
          <w:tcPr>
            <w:tcW w:w="3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Operating lease liabilities</w:t>
            </w:r>
          </w:p>
        </w:tc>
        <w:tc>
          <w:tcPr>
            <w:tcW w:w="43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185,420</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196,246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94"/>
        </w:trPr>
        <w:tc>
          <w:tcPr>
            <w:tcW w:w="3840" w:type="dxa"/>
            <w:vAlign w:val="bottom"/>
          </w:tcPr>
          <w:p>
            <w:pPr>
              <w:spacing w:after="0"/>
              <w:rPr>
                <w:sz w:val="24"/>
                <w:szCs w:val="24"/>
                <w:color w:val="auto"/>
              </w:rPr>
            </w:pPr>
          </w:p>
        </w:tc>
        <w:tc>
          <w:tcPr>
            <w:tcW w:w="4320" w:type="dxa"/>
            <w:vAlign w:val="bottom"/>
          </w:tcPr>
          <w:p>
            <w:pPr>
              <w:jc w:val="right"/>
              <w:ind w:right="241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840" w:type="dxa"/>
            <w:vAlign w:val="bottom"/>
            <w:tcBorders>
              <w:bottom w:val="single" w:sz="8" w:color="9A9A9A"/>
            </w:tcBorders>
          </w:tcPr>
          <w:p>
            <w:pPr>
              <w:spacing w:after="0"/>
              <w:rPr>
                <w:sz w:val="7"/>
                <w:szCs w:val="7"/>
                <w:color w:val="auto"/>
              </w:rPr>
            </w:pPr>
          </w:p>
        </w:tc>
        <w:tc>
          <w:tcPr>
            <w:tcW w:w="43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-479425</wp:posOffset>
            </wp:positionV>
            <wp:extent cx="1714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-462280</wp:posOffset>
            </wp:positionV>
            <wp:extent cx="1714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ind w:left="500"/>
        <w:spacing w:after="0"/>
        <w:rPr>
          <w:sz w:val="20"/>
          <w:szCs w:val="20"/>
          <w:color w:val="auto"/>
        </w:rPr>
      </w:pPr>
      <w:r>
        <w:rPr>
          <w:rFonts w:ascii="Arial" w:cs="Arial" w:eastAsia="Arial" w:hAnsi="Arial"/>
          <w:sz w:val="18"/>
          <w:szCs w:val="18"/>
          <w:color w:val="auto"/>
        </w:rPr>
        <w:t>The following table summarizes lease costs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9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86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10,680</w:t>
            </w: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11,873</w:t>
            </w:r>
          </w:p>
        </w:tc>
        <w:tc>
          <w:tcPr>
            <w:tcW w:w="2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21,072</w:t>
            </w:r>
          </w:p>
        </w:tc>
        <w:tc>
          <w:tcPr>
            <w:tcW w:w="260" w:type="dxa"/>
            <w:vAlign w:val="bottom"/>
            <w:shd w:val="clear" w:color="auto" w:fill="CFF0FC"/>
          </w:tcPr>
          <w:p>
            <w:pPr>
              <w:spacing w:after="0"/>
              <w:rPr>
                <w:sz w:val="22"/>
                <w:szCs w:val="22"/>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20,914</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cost</w:t>
            </w:r>
          </w:p>
        </w:tc>
        <w:tc>
          <w:tcPr>
            <w:tcW w:w="86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4,015</w:t>
            </w: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5,076</w:t>
            </w:r>
          </w:p>
        </w:tc>
        <w:tc>
          <w:tcPr>
            <w:tcW w:w="2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2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13,353</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86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(306 )</w:t>
            </w:r>
          </w:p>
        </w:tc>
        <w:tc>
          <w:tcPr>
            <w:tcW w:w="8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(130 )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(580 )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(374 )</w:t>
            </w:r>
          </w:p>
        </w:tc>
      </w:tr>
      <w:tr>
        <w:trPr>
          <w:trHeight w:val="290"/>
        </w:trPr>
        <w:tc>
          <w:tcPr>
            <w:tcW w:w="49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14,595</w:t>
            </w:r>
          </w:p>
        </w:tc>
        <w:tc>
          <w:tcPr>
            <w:tcW w:w="2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17,263</w:t>
            </w:r>
          </w:p>
        </w:tc>
        <w:tc>
          <w:tcPr>
            <w:tcW w:w="2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28,475</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34,489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6"/>
        </w:trPr>
        <w:tc>
          <w:tcPr>
            <w:tcW w:w="8180" w:type="dxa"/>
            <w:vAlign w:val="bottom"/>
            <w:gridSpan w:val="8"/>
          </w:tcPr>
          <w:p>
            <w:pPr>
              <w:ind w:left="500"/>
              <w:spacing w:after="0"/>
              <w:rPr>
                <w:sz w:val="20"/>
                <w:szCs w:val="20"/>
                <w:color w:val="auto"/>
              </w:rPr>
            </w:pPr>
            <w:r>
              <w:rPr>
                <w:rFonts w:ascii="Arial" w:cs="Arial" w:eastAsia="Arial" w:hAnsi="Arial"/>
                <w:sz w:val="18"/>
                <w:szCs w:val="18"/>
                <w:color w:val="auto"/>
                <w:w w:val="93"/>
              </w:rPr>
              <w:t>The following table summarizes other supplemental information about the Company’s operating leases: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9"/>
        </w:trPr>
        <w:tc>
          <w:tcPr>
            <w:tcW w:w="4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4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discount rate</w:t>
            </w:r>
          </w:p>
        </w:tc>
        <w:tc>
          <w:tcPr>
            <w:tcW w:w="8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4.1 %</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4.1 %</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10 years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10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-1028065</wp:posOffset>
            </wp:positionV>
            <wp:extent cx="1797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-1010920</wp:posOffset>
            </wp:positionV>
            <wp:extent cx="17970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-1028065</wp:posOffset>
            </wp:positionV>
            <wp:extent cx="1631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-1010920</wp:posOffset>
            </wp:positionV>
            <wp:extent cx="1631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-1028065</wp:posOffset>
            </wp:positionV>
            <wp:extent cx="1631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-1010920</wp:posOffset>
            </wp:positionV>
            <wp:extent cx="1631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Impairments and Other Charges</w:t>
      </w:r>
    </w:p>
    <w:p>
      <w:pPr>
        <w:spacing w:after="0" w:line="25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8"/>
          <w:szCs w:val="18"/>
          <w:color w:val="auto"/>
        </w:rPr>
        <w:t>During the 2020 first quarter, Kirby’s market capitalization declined significantly compared to the 2019 fourth quarter. Over the same period, the overall United States stock market also declined significantly amid market volatility. In addition, as a result of uncertainty surrounding the outbreak of COVID-19 and a sharp decline in oil prices during the 2020 first quarter, many of the Company’s oil and gas customers responded by quickly cutting 2020 capital spending budgets and activity levels quickly declined. Lower activity levels resulted in a decline in drilling activity, resulting in lower demand for new and remanufactured oilfield equipment and related parts and service in the distribution and services segment. As a result, the Company concluded that a triggering event had occurred and performed interim quantitative impairment tests as of March 31, 2020 for certain of the distribution and services segment’s long-lived assets and goodwill.</w:t>
      </w:r>
    </w:p>
    <w:p>
      <w:pPr>
        <w:spacing w:after="0" w:line="206" w:lineRule="exact"/>
        <w:rPr>
          <w:sz w:val="20"/>
          <w:szCs w:val="20"/>
          <w:color w:val="auto"/>
        </w:rPr>
      </w:pPr>
    </w:p>
    <w:p>
      <w:pPr>
        <w:jc w:val="both"/>
        <w:ind w:firstLine="486"/>
        <w:spacing w:after="0" w:line="303" w:lineRule="auto"/>
        <w:rPr>
          <w:sz w:val="20"/>
          <w:szCs w:val="20"/>
          <w:color w:val="auto"/>
        </w:rPr>
      </w:pPr>
      <w:r>
        <w:rPr>
          <w:rFonts w:ascii="Arial" w:cs="Arial" w:eastAsia="Arial" w:hAnsi="Arial"/>
          <w:sz w:val="17"/>
          <w:szCs w:val="17"/>
          <w:color w:val="auto"/>
        </w:rPr>
        <w:t>The Company determined the estimated fair value of such long-lived assets and reporting units using a discounted cash flow analysis and a market approach for comparable companies. This analysis included management’s judgment regarding short-term and long-term internal forecasts, updated for recent events, appropriate discount rates, and capital expenditures using inputs characteristic of a Level 3 fair value measurement.</w:t>
      </w:r>
    </w:p>
    <w:p>
      <w:pPr>
        <w:spacing w:after="0" w:line="17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8"/>
          <w:szCs w:val="18"/>
          <w:color w:val="auto"/>
        </w:rPr>
        <w:t>In performing the impairment test of long-lived assets within the distribution and services segment, the Company determined that the carrying value of certain long-lived assets, including property and equipment as well as intangible assets associated with customer relationships, tradenames, and distributorships, were no longer recoverable, resulting in an impairment charge of $165,304,000 (including $148,909,000 impairment of intangible assets other than goodwill and $16,395,000 impairment of property and equipment) to reduce such long-lived assets to fair value during the three months ended March 31, 2020.</w:t>
      </w:r>
    </w:p>
    <w:p>
      <w:pPr>
        <w:spacing w:after="0" w:line="204" w:lineRule="exact"/>
        <w:rPr>
          <w:sz w:val="20"/>
          <w:szCs w:val="20"/>
          <w:color w:val="auto"/>
        </w:rPr>
      </w:pPr>
    </w:p>
    <w:p>
      <w:pPr>
        <w:jc w:val="both"/>
        <w:ind w:firstLine="492"/>
        <w:spacing w:after="0" w:line="296" w:lineRule="auto"/>
        <w:rPr>
          <w:sz w:val="20"/>
          <w:szCs w:val="20"/>
          <w:color w:val="auto"/>
        </w:rPr>
      </w:pPr>
      <w:r>
        <w:rPr>
          <w:rFonts w:ascii="Arial" w:cs="Arial" w:eastAsia="Arial" w:hAnsi="Arial"/>
          <w:sz w:val="17"/>
          <w:szCs w:val="17"/>
          <w:color w:val="auto"/>
        </w:rPr>
        <w:t>Based upon the results of the goodwill impairment test, the Company concluded that the carrying value of one reporting unit in the distribution and services segment exceeded its estimated fair value. For the three months ended March 31, 2020, the goodwill impairment charge of $387,970,000 was calculated as the amount that the carrying value of the reporting unit, including goodwill, and after recording impairments of long-lived assets identified above, exceeded its estimated fair value, incorporating all tax impacts caused by the recognition of the impairment loss.</w:t>
      </w:r>
    </w:p>
    <w:p>
      <w:pPr>
        <w:spacing w:after="0" w:line="18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8"/>
          <w:szCs w:val="18"/>
          <w:color w:val="auto"/>
        </w:rPr>
        <w:t>In addition, the Company determined cost exceeded net realizable value for certain oilfield and pressure pumping related inventory, resulting in an $8,000,000 non-cash write-down during the three months ended March 31, 2020.</w:t>
      </w:r>
    </w:p>
    <w:p>
      <w:pPr>
        <w:spacing w:after="0" w:line="179"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 Award Plans</w:t>
      </w:r>
    </w:p>
    <w:p>
      <w:pPr>
        <w:spacing w:after="0" w:line="256" w:lineRule="exact"/>
        <w:rPr>
          <w:sz w:val="20"/>
          <w:szCs w:val="20"/>
          <w:color w:val="auto"/>
        </w:rPr>
      </w:pPr>
    </w:p>
    <w:p>
      <w:pPr>
        <w:ind w:firstLine="486"/>
        <w:spacing w:after="0" w:line="293" w:lineRule="auto"/>
        <w:rPr>
          <w:sz w:val="20"/>
          <w:szCs w:val="20"/>
          <w:color w:val="auto"/>
        </w:rPr>
      </w:pPr>
      <w:r>
        <w:rPr>
          <w:rFonts w:ascii="Arial" w:cs="Arial" w:eastAsia="Arial" w:hAnsi="Arial"/>
          <w:sz w:val="18"/>
          <w:szCs w:val="18"/>
          <w:color w:val="auto"/>
        </w:rPr>
        <w:t>The compensation cost that has been charged against earnings for the Company’s stock award plans and the income tax benefit recognized in the statement of earnings for stock awards were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cost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9,148</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8,652</w:t>
            </w:r>
          </w:p>
        </w:tc>
        <w:tc>
          <w:tcPr>
            <w:tcW w:w="100" w:type="dxa"/>
            <w:vAlign w:val="bottom"/>
            <w:shd w:val="clear" w:color="auto" w:fill="CFF0FC"/>
          </w:tcPr>
          <w:p>
            <w:pPr>
              <w:spacing w:after="0"/>
              <w:rPr>
                <w:sz w:val="22"/>
                <w:szCs w:val="22"/>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1,320</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889</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2,592</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21"/>
                <w:szCs w:val="21"/>
                <w:color w:val="auto"/>
              </w:rPr>
            </w:pPr>
          </w:p>
        </w:tc>
      </w:tr>
      <w:tr>
        <w:trPr>
          <w:trHeight w:val="621"/>
        </w:trPr>
        <w:tc>
          <w:tcPr>
            <w:tcW w:w="4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97"/>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9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jc w:val="both"/>
        <w:ind w:firstLine="492"/>
        <w:spacing w:after="0" w:line="303" w:lineRule="auto"/>
        <w:rPr>
          <w:sz w:val="20"/>
          <w:szCs w:val="20"/>
          <w:color w:val="auto"/>
        </w:rPr>
      </w:pPr>
      <w:r>
        <w:rPr>
          <w:rFonts w:ascii="Arial" w:cs="Arial" w:eastAsia="Arial" w:hAnsi="Arial"/>
          <w:sz w:val="17"/>
          <w:szCs w:val="17"/>
          <w:color w:val="auto"/>
        </w:rPr>
        <w:t>On March 1, 2021, subject to stockholder approval, the Board of Directors approved amendments to the Company’s 2005 Stock and Incentive Plan (the “Plan”) to, among other things, add 1,400,000 shares of availability. The amendment to the Plan was subsequently approved at the Annual Meeting of Stockholders on April 27, 2021. At June 30, 2021, there were 2,225,222 shares available for future grants under the Plan.</w:t>
      </w:r>
    </w:p>
    <w:p>
      <w:pPr>
        <w:spacing w:after="0" w:line="17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8"/>
          <w:szCs w:val="18"/>
          <w:color w:val="auto"/>
        </w:rPr>
        <w:t>During the six months ended June 30, 2021, the Company granted 311,016 restricted stock units (“RSUs”) to selected officers and other key employees under the Plan, the majority of which vest ratably over five years.</w:t>
      </w:r>
    </w:p>
    <w:p>
      <w:pPr>
        <w:spacing w:after="0" w:line="183"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8"/>
          <w:szCs w:val="18"/>
          <w:color w:val="auto"/>
        </w:rPr>
        <w:t>During the six months ended June 30, 2021, the Company granted 27,120 shares of restricted stock to nonemployee directors of the Company under the director stock award plan. The restricted stock vests six months after the date of grant except that restricted stock granted in lieu of cash director fees vests in equal quarterly increments through March 31, 2022.</w:t>
      </w:r>
    </w:p>
    <w:p>
      <w:pPr>
        <w:spacing w:after="0" w:line="192"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Taxes on Income</w:t>
      </w:r>
    </w:p>
    <w:p>
      <w:pPr>
        <w:spacing w:after="0" w:line="25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7"/>
          <w:szCs w:val="17"/>
          <w:color w:val="auto"/>
        </w:rPr>
        <w:t>On March 27, 2020, the United States Congress passed and the President signed the Coronavirus Aid, Relief, and Economic Security Act (“CARES Act”) into law to address the COVID-19 pandemic. One provision of the CARES Act allowed net operating losses generated in 2018 through 2020 to be carried back up to five years. Pursuant to this provision of the CARES Act, the Company recorded a net federal current benefit for taxes on income for the three months ended June 30, 2020 due to carrying back net operating losses generated between 2018 and 2020 used to offset taxable income generated between 2013 and 2017. Net operating losses carried back to tax years 2013 through 2017 were applied at a federal tax rate of 35% applicable to those tax years, compared to a 21% tax rate effective at June 30, 2020. Net operating losses generated in 2018 and 2019 were used to offset taxable income generated between 2013 and 2017 taxed at 35% resulting in a tax benefit of $50,824,000.</w:t>
      </w:r>
    </w:p>
    <w:p>
      <w:pPr>
        <w:spacing w:after="0" w:line="19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color w:val="auto"/>
        </w:rPr>
        <w:t>At June 30, 2021 and December 31, 2020, the Company had a federal income tax receivable of $70,528,000 and $188,177,000, respectively, included in Accounts Receivable – Other on the balance sheets. During the three months ended March 31, 2021, the Company received a tax refund of $119,493,000, including accrued interest, for its 2019 federal tax return related to net operating losses being carried back to offset taxable income generated between 2014 and 2017.</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Earnings (loss) before taxes on income and details of the provision (benefit) for taxes on income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3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7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9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(loss) before taxes on income:</w:t>
            </w:r>
          </w:p>
        </w:tc>
        <w:tc>
          <w:tcPr>
            <w:tcW w:w="8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63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15,811</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23,861</w:t>
            </w:r>
          </w:p>
        </w:tc>
        <w:tc>
          <w:tcPr>
            <w:tcW w:w="2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12,192</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(495,628 )</w:t>
            </w:r>
          </w:p>
        </w:tc>
      </w:tr>
      <w:tr>
        <w:trPr>
          <w:trHeight w:val="256"/>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w:t>
            </w:r>
          </w:p>
        </w:tc>
        <w:tc>
          <w:tcPr>
            <w:tcW w:w="84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(27 )</w:t>
            </w: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(358 )</w:t>
            </w: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(310 )</w:t>
            </w:r>
          </w:p>
        </w:tc>
      </w:tr>
      <w:tr>
        <w:trPr>
          <w:trHeight w:val="20"/>
        </w:trPr>
        <w:tc>
          <w:tcPr>
            <w:tcW w:w="49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900" w:type="dxa"/>
            <w:vAlign w:val="bottom"/>
          </w:tcPr>
          <w:p>
            <w:pPr>
              <w:spacing w:after="0"/>
              <w:rPr>
                <w:sz w:val="21"/>
                <w:szCs w:val="21"/>
                <w:color w:val="auto"/>
              </w:rPr>
            </w:pPr>
          </w:p>
        </w:tc>
        <w:tc>
          <w:tcPr>
            <w:tcW w:w="840" w:type="dxa"/>
            <w:vAlign w:val="bottom"/>
          </w:tcPr>
          <w:p>
            <w:pPr>
              <w:jc w:val="right"/>
              <w:ind w:right="63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15,845</w:t>
            </w:r>
          </w:p>
        </w:tc>
        <w:tc>
          <w:tcPr>
            <w:tcW w:w="2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23,834</w:t>
            </w:r>
          </w:p>
        </w:tc>
        <w:tc>
          <w:tcPr>
            <w:tcW w:w="2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11,834</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(495,938 )</w:t>
            </w:r>
          </w:p>
        </w:tc>
      </w:tr>
      <w:tr>
        <w:trPr>
          <w:trHeight w:val="20"/>
        </w:trPr>
        <w:tc>
          <w:tcPr>
            <w:tcW w:w="4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taxes on income:</w:t>
            </w:r>
          </w:p>
        </w:tc>
        <w:tc>
          <w:tcPr>
            <w:tcW w:w="8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Federal:</w:t>
            </w: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Current</w:t>
            </w:r>
          </w:p>
        </w:tc>
        <w:tc>
          <w:tcPr>
            <w:tcW w:w="840" w:type="dxa"/>
            <w:vAlign w:val="bottom"/>
            <w:shd w:val="clear" w:color="auto" w:fill="CFF0FC"/>
          </w:tcPr>
          <w:p>
            <w:pPr>
              <w:jc w:val="right"/>
              <w:ind w:right="63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(18,608 )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(156,304 )</w:t>
            </w:r>
          </w:p>
        </w:tc>
      </w:tr>
      <w:tr>
        <w:trPr>
          <w:trHeight w:val="250"/>
        </w:trPr>
        <w:tc>
          <w:tcPr>
            <w:tcW w:w="4900" w:type="dxa"/>
            <w:vAlign w:val="bottom"/>
          </w:tcPr>
          <w:p>
            <w:pPr>
              <w:ind w:left="520"/>
              <w:spacing w:after="0"/>
              <w:rPr>
                <w:sz w:val="20"/>
                <w:szCs w:val="20"/>
                <w:color w:val="auto"/>
              </w:rPr>
            </w:pPr>
            <w:r>
              <w:rPr>
                <w:rFonts w:ascii="Arial" w:cs="Arial" w:eastAsia="Arial" w:hAnsi="Arial"/>
                <w:sz w:val="18"/>
                <w:szCs w:val="18"/>
                <w:color w:val="auto"/>
              </w:rPr>
              <w:t>Deferred</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3,407</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16,149</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2,804</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(7,294 )</w:t>
            </w:r>
          </w:p>
        </w:tc>
      </w:tr>
      <w:tr>
        <w:trPr>
          <w:trHeight w:val="263"/>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State and local:</w:t>
            </w:r>
          </w:p>
        </w:tc>
        <w:tc>
          <w:tcPr>
            <w:tcW w:w="8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520"/>
              <w:spacing w:after="0"/>
              <w:rPr>
                <w:sz w:val="20"/>
                <w:szCs w:val="20"/>
                <w:color w:val="auto"/>
              </w:rPr>
            </w:pPr>
            <w:r>
              <w:rPr>
                <w:rFonts w:ascii="Arial" w:cs="Arial" w:eastAsia="Arial" w:hAnsi="Arial"/>
                <w:sz w:val="18"/>
                <w:szCs w:val="18"/>
                <w:color w:val="auto"/>
              </w:rPr>
              <w:t>Current</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Deferred</w:t>
            </w:r>
          </w:p>
        </w:tc>
        <w:tc>
          <w:tcPr>
            <w:tcW w:w="84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(11,294 )</w:t>
            </w: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Foreign - current</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(11 )</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490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63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5,493</w:t>
            </w:r>
          </w:p>
        </w:tc>
        <w:tc>
          <w:tcPr>
            <w:tcW w:w="28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(1,429 )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4,602</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(174,238 )</w:t>
            </w:r>
          </w:p>
        </w:tc>
      </w:tr>
      <w:tr>
        <w:trPr>
          <w:trHeight w:val="595"/>
        </w:trPr>
        <w:tc>
          <w:tcPr>
            <w:tcW w:w="490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-2165350</wp:posOffset>
            </wp:positionV>
            <wp:extent cx="17970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-2165350</wp:posOffset>
            </wp:positionV>
            <wp:extent cx="17970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-2165350</wp:posOffset>
            </wp:positionV>
            <wp:extent cx="16256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-496570</wp:posOffset>
            </wp:positionV>
            <wp:extent cx="1797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-479425</wp:posOffset>
            </wp:positionV>
            <wp:extent cx="1797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-496570</wp:posOffset>
            </wp:positionV>
            <wp:extent cx="1797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-479425</wp:posOffset>
            </wp:positionV>
            <wp:extent cx="1797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-496570</wp:posOffset>
            </wp:positionV>
            <wp:extent cx="1625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-479425</wp:posOffset>
            </wp:positionV>
            <wp:extent cx="1625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components of basic and diluted earnings (loss) per share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attributable to Kirby</w:t>
            </w:r>
          </w:p>
        </w:tc>
        <w:tc>
          <w:tcPr>
            <w:tcW w:w="84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10,190</w:t>
            </w: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25,002</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6,815</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(322,239 )</w:t>
            </w:r>
          </w:p>
        </w:tc>
        <w:tc>
          <w:tcPr>
            <w:tcW w:w="0" w:type="dxa"/>
            <w:vAlign w:val="bottom"/>
          </w:tcPr>
          <w:p>
            <w:pPr>
              <w:spacing w:after="0"/>
              <w:rPr>
                <w:sz w:val="1"/>
                <w:szCs w:val="1"/>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Undistributed earnings allocated to restricted shares</w:t>
            </w:r>
          </w:p>
        </w:tc>
        <w:tc>
          <w:tcPr>
            <w:tcW w:w="84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(8 )</w:t>
            </w:r>
          </w:p>
        </w:tc>
        <w:tc>
          <w:tcPr>
            <w:tcW w:w="8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(46 )</w:t>
            </w: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(6 )</w:t>
            </w:r>
          </w:p>
        </w:tc>
        <w:tc>
          <w:tcPr>
            <w:tcW w:w="3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Earnings (loss) available to Kirby common stockholders –</w:t>
            </w:r>
          </w:p>
        </w:tc>
        <w:tc>
          <w:tcPr>
            <w:tcW w:w="84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10,182</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24,956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(322,239 )</w:t>
            </w:r>
          </w:p>
        </w:tc>
        <w:tc>
          <w:tcPr>
            <w:tcW w:w="0" w:type="dxa"/>
            <w:vAlign w:val="bottom"/>
          </w:tcPr>
          <w:p>
            <w:pPr>
              <w:spacing w:after="0"/>
              <w:rPr>
                <w:sz w:val="1"/>
                <w:szCs w:val="1"/>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Undistributed earnings allocated to restricted shares</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Undistributed earnings reallocated to restricted shares</w:t>
            </w:r>
          </w:p>
        </w:tc>
        <w:tc>
          <w:tcPr>
            <w:tcW w:w="84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(8 )</w:t>
            </w:r>
          </w:p>
        </w:tc>
        <w:tc>
          <w:tcPr>
            <w:tcW w:w="84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(46 )</w:t>
            </w: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(6 )</w:t>
            </w: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900" w:type="dxa"/>
            <w:vAlign w:val="bottom"/>
          </w:tcPr>
          <w:p>
            <w:pPr>
              <w:ind w:left="280"/>
              <w:spacing w:after="0"/>
              <w:rPr>
                <w:sz w:val="20"/>
                <w:szCs w:val="20"/>
                <w:color w:val="auto"/>
              </w:rPr>
            </w:pPr>
            <w:r>
              <w:rPr>
                <w:rFonts w:ascii="Arial" w:cs="Arial" w:eastAsia="Arial" w:hAnsi="Arial"/>
                <w:sz w:val="18"/>
                <w:szCs w:val="18"/>
                <w:color w:val="auto"/>
              </w:rPr>
              <w:t>Earnings (loss) available to Kirby common stockholders –</w:t>
            </w:r>
          </w:p>
        </w:tc>
        <w:tc>
          <w:tcPr>
            <w:tcW w:w="840" w:type="dxa"/>
            <w:vAlign w:val="bottom"/>
            <w:vMerge w:val="restart"/>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0"/>
              </w:rPr>
              <w:t>10,182</w:t>
            </w:r>
          </w:p>
        </w:tc>
        <w:tc>
          <w:tcPr>
            <w:tcW w:w="280" w:type="dxa"/>
            <w:vAlign w:val="bottom"/>
          </w:tcPr>
          <w:p>
            <w:pPr>
              <w:spacing w:after="0"/>
              <w:rPr>
                <w:sz w:val="21"/>
                <w:szCs w:val="21"/>
                <w:color w:val="auto"/>
              </w:rPr>
            </w:pPr>
          </w:p>
        </w:tc>
        <w:tc>
          <w:tcPr>
            <w:tcW w:w="840" w:type="dxa"/>
            <w:vAlign w:val="bottom"/>
            <w:vMerge w:val="restart"/>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87"/>
              </w:rPr>
              <w:t>24,956</w:t>
            </w:r>
          </w:p>
        </w:tc>
        <w:tc>
          <w:tcPr>
            <w:tcW w:w="280" w:type="dxa"/>
            <w:vAlign w:val="bottom"/>
          </w:tcPr>
          <w:p>
            <w:pPr>
              <w:spacing w:after="0"/>
              <w:rPr>
                <w:sz w:val="21"/>
                <w:szCs w:val="21"/>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6,809</w:t>
            </w:r>
          </w:p>
        </w:tc>
        <w:tc>
          <w:tcPr>
            <w:tcW w:w="260" w:type="dxa"/>
            <w:vAlign w:val="bottom"/>
          </w:tcPr>
          <w:p>
            <w:pPr>
              <w:spacing w:after="0"/>
              <w:rPr>
                <w:sz w:val="21"/>
                <w:szCs w:val="21"/>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(322,239 )</w:t>
            </w:r>
          </w:p>
        </w:tc>
        <w:tc>
          <w:tcPr>
            <w:tcW w:w="0" w:type="dxa"/>
            <w:vAlign w:val="bottom"/>
          </w:tcPr>
          <w:p>
            <w:pPr>
              <w:spacing w:after="0"/>
              <w:rPr>
                <w:sz w:val="1"/>
                <w:szCs w:val="1"/>
                <w:color w:val="auto"/>
              </w:rPr>
            </w:pPr>
          </w:p>
        </w:tc>
      </w:tr>
      <w:tr>
        <w:trPr>
          <w:trHeight w:val="203"/>
        </w:trPr>
        <w:tc>
          <w:tcPr>
            <w:tcW w:w="4900" w:type="dxa"/>
            <w:vAlign w:val="bottom"/>
          </w:tcPr>
          <w:p>
            <w:pPr>
              <w:ind w:left="280"/>
              <w:spacing w:after="0" w:line="203" w:lineRule="exact"/>
              <w:rPr>
                <w:sz w:val="20"/>
                <w:szCs w:val="20"/>
                <w:color w:val="auto"/>
              </w:rPr>
            </w:pPr>
            <w:r>
              <w:rPr>
                <w:rFonts w:ascii="Arial" w:cs="Arial" w:eastAsia="Arial" w:hAnsi="Arial"/>
                <w:sz w:val="18"/>
                <w:szCs w:val="18"/>
                <w:color w:val="auto"/>
              </w:rPr>
              <w:t>diluted</w:t>
            </w:r>
          </w:p>
        </w:tc>
        <w:tc>
          <w:tcPr>
            <w:tcW w:w="8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Shares outstanding:</w:t>
            </w: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common stock issued and outstanding</w:t>
            </w:r>
          </w:p>
        </w:tc>
        <w:tc>
          <w:tcPr>
            <w:tcW w:w="84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60,101</w:t>
            </w: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60,023</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60,088</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Weighted average unvested restricted stock</w:t>
            </w:r>
          </w:p>
        </w:tc>
        <w:tc>
          <w:tcPr>
            <w:tcW w:w="84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(48 )</w:t>
            </w:r>
          </w:p>
        </w:tc>
        <w:tc>
          <w:tcPr>
            <w:tcW w:w="8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(111 )</w:t>
            </w: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(53 )</w:t>
            </w: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57"/>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Weighted average common stock outstanding – basic</w:t>
            </w:r>
          </w:p>
        </w:tc>
        <w:tc>
          <w:tcPr>
            <w:tcW w:w="840" w:type="dxa"/>
            <w:vAlign w:val="bottom"/>
            <w:tcBorders>
              <w:top w:val="single" w:sz="8" w:color="auto"/>
            </w:tcBorders>
            <w:shd w:val="clear" w:color="auto" w:fill="CFF0FC"/>
          </w:tcPr>
          <w:p>
            <w:pPr>
              <w:spacing w:after="0"/>
              <w:rPr>
                <w:sz w:val="22"/>
                <w:szCs w:val="22"/>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60,053</w:t>
            </w:r>
          </w:p>
        </w:tc>
        <w:tc>
          <w:tcPr>
            <w:tcW w:w="280" w:type="dxa"/>
            <w:vAlign w:val="bottom"/>
            <w:shd w:val="clear" w:color="auto" w:fill="CFF0FC"/>
          </w:tcPr>
          <w:p>
            <w:pPr>
              <w:spacing w:after="0"/>
              <w:rPr>
                <w:sz w:val="22"/>
                <w:szCs w:val="22"/>
                <w:color w:val="auto"/>
              </w:rPr>
            </w:pPr>
          </w:p>
        </w:tc>
        <w:tc>
          <w:tcPr>
            <w:tcW w:w="840" w:type="dxa"/>
            <w:vAlign w:val="bottom"/>
            <w:tcBorders>
              <w:top w:val="single" w:sz="8" w:color="auto"/>
            </w:tcBorders>
            <w:shd w:val="clear" w:color="auto" w:fill="CFF0FC"/>
          </w:tcPr>
          <w:p>
            <w:pPr>
              <w:spacing w:after="0"/>
              <w:rPr>
                <w:sz w:val="22"/>
                <w:szCs w:val="22"/>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59,912</w:t>
            </w:r>
          </w:p>
        </w:tc>
        <w:tc>
          <w:tcPr>
            <w:tcW w:w="28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60,035</w:t>
            </w:r>
          </w:p>
        </w:tc>
        <w:tc>
          <w:tcPr>
            <w:tcW w:w="26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59,898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Dilutive effect of stock options and restricted stock units</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4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Weighted average common stock outstanding – diluted</w:t>
            </w:r>
          </w:p>
        </w:tc>
        <w:tc>
          <w:tcPr>
            <w:tcW w:w="840" w:type="dxa"/>
            <w:vAlign w:val="bottom"/>
            <w:tcBorders>
              <w:top w:val="single" w:sz="8" w:color="auto"/>
              <w:bottom w:val="single" w:sz="8" w:color="auto"/>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60,274</w:t>
            </w:r>
          </w:p>
        </w:tc>
        <w:tc>
          <w:tcPr>
            <w:tcW w:w="2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59,937</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60,220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59,898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per share attributable to Kirby common</w:t>
            </w:r>
          </w:p>
        </w:tc>
        <w:tc>
          <w:tcPr>
            <w:tcW w:w="8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w:t>
            </w:r>
          </w:p>
        </w:tc>
        <w:tc>
          <w:tcPr>
            <w:tcW w:w="8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Basic</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0.17</w:t>
            </w:r>
          </w:p>
        </w:tc>
        <w:tc>
          <w:tcPr>
            <w:tcW w:w="280" w:type="dxa"/>
            <w:vAlign w:val="bottom"/>
          </w:tcPr>
          <w:p>
            <w:pPr>
              <w:spacing w:after="0"/>
              <w:rPr>
                <w:sz w:val="21"/>
                <w:szCs w:val="21"/>
                <w:color w:val="auto"/>
              </w:rPr>
            </w:pP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0.42</w:t>
            </w:r>
          </w:p>
        </w:tc>
        <w:tc>
          <w:tcPr>
            <w:tcW w:w="2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0.11</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(5.38 )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(5.38 )</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-2345055</wp:posOffset>
            </wp:positionV>
            <wp:extent cx="17970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-2345055</wp:posOffset>
            </wp:positionV>
            <wp:extent cx="17970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-2345055</wp:posOffset>
            </wp:positionV>
            <wp:extent cx="16256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-2345055</wp:posOffset>
            </wp:positionV>
            <wp:extent cx="6858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-873760</wp:posOffset>
            </wp:positionV>
            <wp:extent cx="17970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-856615</wp:posOffset>
            </wp:positionV>
            <wp:extent cx="17970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-873760</wp:posOffset>
            </wp:positionV>
            <wp:extent cx="1797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-856615</wp:posOffset>
            </wp:positionV>
            <wp:extent cx="1797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-873760</wp:posOffset>
            </wp:positionV>
            <wp:extent cx="1625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-856615</wp:posOffset>
            </wp:positionV>
            <wp:extent cx="1625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1797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17970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1797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1797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625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1625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color w:val="auto"/>
        </w:rPr>
        <w:t>Certain outstanding options to purchase approximately 550,000 and 681,000 shares of common stock were excluded in the computation of diluted earnings per share as of June 30, 2021 and 2020, respectively, as such stock options would have been antidilutive. Certain outstanding RSUs to convert to 5,000 and 162,000 shares of common stock were also excluded in the computation of diluted earnings per share as of June 30, 2021 and 2020, respectively, as such RSUs would have been antidilutive.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760" w:type="dxa"/>
            <w:vAlign w:val="bottom"/>
          </w:tcPr>
          <w:p>
            <w:pPr>
              <w:ind w:left="160"/>
              <w:spacing w:after="0"/>
              <w:rPr>
                <w:sz w:val="20"/>
                <w:szCs w:val="20"/>
                <w:color w:val="auto"/>
              </w:rPr>
            </w:pPr>
            <w:r>
              <w:rPr>
                <w:rFonts w:ascii="Arial" w:cs="Arial" w:eastAsia="Arial" w:hAnsi="Arial"/>
                <w:sz w:val="18"/>
                <w:szCs w:val="18"/>
                <w:b w:val="1"/>
                <w:bCs w:val="1"/>
                <w:color w:val="auto"/>
              </w:rPr>
              <w:t>Inventories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00" w:type="dxa"/>
            <w:vAlign w:val="bottom"/>
          </w:tcPr>
          <w:p>
            <w:pPr>
              <w:spacing w:after="0"/>
              <w:rPr>
                <w:sz w:val="24"/>
                <w:szCs w:val="24"/>
                <w:color w:val="auto"/>
              </w:rPr>
            </w:pPr>
          </w:p>
        </w:tc>
        <w:tc>
          <w:tcPr>
            <w:tcW w:w="7760" w:type="dxa"/>
            <w:vAlign w:val="bottom"/>
          </w:tcPr>
          <w:p>
            <w:pPr>
              <w:ind w:left="100"/>
              <w:spacing w:after="0"/>
              <w:rPr>
                <w:sz w:val="20"/>
                <w:szCs w:val="20"/>
                <w:color w:val="auto"/>
              </w:rPr>
            </w:pPr>
            <w:r>
              <w:rPr>
                <w:rFonts w:ascii="Arial" w:cs="Arial" w:eastAsia="Arial" w:hAnsi="Arial"/>
                <w:sz w:val="18"/>
                <w:szCs w:val="18"/>
                <w:color w:val="auto"/>
              </w:rPr>
              <w:t>The following table presents the details of inventories – net (in thousands):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9"/>
        </w:trPr>
        <w:tc>
          <w:tcPr>
            <w:tcW w:w="40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337"/>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24"/>
                <w:szCs w:val="24"/>
                <w:color w:val="auto"/>
              </w:rPr>
            </w:pPr>
          </w:p>
        </w:tc>
      </w:tr>
      <w:tr>
        <w:trPr>
          <w:trHeight w:val="192"/>
        </w:trPr>
        <w:tc>
          <w:tcPr>
            <w:tcW w:w="40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8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257,426</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255,491</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68,119</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54,184</w:t>
            </w:r>
          </w:p>
        </w:tc>
        <w:tc>
          <w:tcPr>
            <w:tcW w:w="100" w:type="dxa"/>
            <w:vAlign w:val="bottom"/>
          </w:tcPr>
          <w:p>
            <w:pPr>
              <w:spacing w:after="0"/>
              <w:rPr>
                <w:sz w:val="21"/>
                <w:szCs w:val="21"/>
                <w:color w:val="auto"/>
              </w:rPr>
            </w:pPr>
          </w:p>
        </w:tc>
      </w:tr>
      <w:tr>
        <w:trPr>
          <w:trHeight w:val="290"/>
        </w:trPr>
        <w:tc>
          <w:tcPr>
            <w:tcW w:w="400" w:type="dxa"/>
            <w:vAlign w:val="bottom"/>
            <w:tcBorders>
              <w:bottom w:val="single" w:sz="8" w:color="CFF0FC"/>
            </w:tcBorders>
            <w:shd w:val="clear" w:color="auto" w:fill="CFF0FC"/>
          </w:tcPr>
          <w:p>
            <w:pPr>
              <w:spacing w:after="0"/>
              <w:rPr>
                <w:sz w:val="24"/>
                <w:szCs w:val="24"/>
                <w:color w:val="auto"/>
              </w:rPr>
            </w:pPr>
          </w:p>
        </w:tc>
        <w:tc>
          <w:tcPr>
            <w:tcW w:w="77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325,545</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309,675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-25400</wp:posOffset>
            </wp:positionV>
            <wp:extent cx="1714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17145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25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8"/>
          <w:szCs w:val="18"/>
          <w:color w:val="auto"/>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spacing w:after="0" w:line="18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both"/>
        <w:ind w:firstLine="492"/>
        <w:spacing w:after="0" w:line="272" w:lineRule="auto"/>
        <w:rPr>
          <w:sz w:val="20"/>
          <w:szCs w:val="20"/>
          <w:color w:val="auto"/>
        </w:rPr>
      </w:pPr>
      <w:r>
        <w:rPr>
          <w:rFonts w:ascii="Arial" w:cs="Arial" w:eastAsia="Arial" w:hAnsi="Arial"/>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2021.</w:t>
      </w:r>
    </w:p>
    <w:p>
      <w:pPr>
        <w:spacing w:after="0" w:line="20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7"/>
          <w:szCs w:val="17"/>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a contribution of $479,000 to the Higman pension plan during the six months ended June 30, 2021. The Company does not expect to make any additional contributions during 2021.</w:t>
      </w:r>
    </w:p>
    <w:p>
      <w:pPr>
        <w:spacing w:after="0" w:line="18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periodic benefit cost for the Company’s defined benefit plans were as follows (in thousands):</w:t>
      </w:r>
    </w:p>
    <w:p>
      <w:pPr>
        <w:spacing w:after="0" w:line="257"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23495</wp:posOffset>
            </wp:positionV>
            <wp:extent cx="39516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spacing w:after="0" w:line="55" w:lineRule="exact"/>
        <w:rPr>
          <w:sz w:val="20"/>
          <w:szCs w:val="20"/>
          <w:color w:val="auto"/>
        </w:rPr>
      </w:pPr>
    </w:p>
    <w:p>
      <w:pPr>
        <w:jc w:val="center"/>
        <w:ind w:left="4820"/>
        <w:spacing w:after="0"/>
        <w:rPr>
          <w:sz w:val="20"/>
          <w:szCs w:val="20"/>
          <w:color w:val="auto"/>
        </w:rPr>
      </w:pPr>
      <w:r>
        <w:rPr>
          <w:rFonts w:ascii="Arial" w:cs="Arial" w:eastAsia="Arial" w:hAnsi="Arial"/>
          <w:sz w:val="14"/>
          <w:szCs w:val="14"/>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23495</wp:posOffset>
            </wp:positionV>
            <wp:extent cx="19113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5" w:lineRule="exact"/>
        <w:rPr>
          <w:sz w:val="20"/>
          <w:szCs w:val="20"/>
          <w:color w:val="auto"/>
        </w:rPr>
      </w:pPr>
    </w:p>
    <w:p>
      <w:pPr>
        <w:jc w:val="center"/>
        <w:ind w:left="482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31115</wp:posOffset>
            </wp:positionV>
            <wp:extent cx="191135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47" w:lineRule="exact"/>
        <w:rPr>
          <w:sz w:val="20"/>
          <w:szCs w:val="20"/>
          <w:color w:val="auto"/>
        </w:rPr>
      </w:pPr>
    </w:p>
    <w:p>
      <w:pPr>
        <w:ind w:left="5440"/>
        <w:spacing w:after="0"/>
        <w:tabs>
          <w:tab w:leader="none" w:pos="708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23495</wp:posOffset>
            </wp:positionV>
            <wp:extent cx="18599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5" w:lineRule="exact"/>
        <w:rPr>
          <w:sz w:val="20"/>
          <w:szCs w:val="20"/>
          <w:color w:val="auto"/>
        </w:rPr>
      </w:pPr>
    </w:p>
    <w:p>
      <w:pPr>
        <w:jc w:val="center"/>
        <w:ind w:right="64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31115</wp:posOffset>
            </wp:positionV>
            <wp:extent cx="18599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47" w:lineRule="exact"/>
        <w:rPr>
          <w:sz w:val="20"/>
          <w:szCs w:val="20"/>
          <w:color w:val="auto"/>
        </w:rPr>
      </w:pPr>
    </w:p>
    <w:p>
      <w:pPr>
        <w:spacing w:after="0"/>
        <w:tabs>
          <w:tab w:leader="none" w:pos="158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48" w:lineRule="exact"/>
        <w:rPr>
          <w:sz w:val="20"/>
          <w:szCs w:val="20"/>
          <w:color w:val="auto"/>
        </w:rPr>
      </w:pPr>
    </w:p>
    <w:p>
      <w:pPr>
        <w:sectPr>
          <w:pgSz w:w="11900" w:h="16838" w:orient="portrait"/>
          <w:cols w:equalWidth="0" w:num="2">
            <w:col w:w="8000" w:space="720"/>
            <w:col w:w="252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9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500" w:type="dxa"/>
            <w:vAlign w:val="bottom"/>
            <w:tcBorders>
              <w:top w:val="single" w:sz="8" w:color="auto"/>
            </w:tcBorders>
            <w:shd w:val="clear" w:color="auto" w:fill="CFF0FC"/>
          </w:tcPr>
          <w:p>
            <w:pPr>
              <w:spacing w:after="0"/>
              <w:rPr>
                <w:sz w:val="22"/>
                <w:szCs w:val="22"/>
                <w:color w:val="auto"/>
              </w:rPr>
            </w:pPr>
          </w:p>
        </w:tc>
        <w:tc>
          <w:tcPr>
            <w:tcW w:w="880" w:type="dxa"/>
            <w:vAlign w:val="bottom"/>
            <w:tcBorders>
              <w:top w:val="single" w:sz="8" w:color="auto"/>
            </w:tcBorders>
            <w:shd w:val="clear" w:color="auto" w:fill="CFF0FC"/>
          </w:tcPr>
          <w:p>
            <w:pPr>
              <w:spacing w:after="0"/>
              <w:rPr>
                <w:sz w:val="22"/>
                <w:szCs w:val="22"/>
                <w:color w:val="auto"/>
              </w:rPr>
            </w:pPr>
          </w:p>
        </w:tc>
        <w:tc>
          <w:tcPr>
            <w:tcW w:w="280" w:type="dxa"/>
            <w:vAlign w:val="bottom"/>
            <w:tcBorders>
              <w:top w:val="single" w:sz="8" w:color="CFF0FC"/>
            </w:tcBorders>
            <w:shd w:val="clear" w:color="auto" w:fill="CFF0FC"/>
          </w:tcPr>
          <w:p>
            <w:pPr>
              <w:spacing w:after="0"/>
              <w:rPr>
                <w:sz w:val="22"/>
                <w:szCs w:val="22"/>
                <w:color w:val="auto"/>
              </w:rPr>
            </w:pPr>
          </w:p>
        </w:tc>
        <w:tc>
          <w:tcPr>
            <w:tcW w:w="580" w:type="dxa"/>
            <w:vAlign w:val="bottom"/>
            <w:tcBorders>
              <w:top w:val="single" w:sz="8" w:color="auto"/>
            </w:tcBorders>
            <w:shd w:val="clear" w:color="auto" w:fill="CFF0FC"/>
          </w:tcPr>
          <w:p>
            <w:pPr>
              <w:spacing w:after="0"/>
              <w:rPr>
                <w:sz w:val="22"/>
                <w:szCs w:val="22"/>
                <w:color w:val="auto"/>
              </w:rPr>
            </w:pPr>
          </w:p>
        </w:tc>
        <w:tc>
          <w:tcPr>
            <w:tcW w:w="780" w:type="dxa"/>
            <w:vAlign w:val="bottom"/>
            <w:tcBorders>
              <w:top w:val="single" w:sz="8" w:color="auto"/>
            </w:tcBorders>
            <w:shd w:val="clear" w:color="auto" w:fill="CFF0FC"/>
          </w:tcPr>
          <w:p>
            <w:pPr>
              <w:spacing w:after="0"/>
              <w:rPr>
                <w:sz w:val="22"/>
                <w:szCs w:val="22"/>
                <w:color w:val="auto"/>
              </w:rPr>
            </w:pPr>
          </w:p>
        </w:tc>
        <w:tc>
          <w:tcPr>
            <w:tcW w:w="280" w:type="dxa"/>
            <w:vAlign w:val="bottom"/>
            <w:tcBorders>
              <w:top w:val="single" w:sz="8" w:color="CFF0FC"/>
            </w:tcBorders>
            <w:shd w:val="clear" w:color="auto" w:fill="CFF0FC"/>
          </w:tcPr>
          <w:p>
            <w:pPr>
              <w:spacing w:after="0"/>
              <w:rPr>
                <w:sz w:val="22"/>
                <w:szCs w:val="22"/>
                <w:color w:val="auto"/>
              </w:rPr>
            </w:pPr>
          </w:p>
        </w:tc>
        <w:tc>
          <w:tcPr>
            <w:tcW w:w="740" w:type="dxa"/>
            <w:vAlign w:val="bottom"/>
            <w:tcBorders>
              <w:top w:val="single" w:sz="8" w:color="auto"/>
            </w:tcBorders>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260" w:type="dxa"/>
            <w:vAlign w:val="bottom"/>
            <w:tcBorders>
              <w:top w:val="single" w:sz="8" w:color="CFF0FC"/>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72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2,053</w:t>
            </w:r>
          </w:p>
        </w:tc>
        <w:tc>
          <w:tcPr>
            <w:tcW w:w="28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1,919</w:t>
            </w:r>
          </w:p>
        </w:tc>
        <w:tc>
          <w:tcPr>
            <w:tcW w:w="280" w:type="dxa"/>
            <w:vAlign w:val="bottom"/>
          </w:tcPr>
          <w:p>
            <w:pPr>
              <w:spacing w:after="0"/>
              <w:rPr>
                <w:sz w:val="21"/>
                <w:szCs w:val="21"/>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cost</w:t>
            </w:r>
          </w:p>
        </w:tc>
        <w:tc>
          <w:tcPr>
            <w:tcW w:w="50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3,535</w:t>
            </w:r>
          </w:p>
        </w:tc>
        <w:tc>
          <w:tcPr>
            <w:tcW w:w="28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3,949</w:t>
            </w:r>
          </w:p>
        </w:tc>
        <w:tc>
          <w:tcPr>
            <w:tcW w:w="2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5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(6,559 )</w:t>
            </w:r>
          </w:p>
        </w:tc>
        <w:tc>
          <w:tcPr>
            <w:tcW w:w="5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(5,735 )</w:t>
            </w:r>
          </w:p>
        </w:tc>
        <w:tc>
          <w:tcPr>
            <w:tcW w:w="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4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Amortization of actuarial loss</w:t>
            </w:r>
          </w:p>
        </w:tc>
        <w:tc>
          <w:tcPr>
            <w:tcW w:w="50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28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8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900" w:type="dxa"/>
            <w:vAlign w:val="bottom"/>
          </w:tcPr>
          <w:p>
            <w:pPr>
              <w:ind w:left="520"/>
              <w:spacing w:after="0"/>
              <w:rPr>
                <w:sz w:val="20"/>
                <w:szCs w:val="20"/>
                <w:color w:val="auto"/>
              </w:rPr>
            </w:pPr>
            <w:r>
              <w:rPr>
                <w:rFonts w:ascii="Arial" w:cs="Arial" w:eastAsia="Arial" w:hAnsi="Arial"/>
                <w:sz w:val="18"/>
                <w:szCs w:val="18"/>
                <w:color w:val="auto"/>
              </w:rPr>
              <w:t>Net periodic benefit cost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(181 )</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Pr>
          <w:p>
            <w:pPr>
              <w:spacing w:after="0"/>
              <w:rPr>
                <w:sz w:val="21"/>
                <w:szCs w:val="21"/>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9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Pension Benefits</w:t>
            </w: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4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4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Pension Plans</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SERP</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-597535</wp:posOffset>
            </wp:positionV>
            <wp:extent cx="17970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-597535</wp:posOffset>
            </wp:positionV>
            <wp:extent cx="17970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-597535</wp:posOffset>
            </wp:positionV>
            <wp:extent cx="16256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-597535</wp:posOffset>
            </wp:positionV>
            <wp:extent cx="6858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7620</wp:posOffset>
            </wp:positionV>
            <wp:extent cx="39516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p>
      <w:pPr>
        <w:spacing w:after="0" w:line="30" w:lineRule="exact"/>
        <w:rPr>
          <w:sz w:val="20"/>
          <w:szCs w:val="20"/>
          <w:color w:val="auto"/>
        </w:rPr>
      </w:pPr>
    </w:p>
    <w:p>
      <w:pPr>
        <w:jc w:val="center"/>
        <w:ind w:left="48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23495</wp:posOffset>
            </wp:positionV>
            <wp:extent cx="19113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5" w:lineRule="exact"/>
        <w:rPr>
          <w:sz w:val="20"/>
          <w:szCs w:val="20"/>
          <w:color w:val="auto"/>
        </w:rPr>
      </w:pPr>
    </w:p>
    <w:p>
      <w:pPr>
        <w:ind w:left="5440"/>
        <w:spacing w:after="0"/>
        <w:tabs>
          <w:tab w:leader="none" w:pos="708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23495</wp:posOffset>
            </wp:positionV>
            <wp:extent cx="18599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5" w:lineRule="exact"/>
        <w:rPr>
          <w:sz w:val="20"/>
          <w:szCs w:val="20"/>
          <w:color w:val="auto"/>
        </w:rPr>
      </w:pPr>
    </w:p>
    <w:p>
      <w:pPr>
        <w:spacing w:after="0"/>
        <w:tabs>
          <w:tab w:leader="none" w:pos="158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48" w:lineRule="exact"/>
        <w:rPr>
          <w:sz w:val="20"/>
          <w:szCs w:val="20"/>
          <w:color w:val="auto"/>
        </w:rPr>
      </w:pPr>
    </w:p>
    <w:p>
      <w:pPr>
        <w:sectPr>
          <w:pgSz w:w="11900" w:h="16838" w:orient="portrait"/>
          <w:cols w:equalWidth="0" w:num="2">
            <w:col w:w="8000" w:space="720"/>
            <w:col w:w="252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9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46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280" w:type="dxa"/>
            <w:vAlign w:val="bottom"/>
            <w:tcBorders>
              <w:top w:val="single" w:sz="8" w:color="CFF0FC"/>
            </w:tcBorders>
            <w:shd w:val="clear" w:color="auto" w:fill="CFF0FC"/>
          </w:tcPr>
          <w:p>
            <w:pPr>
              <w:spacing w:after="0"/>
              <w:rPr>
                <w:sz w:val="22"/>
                <w:szCs w:val="22"/>
                <w:color w:val="auto"/>
              </w:rPr>
            </w:pPr>
          </w:p>
        </w:tc>
        <w:tc>
          <w:tcPr>
            <w:tcW w:w="44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280" w:type="dxa"/>
            <w:vAlign w:val="bottom"/>
            <w:tcBorders>
              <w:top w:val="single" w:sz="8" w:color="CFF0FC"/>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720" w:type="dxa"/>
            <w:vAlign w:val="bottom"/>
            <w:tcBorders>
              <w:top w:val="single" w:sz="8" w:color="auto"/>
            </w:tcBorders>
            <w:shd w:val="clear" w:color="auto" w:fill="CFF0FC"/>
          </w:tcPr>
          <w:p>
            <w:pPr>
              <w:spacing w:after="0"/>
              <w:rPr>
                <w:sz w:val="22"/>
                <w:szCs w:val="22"/>
                <w:color w:val="auto"/>
              </w:rPr>
            </w:pPr>
          </w:p>
        </w:tc>
        <w:tc>
          <w:tcPr>
            <w:tcW w:w="260" w:type="dxa"/>
            <w:vAlign w:val="bottom"/>
            <w:tcBorders>
              <w:top w:val="single" w:sz="8" w:color="CFF0FC"/>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72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3,980</w:t>
            </w:r>
          </w:p>
        </w:tc>
        <w:tc>
          <w:tcPr>
            <w:tcW w:w="28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3,836</w:t>
            </w:r>
          </w:p>
        </w:tc>
        <w:tc>
          <w:tcPr>
            <w:tcW w:w="28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63"/>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cost</w:t>
            </w: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7,119</w:t>
            </w:r>
          </w:p>
        </w:tc>
        <w:tc>
          <w:tcPr>
            <w:tcW w:w="2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7,839</w:t>
            </w: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9"/>
              </w:rPr>
              <w:t>15</w:t>
            </w: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4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(13,133 )</w:t>
            </w:r>
          </w:p>
        </w:tc>
        <w:tc>
          <w:tcPr>
            <w:tcW w:w="4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(11,923 )</w:t>
            </w:r>
          </w:p>
        </w:tc>
        <w:tc>
          <w:tcPr>
            <w:tcW w:w="620" w:type="dxa"/>
            <w:vAlign w:val="bottom"/>
          </w:tcPr>
          <w:p>
            <w:pPr>
              <w:spacing w:after="0"/>
              <w:rPr>
                <w:sz w:val="21"/>
                <w:szCs w:val="21"/>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57"/>
        </w:trPr>
        <w:tc>
          <w:tcPr>
            <w:tcW w:w="4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Amortization of actuarial loss</w:t>
            </w:r>
          </w:p>
        </w:tc>
        <w:tc>
          <w:tcPr>
            <w:tcW w:w="4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28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9"/>
              </w:rPr>
              <w:t>20</w:t>
            </w:r>
          </w:p>
        </w:tc>
        <w:tc>
          <w:tcPr>
            <w:tcW w:w="26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9"/>
              </w:rPr>
              <w:t>18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900" w:type="dxa"/>
            <w:vAlign w:val="bottom"/>
          </w:tcPr>
          <w:p>
            <w:pPr>
              <w:ind w:left="520"/>
              <w:spacing w:after="0"/>
              <w:rPr>
                <w:sz w:val="20"/>
                <w:szCs w:val="20"/>
                <w:color w:val="auto"/>
              </w:rPr>
            </w:pPr>
            <w:r>
              <w:rPr>
                <w:rFonts w:ascii="Arial" w:cs="Arial" w:eastAsia="Arial" w:hAnsi="Arial"/>
                <w:sz w:val="18"/>
                <w:szCs w:val="18"/>
                <w:color w:val="auto"/>
              </w:rPr>
              <w:t>Net periodic benefit cost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(146 )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89"/>
              </w:rPr>
              <w:t>35</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-193675</wp:posOffset>
            </wp:positionV>
            <wp:extent cx="17970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-193675</wp:posOffset>
            </wp:positionV>
            <wp:extent cx="17970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-193675</wp:posOffset>
            </wp:positionV>
            <wp:extent cx="16256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periodic benefit cost for the Company’s postretirement benefit plan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Other Postretirement Benefits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Postretirement Welfare Plan</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33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7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9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94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940" w:type="dxa"/>
            <w:vAlign w:val="bottom"/>
          </w:tcPr>
          <w:p>
            <w:pPr>
              <w:jc w:val="right"/>
              <w:ind w:right="737"/>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cost</w:t>
            </w:r>
          </w:p>
        </w:tc>
        <w:tc>
          <w:tcPr>
            <w:tcW w:w="94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Amortization of actuarial gain</w:t>
            </w:r>
          </w:p>
        </w:tc>
        <w:tc>
          <w:tcPr>
            <w:tcW w:w="94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(112 )</w:t>
            </w:r>
          </w:p>
        </w:tc>
        <w:tc>
          <w:tcPr>
            <w:tcW w:w="3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(130 )</w:t>
            </w: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(225 )</w:t>
            </w: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(261 )</w:t>
            </w:r>
          </w:p>
        </w:tc>
      </w:tr>
      <w:tr>
        <w:trPr>
          <w:trHeight w:val="20"/>
        </w:trPr>
        <w:tc>
          <w:tcPr>
            <w:tcW w:w="49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49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periodic benefit cost</w:t>
            </w:r>
          </w:p>
        </w:tc>
        <w:tc>
          <w:tcPr>
            <w:tcW w:w="940" w:type="dxa"/>
            <w:vAlign w:val="bottom"/>
            <w:shd w:val="clear" w:color="auto" w:fill="CFF0FC"/>
          </w:tcPr>
          <w:p>
            <w:pPr>
              <w:jc w:val="right"/>
              <w:ind w:right="737"/>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(108 )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(217 )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(250 )</w:t>
            </w:r>
          </w:p>
        </w:tc>
      </w:tr>
      <w:tr>
        <w:trPr>
          <w:trHeight w:val="594"/>
        </w:trPr>
        <w:tc>
          <w:tcPr>
            <w:tcW w:w="490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13</w:t>
            </w:r>
          </w:p>
        </w:tc>
        <w:tc>
          <w:tcPr>
            <w:tcW w:w="4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-496570</wp:posOffset>
            </wp:positionV>
            <wp:extent cx="17970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-479425</wp:posOffset>
            </wp:positionV>
            <wp:extent cx="17970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-496570</wp:posOffset>
            </wp:positionV>
            <wp:extent cx="17970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-479425</wp:posOffset>
            </wp:positionV>
            <wp:extent cx="17970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-496570</wp:posOffset>
            </wp:positionV>
            <wp:extent cx="1625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-479425</wp:posOffset>
            </wp:positionV>
            <wp:extent cx="1625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4" w:name="page15"/>
    <w:bookmarkEnd w:id="14"/>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changes in other comprehensive income (loss)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9"/>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 Tax</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 Tax</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(Provision)</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r>
      <w:tr>
        <w:trPr>
          <w:trHeight w:val="192"/>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Provision</w:t>
            </w:r>
          </w:p>
        </w:tc>
        <w:tc>
          <w:tcPr>
            <w:tcW w:w="12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Net Amount</w:t>
            </w:r>
          </w:p>
        </w:tc>
        <w:tc>
          <w:tcPr>
            <w:tcW w:w="18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Benefit</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r>
      <w:tr>
        <w:trPr>
          <w:trHeight w:val="25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 and postretirement benefits (a):</w:t>
            </w:r>
          </w:p>
        </w:tc>
        <w:tc>
          <w:tcPr>
            <w:tcW w:w="180" w:type="dxa"/>
            <w:vAlign w:val="bottom"/>
            <w:tcBorders>
              <w:top w:val="single" w:sz="8" w:color="auto"/>
            </w:tcBorders>
            <w:shd w:val="clear" w:color="auto" w:fill="CFF0FC"/>
          </w:tcPr>
          <w:p>
            <w:pPr>
              <w:spacing w:after="0"/>
              <w:rPr>
                <w:sz w:val="22"/>
                <w:szCs w:val="22"/>
                <w:color w:val="auto"/>
              </w:rPr>
            </w:pPr>
          </w:p>
        </w:tc>
        <w:tc>
          <w:tcPr>
            <w:tcW w:w="86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240" w:type="dxa"/>
            <w:vAlign w:val="bottom"/>
            <w:tcBorders>
              <w:left w:val="single" w:sz="8" w:color="CFF0FC"/>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88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82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88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84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820" w:type="dxa"/>
            <w:vAlign w:val="bottom"/>
          </w:tcPr>
          <w:p>
            <w:pPr>
              <w:ind w:left="280"/>
              <w:spacing w:after="0"/>
              <w:rPr>
                <w:sz w:val="20"/>
                <w:szCs w:val="20"/>
                <w:color w:val="auto"/>
              </w:rPr>
            </w:pPr>
            <w:r>
              <w:rPr>
                <w:rFonts w:ascii="Arial" w:cs="Arial" w:eastAsia="Arial" w:hAnsi="Arial"/>
                <w:sz w:val="18"/>
                <w:szCs w:val="18"/>
                <w:color w:val="auto"/>
              </w:rPr>
              <w:t>Amortization of net actuarial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688</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(174 )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(77 )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r>
      <w:tr>
        <w:trPr>
          <w:trHeight w:val="263"/>
        </w:trPr>
        <w:tc>
          <w:tcPr>
            <w:tcW w:w="3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Actuarial gains (losses)</w:t>
            </w: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(1,035 )</w:t>
            </w: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(3,609 )</w:t>
            </w: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(2,704 )</w:t>
            </w:r>
          </w:p>
        </w:tc>
      </w:tr>
      <w:tr>
        <w:trPr>
          <w:trHeight w:val="250"/>
        </w:trPr>
        <w:tc>
          <w:tcPr>
            <w:tcW w:w="382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(86 )</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(86 )</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38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4,730</w:t>
            </w:r>
          </w:p>
        </w:tc>
        <w:tc>
          <w:tcPr>
            <w:tcW w:w="26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(1,209 )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w:t>
            </w: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(2,954 )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(2,126 )</w:t>
            </w: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3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7"/>
              </w:rPr>
              <w:t>Six months ended June 30,</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9"/>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 Tax</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Income Tax</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(Provision)</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r>
      <w:tr>
        <w:trPr>
          <w:trHeight w:val="192"/>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Provision</w:t>
            </w:r>
          </w:p>
        </w:tc>
        <w:tc>
          <w:tcPr>
            <w:tcW w:w="12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Net Amount</w:t>
            </w:r>
          </w:p>
        </w:tc>
        <w:tc>
          <w:tcPr>
            <w:tcW w:w="18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Benefit</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r>
      <w:tr>
        <w:trPr>
          <w:trHeight w:val="25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 and postretirement benefits (a):</w:t>
            </w:r>
          </w:p>
        </w:tc>
        <w:tc>
          <w:tcPr>
            <w:tcW w:w="180" w:type="dxa"/>
            <w:vAlign w:val="bottom"/>
            <w:tcBorders>
              <w:top w:val="single" w:sz="8" w:color="auto"/>
            </w:tcBorders>
            <w:shd w:val="clear" w:color="auto" w:fill="CFF0FC"/>
          </w:tcPr>
          <w:p>
            <w:pPr>
              <w:spacing w:after="0"/>
              <w:rPr>
                <w:sz w:val="22"/>
                <w:szCs w:val="22"/>
                <w:color w:val="auto"/>
              </w:rPr>
            </w:pPr>
          </w:p>
        </w:tc>
        <w:tc>
          <w:tcPr>
            <w:tcW w:w="86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240" w:type="dxa"/>
            <w:vAlign w:val="bottom"/>
            <w:tcBorders>
              <w:left w:val="single" w:sz="8" w:color="CFF0FC"/>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88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82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88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84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820" w:type="dxa"/>
            <w:vAlign w:val="bottom"/>
          </w:tcPr>
          <w:p>
            <w:pPr>
              <w:ind w:left="280"/>
              <w:spacing w:after="0"/>
              <w:rPr>
                <w:sz w:val="20"/>
                <w:szCs w:val="20"/>
                <w:color w:val="auto"/>
              </w:rPr>
            </w:pPr>
            <w:r>
              <w:rPr>
                <w:rFonts w:ascii="Arial" w:cs="Arial" w:eastAsia="Arial" w:hAnsi="Arial"/>
                <w:sz w:val="18"/>
                <w:szCs w:val="18"/>
                <w:color w:val="auto"/>
              </w:rPr>
              <w:t>Amortization of net actuarial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1,683</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(424 )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1,259</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r>
      <w:tr>
        <w:trPr>
          <w:trHeight w:val="263"/>
        </w:trPr>
        <w:tc>
          <w:tcPr>
            <w:tcW w:w="3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Actuarial gains (losses)</w:t>
            </w: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(1,035 )</w:t>
            </w: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(3,609 )</w:t>
            </w: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(2,704 )</w:t>
            </w:r>
          </w:p>
        </w:tc>
      </w:tr>
      <w:tr>
        <w:trPr>
          <w:trHeight w:val="250"/>
        </w:trPr>
        <w:tc>
          <w:tcPr>
            <w:tcW w:w="382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(583 )</w:t>
            </w:r>
          </w:p>
        </w:tc>
        <w:tc>
          <w:tcPr>
            <w:tcW w:w="1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(583 )</w:t>
            </w: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(923 )</w:t>
            </w:r>
          </w:p>
        </w:tc>
        <w:tc>
          <w:tcPr>
            <w:tcW w:w="12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(923 )</w:t>
            </w:r>
          </w:p>
        </w:tc>
      </w:tr>
      <w:tr>
        <w:trPr>
          <w:trHeight w:val="20"/>
        </w:trPr>
        <w:tc>
          <w:tcPr>
            <w:tcW w:w="3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38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5,228</w:t>
            </w:r>
          </w:p>
        </w:tc>
        <w:tc>
          <w:tcPr>
            <w:tcW w:w="26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(1,459 )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w:t>
            </w: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(4,118 )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(3,318 )</w:t>
            </w: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-1653540</wp:posOffset>
            </wp:positionV>
            <wp:extent cx="1631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-1636395</wp:posOffset>
            </wp:positionV>
            <wp:extent cx="1631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-1653540</wp:posOffset>
            </wp:positionV>
            <wp:extent cx="15430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-1636395</wp:posOffset>
            </wp:positionV>
            <wp:extent cx="15430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-1653540</wp:posOffset>
            </wp:positionV>
            <wp:extent cx="14605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-1636395</wp:posOffset>
            </wp:positionV>
            <wp:extent cx="14605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-1653540</wp:posOffset>
            </wp:positionV>
            <wp:extent cx="1454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-1636395</wp:posOffset>
            </wp:positionV>
            <wp:extent cx="1454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-1653540</wp:posOffset>
            </wp:positionV>
            <wp:extent cx="1454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-1636395</wp:posOffset>
            </wp:positionV>
            <wp:extent cx="1454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-25400</wp:posOffset>
            </wp:positionV>
            <wp:extent cx="16256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-7620</wp:posOffset>
            </wp:positionV>
            <wp:extent cx="1625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-25400</wp:posOffset>
            </wp:positionV>
            <wp:extent cx="15430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15430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1460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1460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1454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1454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14541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1454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ind w:left="760" w:hanging="260"/>
        <w:spacing w:after="0"/>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Actuarial gains (losses) are amortized into other income (expense). (See Note 12, Retirement Plans)</w:t>
      </w:r>
    </w:p>
    <w:p>
      <w:pPr>
        <w:spacing w:after="0" w:line="261"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56" w:lineRule="exact"/>
        <w:rPr>
          <w:sz w:val="20"/>
          <w:szCs w:val="20"/>
          <w:color w:val="auto"/>
        </w:rPr>
      </w:pPr>
    </w:p>
    <w:p>
      <w:pPr>
        <w:jc w:val="both"/>
        <w:ind w:firstLine="492"/>
        <w:spacing w:after="0" w:line="230" w:lineRule="exact"/>
        <w:rPr>
          <w:sz w:val="20"/>
          <w:szCs w:val="20"/>
          <w:color w:val="auto"/>
        </w:rPr>
      </w:pPr>
      <w:r>
        <w:rPr>
          <w:rFonts w:ascii="Arial" w:cs="Arial" w:eastAsia="Arial" w:hAnsi="Arial"/>
          <w:sz w:val="16"/>
          <w:szCs w:val="16"/>
          <w:color w:val="auto"/>
        </w:rPr>
        <w:t xml:space="preserve">On May 10, 2019, two tank barges and a towboat, the M/V Voyager, owned and operated by Kirby Inland Marine, LP (“Kirby Inland Marine”), a wholly owned subsidiary of the Company, were struck by the LPG tanker, the Genesis River, in the Houston Ship Channel. The bow of the Genesis River penetrated the Kirby 30015T and capsized the MMI 3014. The collision penetrated the hull of the Kirby 30015T causing its cargo, reformate, to be discharged into the water. The United States Coast Guard (“USCG”) and the National Transportation Safety Board (“NTSB”) designated the owner and pilot of the Genesis River as well as the subsidiary of the Company as parties of interest in their investigation into the cause of the incident. On June 19, 2019, the Company filed a limitation action in the U.S. District Court of the Southern District of Texas </w:t>
      </w:r>
      <w:r>
        <w:rPr>
          <w:rFonts w:ascii="MS PGothic" w:cs="MS PGothic" w:eastAsia="MS PGothic" w:hAnsi="MS PGothic"/>
          <w:sz w:val="16"/>
          <w:szCs w:val="16"/>
          <w:color w:val="auto"/>
        </w:rPr>
        <w:t>‑</w:t>
      </w:r>
      <w:r>
        <w:rPr>
          <w:rFonts w:ascii="Arial" w:cs="Arial" w:eastAsia="Arial" w:hAnsi="Arial"/>
          <w:sz w:val="16"/>
          <w:szCs w:val="16"/>
          <w:color w:val="auto"/>
        </w:rPr>
        <w:t xml:space="preserve"> Galveston Division seeking limitation of liability and asserting that the Genesis River and her owner/manager are at fault for damages including removal costs and claims under the Oil Pollution Act of 1990 and maritime law. Multiple claimants have filed claims in the limitation seeking damages under the Oil Pollution Act of 1990. The court bifurcated the matter into two trials, the first to determine liability amongst the parties and the second to assess damages. The Company entered into a settlement agreement resolving claims of natural resource damage arising out of the spill. Under the agreement, the Company agreed to pay state and federal natural resource trustees $2,102,000. The agreement will be final following Court approval. The liability trial was conducted during the week of February 2, 2021. The Court issued its decision on July 8, 2021, finding that the Genesis River was solely at fault and no liability on the part of Kirby Inland Marine. No appeal has been filed. The NTSB issued a report dated March 10, 2021 of its investigation of the incident. The NTSB determined that the probable cause of the collision was the Genesis River pilot’s decision to transit at sea speed, out of maneuvering mode, which increased the hydrodynamic effects of the channel banks, reduced his ability to maintain control of the vessel after meeting another deep-draft vessel, and resulted in the Genesis River’s sheering across the channel toward the tow. Among the NTSB’s conclusions, it found that the actions of the M/V Voyager relief captain to attempt to avoid the collision by crossing the channel were reasonable, given the information available to him at the time he had to make the decision to maneuver. The Company has various insurance policies covering liabilities including pollution, marine and general liability and believes that it has satisfactory insurance coverage for the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both"/>
        <w:ind w:firstLine="492"/>
        <w:spacing w:after="0" w:line="285" w:lineRule="auto"/>
        <w:rPr>
          <w:sz w:val="20"/>
          <w:szCs w:val="20"/>
          <w:color w:val="auto"/>
        </w:rPr>
      </w:pPr>
      <w:r>
        <w:rPr>
          <w:rFonts w:ascii="Arial" w:cs="Arial" w:eastAsia="Arial" w:hAnsi="Arial"/>
          <w:sz w:val="17"/>
          <w:szCs w:val="17"/>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USCG and the NTSB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9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7"/>
          <w:szCs w:val="17"/>
          <w:color w:val="auto"/>
        </w:rPr>
        <w:t>On March 22, 2014, two tank barges and a towboat, the M/V Miss Susan, owned by Kirby Inland Marine, were involved in a collision with the M/S Summer Wind on the Houston Ship Channel near Texas City, Texas. The lead tank barge was damaged in the collision resulting in a discharge of intermediate fuel oil from one of its cargo tanks.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8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9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$23,396,000 at June 30, 2021, including $13,878,000 in letters of credit and $9,518,000 in performance bonds. All of these instruments have an expiration date within three years. The Company does not believe demand for payment under these instruments is likely and expects no material cash outlays to occur regarding these instruments.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562"/>
        <w:spacing w:after="0" w:line="229" w:lineRule="exact"/>
        <w:rPr>
          <w:sz w:val="20"/>
          <w:szCs w:val="20"/>
          <w:color w:val="auto"/>
        </w:rPr>
      </w:pPr>
      <w:r>
        <w:rPr>
          <w:rFonts w:ascii="Arial" w:cs="Arial" w:eastAsia="Arial" w:hAnsi="Arial"/>
          <w:sz w:val="17"/>
          <w:szCs w:val="17"/>
          <w:color w:val="auto"/>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2020. Forward-looking statements are based on currently available information and the Company assumes no obligation to update any such statements.</w:t>
      </w:r>
    </w:p>
    <w:p>
      <w:pPr>
        <w:spacing w:after="0" w:line="23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purposes of Management’s Discussion, all net earnings (loss) per share attributable to Kirby common stockholders are “diluted earnings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share.” The weighted average number of common shares applicable to diluted earnings (loss) per share were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5740" w:type="dxa"/>
            <w:vAlign w:val="bottom"/>
            <w:gridSpan w:val="2"/>
            <w:shd w:val="clear" w:color="auto" w:fill="CFF0FC"/>
          </w:tcPr>
          <w:p>
            <w:pPr>
              <w:jc w:val="right"/>
              <w:ind w:right="1828"/>
              <w:spacing w:after="0"/>
              <w:rPr>
                <w:sz w:val="20"/>
                <w:szCs w:val="20"/>
                <w:color w:val="auto"/>
              </w:rPr>
            </w:pPr>
            <w:r>
              <w:rPr>
                <w:rFonts w:ascii="Arial" w:cs="Arial" w:eastAsia="Arial" w:hAnsi="Arial"/>
                <w:sz w:val="18"/>
                <w:szCs w:val="18"/>
                <w:color w:val="auto"/>
                <w:w w:val="90"/>
              </w:rPr>
              <w:t>Weighted average number of common stock - diluted</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60,274</w:t>
            </w: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59,937</w:t>
            </w:r>
          </w:p>
        </w:tc>
        <w:tc>
          <w:tcPr>
            <w:tcW w:w="2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60,220</w:t>
            </w: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59,898</w:t>
            </w:r>
          </w:p>
        </w:tc>
        <w:tc>
          <w:tcPr>
            <w:tcW w:w="100" w:type="dxa"/>
            <w:vAlign w:val="bottom"/>
            <w:shd w:val="clear" w:color="auto" w:fill="CFF0FC"/>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8"/>
          <w:szCs w:val="18"/>
          <w:color w:val="auto"/>
        </w:rPr>
        <w:t>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Through its distribution and services segment,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key operating results of the Company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9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559,624</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541,159</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1,056,474</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1,185,085</w:t>
            </w:r>
          </w:p>
        </w:tc>
        <w:tc>
          <w:tcPr>
            <w:tcW w:w="100" w:type="dxa"/>
            <w:vAlign w:val="bottom"/>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Net earnings (loss) attributable to Kirby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10,190</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25,002</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6,815</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(322,239 )</w:t>
            </w:r>
          </w:p>
        </w:tc>
      </w:tr>
      <w:tr>
        <w:trPr>
          <w:trHeight w:val="24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per share attributable to Kirby common</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 diluted</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(5.38 )</w:t>
            </w: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197,818</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242,144</w:t>
            </w:r>
          </w:p>
        </w:tc>
        <w:tc>
          <w:tcPr>
            <w:tcW w:w="100" w:type="dxa"/>
            <w:vAlign w:val="bottom"/>
          </w:tcPr>
          <w:p>
            <w:pPr>
              <w:spacing w:after="0"/>
              <w:rPr>
                <w:sz w:val="21"/>
                <w:szCs w:val="21"/>
                <w:color w:val="auto"/>
              </w:rPr>
            </w:pP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38,369</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92,830</w:t>
            </w:r>
          </w:p>
        </w:tc>
        <w:tc>
          <w:tcPr>
            <w:tcW w:w="10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jc w:val="both"/>
        <w:ind w:firstLine="562"/>
        <w:spacing w:after="0" w:line="314" w:lineRule="auto"/>
        <w:rPr>
          <w:sz w:val="20"/>
          <w:szCs w:val="20"/>
          <w:color w:val="auto"/>
        </w:rPr>
      </w:pPr>
      <w:r>
        <w:rPr>
          <w:rFonts w:ascii="Arial" w:cs="Arial" w:eastAsia="Arial" w:hAnsi="Arial"/>
          <w:sz w:val="16"/>
          <w:szCs w:val="16"/>
          <w:color w:val="auto"/>
        </w:rPr>
        <w:t>The 2020 first quarter included $561,274,000 before taxes, $433,341,000 after taxes, or $7.24 per share, non-cash charges related to inventory write-downs, impairment of long-lived assets, including intangible assets and property and equipment, and impairment of goodwill in the distribution and services segment. See Note 7, Impairments and Other Charges in the financial statements for additional information. In addition, the 2020 first quarter was favorably impacted by an income tax benefit of $50,824,000, or $0.85 per share related to net operating losses generated in 2018 and 2019 used to offset taxable income generated between 2013 and 2017. See Note 9, Taxes on Income in the financial statements for additional information.</w:t>
      </w:r>
    </w:p>
    <w:p>
      <w:pPr>
        <w:spacing w:after="0" w:line="173"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7"/>
          <w:szCs w:val="17"/>
          <w:color w:val="auto"/>
        </w:rPr>
        <w:t>Cash provided by operating activities for the 2021 first six months decreased primarily due to lower revenues and operating income in the marine transportation segment, partially offset by the receipt of a tax refund of $119,493,000, including accrued interest, for the Company’s 2019 federal tax return. For the 2021 first six months, capital expenditures of $38,369,000 included $31,118,000 in the marine transportation segment and $7,251,000 in the distribution and services segment and corporate, more fully described under cash flow and capital expenditures below.</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both"/>
        <w:ind w:firstLine="562"/>
        <w:spacing w:after="0" w:line="275" w:lineRule="auto"/>
        <w:rPr>
          <w:sz w:val="20"/>
          <w:szCs w:val="20"/>
          <w:color w:val="auto"/>
        </w:rPr>
      </w:pPr>
      <w:r>
        <w:rPr>
          <w:rFonts w:ascii="Arial" w:cs="Arial" w:eastAsia="Arial" w:hAnsi="Arial"/>
          <w:sz w:val="18"/>
          <w:szCs w:val="18"/>
          <w:color w:val="auto"/>
        </w:rPr>
        <w:t>The Company projects that capital expenditures for 2021 will be in the $125,000,000 to $145,000,000 range. The 2021 construction program will consist of approximately $15,000,000 for the construction of new inland towboats, $95,000,000 to $110,000,000 primarily for capital upgrades and improvements to existing marine equipment and facilities, and $15,000,000 to $20,000,000 for new machinery and equipment, facilities improvements, and information technology projects in the distribution and services segment and corporate.</w:t>
      </w:r>
    </w:p>
    <w:p>
      <w:pPr>
        <w:spacing w:after="0" w:line="199"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8"/>
          <w:szCs w:val="18"/>
          <w:color w:val="auto"/>
        </w:rPr>
        <w:t>The Company’s debt-to-capitalization ratio decreased to 29.1% at June 30, 2021 from 32.2% at December 31, 2020, primarily due to repayments under the Revolving Credit Facility in the 2021 first six months and an increase in total equity, primarily due to the amortization of unearned share-based compensation for the 2021 first six months of $9,148,000 and net earnings attributable to Kirby of $6,815,000, partially offset by tax withholdings of $2,853,000 on restricted stock and RSU vestings. The Company’s debt outstanding as of June 30, 2021 and December 31, 2020 is detailed in Long-Term Financing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7"/>
          <w:szCs w:val="17"/>
          <w:color w:val="auto"/>
        </w:rPr>
        <w:t>For the 2021 second quarter and first six months, the Company’s marine transportation segment generated 59% and 60%, respectively, of the Company’s revenues.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marine transportation fleet:</w:t>
      </w:r>
    </w:p>
    <w:p>
      <w:pPr>
        <w:spacing w:after="0" w:line="257"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23495</wp:posOffset>
            </wp:positionV>
            <wp:extent cx="188595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9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Inland tank barges:</w:t>
            </w:r>
          </w:p>
        </w:tc>
        <w:tc>
          <w:tcPr>
            <w:tcW w:w="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9040" w:type="dxa"/>
            <w:vAlign w:val="bottom"/>
            <w:gridSpan w:val="2"/>
          </w:tcPr>
          <w:p>
            <w:pPr>
              <w:ind w:left="280"/>
              <w:spacing w:after="0"/>
              <w:rPr>
                <w:sz w:val="20"/>
                <w:szCs w:val="20"/>
                <w:color w:val="auto"/>
              </w:rPr>
            </w:pPr>
            <w:r>
              <w:rPr>
                <w:rFonts w:ascii="Arial" w:cs="Arial" w:eastAsia="Arial" w:hAnsi="Arial"/>
                <w:sz w:val="18"/>
                <w:szCs w:val="18"/>
                <w:color w:val="auto"/>
              </w:rPr>
              <w:t>Owned</w:t>
            </w:r>
          </w:p>
        </w:tc>
        <w:tc>
          <w:tcPr>
            <w:tcW w:w="480" w:type="dxa"/>
            <w:vAlign w:val="bottom"/>
          </w:tcPr>
          <w:p>
            <w:pPr>
              <w:jc w:val="right"/>
              <w:spacing w:after="0"/>
              <w:rPr>
                <w:sz w:val="20"/>
                <w:szCs w:val="20"/>
                <w:color w:val="auto"/>
              </w:rPr>
            </w:pPr>
            <w:r>
              <w:rPr>
                <w:rFonts w:ascii="Arial" w:cs="Arial" w:eastAsia="Arial" w:hAnsi="Arial"/>
                <w:sz w:val="18"/>
                <w:szCs w:val="18"/>
                <w:color w:val="auto"/>
              </w:rPr>
              <w:t>1,002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1"/>
                <w:szCs w:val="21"/>
                <w:color w:val="auto"/>
              </w:rPr>
            </w:pPr>
          </w:p>
        </w:tc>
      </w:tr>
      <w:tr>
        <w:trPr>
          <w:trHeight w:val="257"/>
        </w:trPr>
        <w:tc>
          <w:tcPr>
            <w:tcW w:w="8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Leased</w:t>
            </w:r>
          </w:p>
        </w:tc>
        <w:tc>
          <w:tcPr>
            <w:tcW w:w="88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2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1"/>
                <w:szCs w:val="21"/>
                <w:color w:val="auto"/>
              </w:rPr>
            </w:pPr>
          </w:p>
        </w:tc>
      </w:tr>
      <w:tr>
        <w:trPr>
          <w:trHeight w:val="20"/>
        </w:trPr>
        <w:tc>
          <w:tcPr>
            <w:tcW w:w="8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90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Barrel capacity (in millions)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FF0FC"/>
          </w:tcPr>
          <w:p>
            <w:pPr>
              <w:spacing w:after="0"/>
              <w:rPr>
                <w:sz w:val="21"/>
                <w:szCs w:val="21"/>
                <w:color w:val="auto"/>
              </w:rPr>
            </w:pPr>
          </w:p>
        </w:tc>
      </w:tr>
      <w:tr>
        <w:trPr>
          <w:trHeight w:val="257"/>
        </w:trPr>
        <w:tc>
          <w:tcPr>
            <w:tcW w:w="9040" w:type="dxa"/>
            <w:vAlign w:val="bottom"/>
            <w:gridSpan w:val="2"/>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9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Active inland towboats (quarter average):</w:t>
            </w:r>
          </w:p>
        </w:tc>
        <w:tc>
          <w:tcPr>
            <w:tcW w:w="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9040" w:type="dxa"/>
            <w:vAlign w:val="bottom"/>
            <w:gridSpan w:val="2"/>
          </w:tcPr>
          <w:p>
            <w:pPr>
              <w:ind w:left="280"/>
              <w:spacing w:after="0"/>
              <w:rPr>
                <w:sz w:val="20"/>
                <w:szCs w:val="20"/>
                <w:color w:val="auto"/>
              </w:rPr>
            </w:pPr>
            <w:r>
              <w:rPr>
                <w:rFonts w:ascii="Arial" w:cs="Arial" w:eastAsia="Arial" w:hAnsi="Arial"/>
                <w:sz w:val="18"/>
                <w:szCs w:val="18"/>
                <w:color w:val="auto"/>
              </w:rPr>
              <w:t>Owned</w:t>
            </w:r>
          </w:p>
        </w:tc>
        <w:tc>
          <w:tcPr>
            <w:tcW w:w="480" w:type="dxa"/>
            <w:vAlign w:val="bottom"/>
          </w:tcPr>
          <w:p>
            <w:pPr>
              <w:jc w:val="right"/>
              <w:spacing w:after="0"/>
              <w:rPr>
                <w:sz w:val="20"/>
                <w:szCs w:val="20"/>
                <w:color w:val="auto"/>
              </w:rPr>
            </w:pPr>
            <w:r>
              <w:rPr>
                <w:rFonts w:ascii="Arial" w:cs="Arial" w:eastAsia="Arial" w:hAnsi="Arial"/>
                <w:sz w:val="18"/>
                <w:szCs w:val="18"/>
                <w:color w:val="auto"/>
              </w:rPr>
              <w:t>218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r>
      <w:tr>
        <w:trPr>
          <w:trHeight w:val="257"/>
        </w:trPr>
        <w:tc>
          <w:tcPr>
            <w:tcW w:w="8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Chartered</w:t>
            </w:r>
          </w:p>
        </w:tc>
        <w:tc>
          <w:tcPr>
            <w:tcW w:w="88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r>
      <w:tr>
        <w:trPr>
          <w:trHeight w:val="20"/>
        </w:trPr>
        <w:tc>
          <w:tcPr>
            <w:tcW w:w="8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9040" w:type="dxa"/>
            <w:vAlign w:val="bottom"/>
            <w:gridSpan w:val="2"/>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Coastal tank barges:</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90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Owned</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Leased</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r>
      <w:tr>
        <w:trPr>
          <w:trHeight w:val="290"/>
        </w:trPr>
        <w:tc>
          <w:tcPr>
            <w:tcW w:w="8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9040" w:type="dxa"/>
            <w:vAlign w:val="bottom"/>
            <w:gridSpan w:val="2"/>
          </w:tcPr>
          <w:p>
            <w:pPr>
              <w:ind w:left="280"/>
              <w:spacing w:after="0"/>
              <w:rPr>
                <w:sz w:val="20"/>
                <w:szCs w:val="20"/>
                <w:color w:val="auto"/>
              </w:rPr>
            </w:pPr>
            <w:r>
              <w:rPr>
                <w:rFonts w:ascii="Arial" w:cs="Arial" w:eastAsia="Arial" w:hAnsi="Arial"/>
                <w:sz w:val="18"/>
                <w:szCs w:val="18"/>
                <w:color w:val="auto"/>
              </w:rPr>
              <w:t>Barrel capacity (in millions)</w:t>
            </w: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r>
      <w:tr>
        <w:trPr>
          <w:trHeight w:val="263"/>
        </w:trPr>
        <w:tc>
          <w:tcPr>
            <w:tcW w:w="9040" w:type="dxa"/>
            <w:vAlign w:val="bottom"/>
            <w:gridSpan w:val="2"/>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Coastal tugboats:</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90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Owned</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Chartered</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r>
      <w:tr>
        <w:trPr>
          <w:trHeight w:val="290"/>
        </w:trPr>
        <w:tc>
          <w:tcPr>
            <w:tcW w:w="8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3"/>
        </w:trPr>
        <w:tc>
          <w:tcPr>
            <w:tcW w:w="904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9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Offshore dry-bulk cargo barges (owned)</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2"/>
                <w:szCs w:val="22"/>
                <w:color w:val="auto"/>
              </w:rPr>
            </w:pPr>
          </w:p>
        </w:tc>
      </w:tr>
      <w:tr>
        <w:trPr>
          <w:trHeight w:val="243"/>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Offshore tugboats and docking tugboat (owned and chartered)</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-3545205</wp:posOffset>
            </wp:positionV>
            <wp:extent cx="17145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-3545205</wp:posOffset>
            </wp:positionV>
            <wp:extent cx="6858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-2533650</wp:posOffset>
            </wp:positionV>
            <wp:extent cx="17145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-2533650</wp:posOffset>
            </wp:positionV>
            <wp:extent cx="6858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-1516380</wp:posOffset>
            </wp:positionV>
            <wp:extent cx="17145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-1499870</wp:posOffset>
            </wp:positionV>
            <wp:extent cx="17145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-504825</wp:posOffset>
            </wp:positionV>
            <wp:extent cx="17145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-488315</wp:posOffset>
            </wp:positionV>
            <wp:extent cx="17145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8"/>
          <w:szCs w:val="18"/>
          <w:color w:val="auto"/>
        </w:rPr>
        <w:t>The Company also owns shifting operations and fleeting facilities for dry cargo barges and tank barges on the Houston Ship Channel and in Freeport, Texas, a shipyard for building towboats and performing routine maintenance near the Houston Ship Channel, as well as a two-thirds interest in Osprey Line, L.L.C., which transports project cargoes and cargo containers by barge.</w:t>
      </w:r>
    </w:p>
    <w:p>
      <w:pPr>
        <w:spacing w:after="0" w:line="196" w:lineRule="exact"/>
        <w:rPr>
          <w:sz w:val="20"/>
          <w:szCs w:val="20"/>
          <w:color w:val="auto"/>
        </w:rPr>
      </w:pPr>
    </w:p>
    <w:p>
      <w:pPr>
        <w:jc w:val="both"/>
        <w:ind w:right="20" w:firstLine="562"/>
        <w:spacing w:after="0" w:line="293" w:lineRule="auto"/>
        <w:rPr>
          <w:sz w:val="20"/>
          <w:szCs w:val="20"/>
          <w:color w:val="auto"/>
        </w:rPr>
      </w:pPr>
      <w:r>
        <w:rPr>
          <w:rFonts w:ascii="Arial" w:cs="Arial" w:eastAsia="Arial" w:hAnsi="Arial"/>
          <w:sz w:val="18"/>
          <w:szCs w:val="18"/>
          <w:color w:val="auto"/>
        </w:rPr>
        <w:t>During the 2021 first six months, the Company retired 17 inland tank barges and returned three leased barges. The net result was a decrease of 20 inland tank barges and approximately 644,000 barrels of capacity.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jc w:val="both"/>
        <w:ind w:firstLine="569"/>
        <w:spacing w:after="0" w:line="304" w:lineRule="auto"/>
        <w:rPr>
          <w:sz w:val="20"/>
          <w:szCs w:val="20"/>
          <w:color w:val="auto"/>
        </w:rPr>
      </w:pPr>
      <w:r>
        <w:rPr>
          <w:rFonts w:ascii="Arial" w:cs="Arial" w:eastAsia="Arial" w:hAnsi="Arial"/>
          <w:sz w:val="16"/>
          <w:szCs w:val="16"/>
          <w:color w:val="auto"/>
        </w:rPr>
        <w:t>The Company’s marine transportation segment’s revenues for the 2021 second quarter and first six months decreased 13% and 19%, respectively, and operating income decreased 64% and 80%, respectively, compared with the 2020 second quarter and first six months revenues and operating income. The decreases were primarily due to reduced barge utilization in the inland and coastal markets as well as reduced term and spot pricing in the inland market when compared to 2020, however, the year over year spot contract price decrease for the 2021 second quarter was partially offset by spot contract prices improving approximately 10% from the 2021 first quarter to the 2021 second quarter. The decreases were partially offset by the addition of the Savage Inland Marine, LLC (“Savage”) fleet acquired on April 1, 2020. The 2021 first six months was also heavily impacted by Winter Storm Uri during the first quarter which shut down many Gulf Coast refineries and chemical plants for an extended period of time starting in mid-February. These emergency shutdowns resulted in significantly reduced liquids production and lower volumes for the Company’s inland marine transportation market during the 2021 first quarter. The 2021 and 2020 first quarters were also impacted by poor operating conditions including seasonal wind and fog along the Gulf Coast, flooding on the Mississippi River, and various lock closures along the Gulf Intracoastal Waterway, in addition to ice on the Illinois River during the 2021 first quarter and increased shipyard days on large capacity coastal vessels during the 2020 first quarter. For the 2021 second quarter and first six months, the inland tank barge fleet contributed 76% and 75%, respectively, and the coastal fleet contributed 24% and 25%, respectively, of marine transportation revenues. For the 2020 second quarter and first six months, the inland tank barge fleet contributed 80% and 79%, respectively, and the coastal fleet contributed 20% and 21%, respectively, of marine transportation revenues.</w:t>
      </w:r>
    </w:p>
    <w:p>
      <w:pPr>
        <w:spacing w:after="0" w:line="180" w:lineRule="exact"/>
        <w:rPr>
          <w:sz w:val="20"/>
          <w:szCs w:val="20"/>
          <w:color w:val="auto"/>
        </w:rPr>
      </w:pPr>
    </w:p>
    <w:p>
      <w:pPr>
        <w:jc w:val="both"/>
        <w:ind w:firstLine="569"/>
        <w:spacing w:after="0" w:line="309" w:lineRule="auto"/>
        <w:rPr>
          <w:sz w:val="20"/>
          <w:szCs w:val="20"/>
          <w:color w:val="auto"/>
        </w:rPr>
      </w:pPr>
      <w:r>
        <w:rPr>
          <w:rFonts w:ascii="Arial" w:cs="Arial" w:eastAsia="Arial" w:hAnsi="Arial"/>
          <w:sz w:val="16"/>
          <w:szCs w:val="16"/>
          <w:color w:val="auto"/>
        </w:rPr>
        <w:t>Inland tank barge utilization levels averaged in the mid-70% range during the 2021 first quarter and the low to mid-80% range during the 2021 second quarter. In 2020, inland tank barge utilization levels averaged in the low to mid-90% range during the 2020 first quarter and the mid-80% range during the 2020 second quarter. The 2021 first six months and the 2020 second quarter were impacted by reduced demand as a result of the COVID-19 pandemic and the resulting economic slowdown. The 2021 second quarter was favorably impacted by the Colonial Pipeline outage in May. The 2021 first six months was also impacted by reduced volumes as a result of Winter Storm Uri during the first quarter. The 2020 first quarter experienced strong demand from petrochemicals, black oil, and refined petroleum products customers. In addition, extensive delay days due to poor operating conditions and lock maintenance projects in the 2020 first quarter slowed the transport of customer cargoes and contributed to strong utilization.</w:t>
      </w:r>
    </w:p>
    <w:p>
      <w:pPr>
        <w:spacing w:after="0" w:line="178"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8"/>
          <w:szCs w:val="18"/>
          <w:color w:val="auto"/>
        </w:rPr>
        <w:t>Coastal tank barge utilization levels averaged in the mid-70% range during the 2021 first quarter and the low to mid-70% range during the 2021 second quarter. Coastal tank barge utilization levels averaged in the low to mid-80% range during the 2020 first quarter and the mid-70% range during the 2020 second quarter. The 2021 first six months and the 2020 second quarter were impacted by reduced demand as a result of the COVID-19 pandemic and the resulting economic slowdown. Barge utilization in the coastal marine fleet continued to be impacted by the oversupply of smaller tank barges in the coastal industry in 2021 and 2020.</w:t>
      </w:r>
    </w:p>
    <w:p>
      <w:pPr>
        <w:spacing w:after="0" w:line="204" w:lineRule="exact"/>
        <w:rPr>
          <w:sz w:val="20"/>
          <w:szCs w:val="20"/>
          <w:color w:val="auto"/>
        </w:rPr>
      </w:pPr>
    </w:p>
    <w:p>
      <w:pPr>
        <w:jc w:val="both"/>
        <w:ind w:firstLine="562"/>
        <w:spacing w:after="0" w:line="306" w:lineRule="auto"/>
        <w:rPr>
          <w:sz w:val="20"/>
          <w:szCs w:val="20"/>
          <w:color w:val="auto"/>
        </w:rPr>
      </w:pPr>
      <w:r>
        <w:rPr>
          <w:rFonts w:ascii="Arial" w:cs="Arial" w:eastAsia="Arial" w:hAnsi="Arial"/>
          <w:sz w:val="16"/>
          <w:szCs w:val="16"/>
          <w:color w:val="auto"/>
        </w:rPr>
        <w:t>During both the 2021 second quarter and first six months, approximately 65% of marine transportation’s inland revenues were under term contracts and 35% were spot contract revenues. During the 2020 second quarter and first six months, approximately 65% and 60%, respectively, of marine transportation’s inland revenues were under term contracts and 35% and 40%, respectively, were spot contract revenues. Inland time charters during the 2021 second quarter and first six months represented 57% and 59%, respectively, of the inland revenues under term contracts compared with 68% and 67% in the 2020 second quarter and first six months, respectively. During both the 2021 second quarter and first six months, approximately 80% of the coastal revenues were under term contracts and 20% were spot contract revenues. During both the 2020 second quarter and first six months, approximately 85% of coastal revenues were under term contracts, and 15% were under spot contract revenues. Coastal time charters represented approximately 85% of coastal revenues under term contracts during both the 2021 second quarter and first six months compared with approximately 90% during both the 2020 second quarter and first six months. Term contracts have contract terms of 12 months or longer, while spot contracts have contract terms of less than 12 months.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ind w:firstLine="562"/>
        <w:spacing w:after="0" w:line="293" w:lineRule="auto"/>
        <w:rPr>
          <w:sz w:val="20"/>
          <w:szCs w:val="20"/>
          <w:color w:val="auto"/>
        </w:rPr>
      </w:pPr>
      <w:r>
        <w:rPr>
          <w:rFonts w:ascii="Arial" w:cs="Arial" w:eastAsia="Arial" w:hAnsi="Arial"/>
          <w:sz w:val="18"/>
          <w:szCs w:val="18"/>
          <w:color w:val="auto"/>
        </w:rPr>
        <w:t>The following table summarizes the average range of pricing changes in term and spot contracts renewed during 2021 compared to contracts renewed during the corresponding quarter of 2020:</w:t>
      </w:r>
    </w:p>
    <w:p>
      <w:pPr>
        <w:spacing w:after="0" w:line="188"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23495</wp:posOffset>
            </wp:positionV>
            <wp:extent cx="195453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4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4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June 30, 2021</w:t>
            </w:r>
          </w:p>
        </w:tc>
      </w:tr>
      <w:tr>
        <w:trPr>
          <w:trHeight w:val="256"/>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Inland market:</w:t>
            </w:r>
          </w:p>
        </w:tc>
        <w:tc>
          <w:tcPr>
            <w:tcW w:w="14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Term decrease</w:t>
            </w:r>
          </w:p>
        </w:tc>
        <w:tc>
          <w:tcPr>
            <w:tcW w:w="1480" w:type="dxa"/>
            <w:vAlign w:val="bottom"/>
          </w:tcPr>
          <w:p>
            <w:pPr>
              <w:jc w:val="right"/>
              <w:spacing w:after="0"/>
              <w:rPr>
                <w:sz w:val="20"/>
                <w:szCs w:val="20"/>
                <w:color w:val="auto"/>
              </w:rPr>
            </w:pPr>
            <w:r>
              <w:rPr>
                <w:rFonts w:ascii="Arial" w:cs="Arial" w:eastAsia="Arial" w:hAnsi="Arial"/>
                <w:sz w:val="18"/>
                <w:szCs w:val="18"/>
                <w:color w:val="auto"/>
              </w:rPr>
              <w:t>(7)% – (9)%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 - (8)%</w:t>
            </w:r>
          </w:p>
        </w:tc>
      </w:tr>
      <w:tr>
        <w:trPr>
          <w:trHeight w:val="263"/>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Spot decrease</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 (30)%</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 (15)%</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Coastal market (a):</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Term increase (decrease)</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 change</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 change</w:t>
            </w: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Spot increase (decrease)</w:t>
            </w:r>
          </w:p>
        </w:tc>
        <w:tc>
          <w:tcPr>
            <w:tcW w:w="1480" w:type="dxa"/>
            <w:vAlign w:val="bottom"/>
          </w:tcPr>
          <w:p>
            <w:pPr>
              <w:jc w:val="right"/>
              <w:spacing w:after="0"/>
              <w:rPr>
                <w:sz w:val="20"/>
                <w:szCs w:val="20"/>
                <w:color w:val="auto"/>
              </w:rPr>
            </w:pPr>
            <w:r>
              <w:rPr>
                <w:rFonts w:ascii="Arial" w:cs="Arial" w:eastAsia="Arial" w:hAnsi="Arial"/>
                <w:sz w:val="18"/>
                <w:szCs w:val="18"/>
                <w:color w:val="auto"/>
              </w:rPr>
              <w:t>No change</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No change</w:t>
            </w:r>
          </w:p>
        </w:tc>
      </w:tr>
    </w:tbl>
    <w:p>
      <w:pPr>
        <w:spacing w:after="0" w:line="242" w:lineRule="exact"/>
        <w:rPr>
          <w:sz w:val="20"/>
          <w:szCs w:val="20"/>
          <w:color w:val="auto"/>
        </w:rPr>
      </w:pPr>
    </w:p>
    <w:p>
      <w:pPr>
        <w:ind w:left="900" w:right="340" w:hanging="330"/>
        <w:spacing w:after="0" w:line="293"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Spot and term contract pricing in the coastal market are contingent on various factors including geographic location, vessel capacity, vessel type, and product serviced.</w:t>
      </w:r>
    </w:p>
    <w:p>
      <w:pPr>
        <w:spacing w:after="0" w:line="183"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Effective January 1, 2021, annual escalators for labor and the producer price index on a number of inland multi-year contracts resulted in rate increases on those contracts of approximately 3%, excluding fuel.</w:t>
      </w:r>
    </w:p>
    <w:p>
      <w:pPr>
        <w:spacing w:after="0" w:line="183"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The marine transportation segment operating margin was 5.6% for the 2021 second quarter compared with 13.5% for the 2020 second quarter and 3.2% for the 2021 first six months compared to 13.0% for the 2020 first six months.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562"/>
        <w:spacing w:after="0" w:line="314" w:lineRule="auto"/>
        <w:rPr>
          <w:sz w:val="20"/>
          <w:szCs w:val="20"/>
          <w:color w:val="auto"/>
        </w:rPr>
      </w:pPr>
      <w:r>
        <w:rPr>
          <w:rFonts w:ascii="Arial" w:cs="Arial" w:eastAsia="Arial" w:hAnsi="Arial"/>
          <w:sz w:val="16"/>
          <w:szCs w:val="16"/>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173"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For the 2021 second quarter and first six months, the distribution and services segment generated 41% and 40%, respectively, of the Company’s revenues, of which 83% and 86%, respectively, was generated from service and parts and 17% and 14%, respectively, from manufacturing. The results of the distribution and services segment are largely influenced by the economic cycles of the oilfield service and oil and gas operator and producer markets, marine, power generation, on-highway, and other industrial markets.</w:t>
      </w:r>
    </w:p>
    <w:p>
      <w:pPr>
        <w:spacing w:after="0" w:line="199" w:lineRule="exact"/>
        <w:rPr>
          <w:sz w:val="20"/>
          <w:szCs w:val="20"/>
          <w:color w:val="auto"/>
        </w:rPr>
      </w:pPr>
    </w:p>
    <w:p>
      <w:pPr>
        <w:jc w:val="both"/>
        <w:ind w:firstLine="569"/>
        <w:spacing w:after="0" w:line="309" w:lineRule="auto"/>
        <w:rPr>
          <w:sz w:val="20"/>
          <w:szCs w:val="20"/>
          <w:color w:val="auto"/>
        </w:rPr>
      </w:pPr>
      <w:r>
        <w:rPr>
          <w:rFonts w:ascii="Arial" w:cs="Arial" w:eastAsia="Arial" w:hAnsi="Arial"/>
          <w:sz w:val="16"/>
          <w:szCs w:val="16"/>
          <w:color w:val="auto"/>
        </w:rPr>
        <w:t>Distribution and services revenues for the 2021 second quarter and first six months increased 42% and 5%, respectively, and operating income increased 144% and 187%, respectively, compared with the 2020 second quarter and first six months revenues and operating income. In the commercial and industrial market, the increases in the 2021 second quarter compared to the 2020 second quarter were primarily attributable to improved economic activity across the U.S. which resulted in higher business levels in the on-highway and power generation businesses. The marine repair business was down slightly compared to the 2020 second quarter and first six months due to reduced service activity. The commercial and industrial market 2021 first six months was impacted by Winter Storm Uri with reduced activity levels at many locations across the Southern U.S. during the first quarter. For the 2021 second quarter and first six months, the commercial and industrial market contributed 62% and 65%, respectively, of the distribution and services revenues.</w:t>
      </w:r>
    </w:p>
    <w:p>
      <w:pPr>
        <w:spacing w:after="0" w:line="178" w:lineRule="exact"/>
        <w:rPr>
          <w:sz w:val="20"/>
          <w:szCs w:val="20"/>
          <w:color w:val="auto"/>
        </w:rPr>
      </w:pPr>
    </w:p>
    <w:p>
      <w:pPr>
        <w:jc w:val="both"/>
        <w:ind w:right="20" w:firstLine="562"/>
        <w:spacing w:after="0" w:line="292" w:lineRule="auto"/>
        <w:rPr>
          <w:sz w:val="20"/>
          <w:szCs w:val="20"/>
          <w:color w:val="auto"/>
        </w:rPr>
      </w:pPr>
      <w:r>
        <w:rPr>
          <w:rFonts w:ascii="Arial" w:cs="Arial" w:eastAsia="Arial" w:hAnsi="Arial"/>
          <w:sz w:val="17"/>
          <w:szCs w:val="17"/>
          <w:color w:val="auto"/>
        </w:rPr>
        <w:t>In the oil and gas market, revenues increased compared to the 2020 second quarter and first six months due to higher oilfield activity which resulted in increased demand for new and overhauled engines, transmissions, parts, and service. The manufacturing business also experienced increases in orders and deliveries of new and remanufactured pressure pumping equipment. The oil and gas market 2021 first six months was impacted by Winter Storm Uri with reduced activity levels at many locations across Texas and Oklahoma during the first quarter. For the 2021 second quarter and first six months, the oil and gas market contributed 38% and 35%, respectively, of the distribution and services revenues.</w:t>
      </w:r>
    </w:p>
    <w:p>
      <w:pPr>
        <w:spacing w:after="0" w:line="188"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The distribution and services segment operating margin for the 2021 second quarter was 2.7% compared with (8.8)% for the 2020 second quarter and 2.1% for the 2021 first six months compared to (2.6)% for the 2020 first six months. The 2020 second quarter results were adversely impacted by the bankruptcy of a large oil and gas customer, resulting in a $3,339,000 bad debt expense charge and severance expenses of $1,354,000 as a result of workforce reductions.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7"/>
          <w:szCs w:val="17"/>
          <w:color w:val="auto"/>
        </w:rPr>
        <w:t>Although the recent spike in COVID-19 cases in pockets of the U.S. and around the world has created some uncertainty which could slow the pace of the economic recovery, the Company expects further growth in both marine transportation and distribution and services during the second half of 2021 as the U.S. and international economies reopen. Increasing supply chain and labor constraints and delays of key components, particularly in distribution and services, could defer some product sales and manufacturing deliveries in the second half of the year.</w:t>
      </w:r>
    </w:p>
    <w:p>
      <w:pPr>
        <w:spacing w:after="0" w:line="183"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8"/>
          <w:szCs w:val="18"/>
          <w:color w:val="auto"/>
        </w:rPr>
        <w:t>In the inland marine transportation market, barge utilization in July improved into the mid-80% range and is expected to gradually increase into the high 80% to 90% range during the second half of 2021. This increase in activity should yield further improvements in the spot market, which currently represents approximately 35% of inland revenue, and contribute favorably to revenues and operating margins. During the balance of 2021 and into 2022, term contracts that renewed lower during the last several quarters should gradually reset to reflect the improved market conditions. Overall, inland revenues are expected to increase in the second half of the year with inland operating margins in the low double digits for the third quarter and further operating margin improvement expected in the fourth quarter subject to seasonal weather disruptions and potential COVID-19 issues slowing the economic recovery.</w:t>
      </w:r>
    </w:p>
    <w:p>
      <w:pPr>
        <w:spacing w:after="0" w:line="206" w:lineRule="exact"/>
        <w:rPr>
          <w:sz w:val="20"/>
          <w:szCs w:val="20"/>
          <w:color w:val="auto"/>
        </w:rPr>
      </w:pPr>
    </w:p>
    <w:p>
      <w:pPr>
        <w:jc w:val="both"/>
        <w:ind w:firstLine="569"/>
        <w:spacing w:after="0" w:line="271" w:lineRule="auto"/>
        <w:rPr>
          <w:sz w:val="20"/>
          <w:szCs w:val="20"/>
          <w:color w:val="auto"/>
        </w:rPr>
      </w:pPr>
      <w:r>
        <w:rPr>
          <w:rFonts w:ascii="Arial" w:cs="Arial" w:eastAsia="Arial" w:hAnsi="Arial"/>
          <w:sz w:val="18"/>
          <w:szCs w:val="18"/>
          <w:color w:val="auto"/>
        </w:rPr>
        <w:t>As of June 30, 2021, the Company estimated there were approximately 4,000 inland tank barges in the industry fleet, of which approximately 350 were over 30 years old and approximately 260 of those over 40 years old. The Company estimates that approximately 60 to 75 new tank barges have been ordered for delivery in 2021 and many older tank barges, including an expected 26 by the Company, will be retired, dependent on 2021 market conditions. Historically, 75 to 150 older inland tank barges are retired from service each year industry-wide. The extent of the retirements is dependent on petrochemical and refinery production levels, and crude oil and natural gas condensate movements, both of which can have a direct effect on industry-wide tank barge utilization, as well as term and spot contract rates.</w:t>
      </w:r>
    </w:p>
    <w:p>
      <w:pPr>
        <w:spacing w:after="0" w:line="204"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In the coastal marine transportation market, market conditions are expected to remain challenging for the remainder of the year, but increasing demand for refined products is expected to contribute to modest improvement in spot market activity levels. As a result, the Company expects coastal barge utilization to increase into the mid-70% range with the third and fourth quarter revenues and operating margins modestly improved compared to the 2021 second quarter.</w:t>
      </w:r>
    </w:p>
    <w:p>
      <w:pPr>
        <w:spacing w:after="0" w:line="199"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8"/>
          <w:szCs w:val="18"/>
          <w:color w:val="auto"/>
        </w:rPr>
        <w:t>As of June 30, 2021, the Company estimated there were approximately 275 tank barges operating in the 195,000 barrels or less coastal industry fleet, the sector of the market in which the Company operates, and approximately 20 of those were over 25 years old. The Company is aware of one announced small specialized coastal ATB in the 195,000 barrels or less category that was delivered in the 2021 first quarter with no further coastal barges currently under construction.</w:t>
      </w:r>
    </w:p>
    <w:p>
      <w:pPr>
        <w:spacing w:after="0" w:line="199" w:lineRule="exact"/>
        <w:rPr>
          <w:sz w:val="20"/>
          <w:szCs w:val="20"/>
          <w:color w:val="auto"/>
        </w:rPr>
      </w:pPr>
    </w:p>
    <w:p>
      <w:pPr>
        <w:jc w:val="both"/>
        <w:ind w:firstLine="562"/>
        <w:spacing w:after="0" w:line="292" w:lineRule="auto"/>
        <w:rPr>
          <w:sz w:val="20"/>
          <w:szCs w:val="20"/>
          <w:color w:val="auto"/>
        </w:rPr>
      </w:pPr>
      <w:r>
        <w:rPr>
          <w:rFonts w:ascii="Arial" w:cs="Arial" w:eastAsia="Arial" w:hAnsi="Arial"/>
          <w:sz w:val="17"/>
          <w:szCs w:val="17"/>
          <w:color w:val="auto"/>
        </w:rPr>
        <w:t>The results of the distribution and services segment are largely influenced by the cycles of the land-based oilfield service and oil and gas operator and producer markets, marine, power generation, on-highway and other industrial markets. In the commercial and industrial market, continued economic improvements are expected to contribute to enhanced activity levels in the on-highway and power generation markets. Third quarter results are also expected to benefit from seasonal summer increases in demand for back-up power generation rental equipment and Thermo King products and service. These gains are expected to be partially offset by modest seasonal reductions in marine repair activity.</w:t>
      </w:r>
    </w:p>
    <w:p>
      <w:pPr>
        <w:spacing w:after="0" w:line="188"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8"/>
          <w:szCs w:val="18"/>
          <w:color w:val="auto"/>
        </w:rPr>
        <w:t>In the distribution and services oil and gas market, favorable commodity prices and increasing well completions activity are expected to drive increased demand for new transmissions, service, and parts for the duration of the year. In manufacturing, new orders for environmentally friendly pressure pumping and frac related power generation equipment, as well as remanufacturing of existing conventional equipment, is expected to boost demand in the second half of the year. Overall, compared to 2020, full year distribution and services revenues are expected to increase by 15% to 25% with positive operating margins in the low to mid-single digits.</w:t>
      </w:r>
    </w:p>
    <w:p>
      <w:pPr>
        <w:spacing w:after="0" w:line="204" w:lineRule="exact"/>
        <w:rPr>
          <w:sz w:val="20"/>
          <w:szCs w:val="20"/>
          <w:color w:val="auto"/>
        </w:rPr>
      </w:pPr>
    </w:p>
    <w:p>
      <w:pPr>
        <w:jc w:val="both"/>
        <w:ind w:right="20" w:firstLine="562"/>
        <w:spacing w:after="0" w:line="324" w:lineRule="auto"/>
        <w:rPr>
          <w:sz w:val="20"/>
          <w:szCs w:val="20"/>
          <w:color w:val="auto"/>
        </w:rPr>
      </w:pPr>
      <w:r>
        <w:rPr>
          <w:rFonts w:ascii="Arial" w:cs="Arial" w:eastAsia="Arial" w:hAnsi="Arial"/>
          <w:sz w:val="17"/>
          <w:szCs w:val="17"/>
          <w:color w:val="auto"/>
        </w:rPr>
        <w:t>While the COVID-19 pandemic has adversely impacted the Company’s business, to date, it has not materially adversely impacted its ability to conduct its operations in either business segment. The Company has maintained business continuity and expects to continue to do so.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56" w:lineRule="exact"/>
        <w:rPr>
          <w:sz w:val="20"/>
          <w:szCs w:val="20"/>
          <w:color w:val="auto"/>
        </w:rPr>
      </w:pPr>
    </w:p>
    <w:p>
      <w:pPr>
        <w:jc w:val="both"/>
        <w:ind w:right="20" w:firstLine="562"/>
        <w:spacing w:after="0" w:line="324" w:lineRule="auto"/>
        <w:rPr>
          <w:sz w:val="20"/>
          <w:szCs w:val="20"/>
          <w:color w:val="auto"/>
        </w:rPr>
      </w:pPr>
      <w:r>
        <w:rPr>
          <w:rFonts w:ascii="Arial" w:cs="Arial" w:eastAsia="Arial" w:hAnsi="Arial"/>
          <w:sz w:val="17"/>
          <w:szCs w:val="17"/>
          <w:color w:val="auto"/>
        </w:rPr>
        <w:t>During the six months ended June 30, 2021, the Company purchased four inland tank barges from a leasing company for $7,470,000 in cash. The Company had been leasing the barges prior to the purchase. Financing of the purchase was through cash provided by operating activities.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firstLine="562"/>
        <w:spacing w:after="0" w:line="293" w:lineRule="auto"/>
        <w:rPr>
          <w:sz w:val="20"/>
          <w:szCs w:val="20"/>
          <w:color w:val="auto"/>
        </w:rPr>
      </w:pPr>
      <w:r>
        <w:rPr>
          <w:rFonts w:ascii="Arial" w:cs="Arial" w:eastAsia="Arial" w:hAnsi="Arial"/>
          <w:sz w:val="18"/>
          <w:szCs w:val="18"/>
          <w:color w:val="auto"/>
        </w:rPr>
        <w:t>The following table sets forth the Company’s marine transportation and distribution and services revenues and the percentage of each to total revenues for the comparable periods (dollars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275"/>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w w:val="91"/>
              </w:rPr>
              <w:t>Six months ended June 30,</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6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332,887</w:t>
            </w:r>
          </w:p>
        </w:tc>
        <w:tc>
          <w:tcPr>
            <w:tcW w:w="13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59 %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380,987</w:t>
            </w:r>
          </w:p>
        </w:tc>
        <w:tc>
          <w:tcPr>
            <w:tcW w:w="13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70 %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633,838</w:t>
            </w:r>
          </w:p>
        </w:tc>
        <w:tc>
          <w:tcPr>
            <w:tcW w:w="12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60 %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784,244</w:t>
            </w: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42"/>
        </w:trPr>
        <w:tc>
          <w:tcPr>
            <w:tcW w:w="1880" w:type="dxa"/>
            <w:vAlign w:val="bottom"/>
          </w:tcPr>
          <w:p>
            <w:pPr>
              <w:ind w:left="20"/>
              <w:spacing w:after="0"/>
              <w:rPr>
                <w:sz w:val="20"/>
                <w:szCs w:val="20"/>
                <w:color w:val="auto"/>
              </w:rPr>
            </w:pPr>
            <w:r>
              <w:rPr>
                <w:rFonts w:ascii="Arial" w:cs="Arial" w:eastAsia="Arial" w:hAnsi="Arial"/>
                <w:sz w:val="18"/>
                <w:szCs w:val="18"/>
                <w:color w:val="auto"/>
              </w:rPr>
              <w:t>Distribution and</w:t>
            </w:r>
          </w:p>
        </w:tc>
        <w:tc>
          <w:tcPr>
            <w:tcW w:w="24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226,737</w:t>
            </w:r>
          </w:p>
        </w:tc>
        <w:tc>
          <w:tcPr>
            <w:tcW w:w="280" w:type="dxa"/>
            <w:vAlign w:val="bottom"/>
            <w:vMerge w:val="restart"/>
          </w:tcPr>
          <w:p>
            <w:pPr>
              <w:spacing w:after="0"/>
              <w:rPr>
                <w:sz w:val="21"/>
                <w:szCs w:val="2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160,172</w:t>
            </w:r>
          </w:p>
        </w:tc>
        <w:tc>
          <w:tcPr>
            <w:tcW w:w="280" w:type="dxa"/>
            <w:vAlign w:val="bottom"/>
            <w:vMerge w:val="restart"/>
          </w:tcPr>
          <w:p>
            <w:pPr>
              <w:spacing w:after="0"/>
              <w:rPr>
                <w:sz w:val="21"/>
                <w:szCs w:val="2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422,636</w:t>
            </w:r>
          </w:p>
        </w:tc>
        <w:tc>
          <w:tcPr>
            <w:tcW w:w="240" w:type="dxa"/>
            <w:vAlign w:val="bottom"/>
            <w:vMerge w:val="restart"/>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400,841</w:t>
            </w:r>
          </w:p>
        </w:tc>
        <w:tc>
          <w:tcPr>
            <w:tcW w:w="240" w:type="dxa"/>
            <w:vAlign w:val="bottom"/>
            <w:vMerge w:val="restart"/>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8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559,624</w:t>
            </w:r>
          </w:p>
        </w:tc>
        <w:tc>
          <w:tcPr>
            <w:tcW w:w="28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541,159</w:t>
            </w:r>
          </w:p>
        </w:tc>
        <w:tc>
          <w:tcPr>
            <w:tcW w:w="13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100 %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1,056,474</w:t>
            </w:r>
          </w:p>
        </w:tc>
        <w:tc>
          <w:tcPr>
            <w:tcW w:w="12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100 %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1,185,085</w:t>
            </w: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1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-25400</wp:posOffset>
            </wp:positionV>
            <wp:extent cx="18034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-8255</wp:posOffset>
            </wp:positionV>
            <wp:extent cx="18034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-25400</wp:posOffset>
            </wp:positionV>
            <wp:extent cx="24828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-8255</wp:posOffset>
            </wp:positionV>
            <wp:extent cx="24828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-25400</wp:posOffset>
            </wp:positionV>
            <wp:extent cx="17970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17970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-25400</wp:posOffset>
            </wp:positionV>
            <wp:extent cx="24828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24828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1625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1625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23177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23177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1631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16319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137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1371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The following table sets forth the Company’s marine transportation segment’s revenues, costs and expenses, operating income, and operating margin (dollars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Three months ended June 30,</w:t>
            </w:r>
          </w:p>
        </w:tc>
        <w:tc>
          <w:tcPr>
            <w:tcW w:w="82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7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96"/>
        </w:trPr>
        <w:tc>
          <w:tcPr>
            <w:tcW w:w="3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7"/>
                <w:szCs w:val="17"/>
                <w:color w:val="auto"/>
              </w:rPr>
            </w:pPr>
          </w:p>
        </w:tc>
      </w:tr>
      <w:tr>
        <w:trPr>
          <w:trHeight w:val="256"/>
        </w:trPr>
        <w:tc>
          <w:tcPr>
            <w:tcW w:w="3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Marine transportation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332,887</w:t>
            </w:r>
          </w:p>
        </w:tc>
        <w:tc>
          <w:tcPr>
            <w:tcW w:w="3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380,987</w:t>
            </w:r>
          </w:p>
        </w:tc>
        <w:tc>
          <w:tcPr>
            <w:tcW w:w="38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(13 )%</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633,838</w:t>
            </w:r>
          </w:p>
        </w:tc>
        <w:tc>
          <w:tcPr>
            <w:tcW w:w="3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784,244</w:t>
            </w:r>
          </w:p>
        </w:tc>
        <w:tc>
          <w:tcPr>
            <w:tcW w:w="3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(19 )%</w:t>
            </w:r>
          </w:p>
        </w:tc>
      </w:tr>
      <w:tr>
        <w:trPr>
          <w:trHeight w:val="250"/>
        </w:trPr>
        <w:tc>
          <w:tcPr>
            <w:tcW w:w="3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57"/>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r>
      <w:tr>
        <w:trPr>
          <w:trHeight w:val="250"/>
        </w:trPr>
        <w:tc>
          <w:tcPr>
            <w:tcW w:w="3320" w:type="dxa"/>
            <w:vAlign w:val="bottom"/>
          </w:tcPr>
          <w:p>
            <w:pPr>
              <w:ind w:left="280"/>
              <w:spacing w:after="0"/>
              <w:rPr>
                <w:sz w:val="20"/>
                <w:szCs w:val="20"/>
                <w:color w:val="auto"/>
              </w:rPr>
            </w:pPr>
            <w:r>
              <w:rPr>
                <w:rFonts w:ascii="Arial" w:cs="Arial" w:eastAsia="Arial" w:hAnsi="Arial"/>
                <w:sz w:val="18"/>
                <w:szCs w:val="18"/>
                <w:color w:val="auto"/>
                <w:w w:val="97"/>
              </w:rPr>
              <w:t>Costs of sales and operating expenses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229,959</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244,990</w:t>
            </w:r>
          </w:p>
        </w:tc>
        <w:tc>
          <w:tcPr>
            <w:tcW w:w="380" w:type="dxa"/>
            <w:vAlign w:val="bottom"/>
          </w:tcPr>
          <w:p>
            <w:pPr>
              <w:spacing w:after="0"/>
              <w:rPr>
                <w:sz w:val="21"/>
                <w:szCs w:val="21"/>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(6 )</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444,084</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510,885</w:t>
            </w:r>
          </w:p>
        </w:tc>
        <w:tc>
          <w:tcPr>
            <w:tcW w:w="3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(13 )</w:t>
            </w:r>
          </w:p>
        </w:tc>
      </w:tr>
      <w:tr>
        <w:trPr>
          <w:trHeight w:val="263"/>
        </w:trPr>
        <w:tc>
          <w:tcPr>
            <w:tcW w:w="3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28,272</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26,816</w:t>
            </w:r>
          </w:p>
        </w:tc>
        <w:tc>
          <w:tcPr>
            <w:tcW w:w="3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58,850</w:t>
            </w:r>
          </w:p>
        </w:tc>
        <w:tc>
          <w:tcPr>
            <w:tcW w:w="3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58,740</w:t>
            </w:r>
          </w:p>
        </w:tc>
        <w:tc>
          <w:tcPr>
            <w:tcW w:w="36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r>
      <w:tr>
        <w:trPr>
          <w:trHeight w:val="250"/>
        </w:trPr>
        <w:tc>
          <w:tcPr>
            <w:tcW w:w="3320" w:type="dxa"/>
            <w:vAlign w:val="bottom"/>
          </w:tcPr>
          <w:p>
            <w:pPr>
              <w:ind w:left="28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8,677</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11,122</w:t>
            </w:r>
          </w:p>
        </w:tc>
        <w:tc>
          <w:tcPr>
            <w:tcW w:w="380" w:type="dxa"/>
            <w:vAlign w:val="bottom"/>
          </w:tcPr>
          <w:p>
            <w:pPr>
              <w:spacing w:after="0"/>
              <w:rPr>
                <w:sz w:val="21"/>
                <w:szCs w:val="21"/>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(22 )</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15,406</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20,545</w:t>
            </w:r>
          </w:p>
        </w:tc>
        <w:tc>
          <w:tcPr>
            <w:tcW w:w="3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(25 )</w:t>
            </w:r>
          </w:p>
        </w:tc>
      </w:tr>
      <w:tr>
        <w:trPr>
          <w:trHeight w:val="263"/>
        </w:trPr>
        <w:tc>
          <w:tcPr>
            <w:tcW w:w="33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47,501</w:t>
            </w:r>
          </w:p>
        </w:tc>
        <w:tc>
          <w:tcPr>
            <w:tcW w:w="3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46,684</w:t>
            </w:r>
          </w:p>
        </w:tc>
        <w:tc>
          <w:tcPr>
            <w:tcW w:w="38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95,080</w:t>
            </w:r>
          </w:p>
        </w:tc>
        <w:tc>
          <w:tcPr>
            <w:tcW w:w="3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91,983</w:t>
            </w:r>
          </w:p>
        </w:tc>
        <w:tc>
          <w:tcPr>
            <w:tcW w:w="36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FF0FC"/>
            </w:tcBorders>
            <w:shd w:val="clear" w:color="auto" w:fill="CFF0FC"/>
          </w:tcPr>
          <w:p>
            <w:pPr>
              <w:spacing w:after="0"/>
              <w:rPr>
                <w:sz w:val="22"/>
                <w:szCs w:val="22"/>
                <w:color w:val="auto"/>
              </w:rPr>
            </w:pPr>
          </w:p>
        </w:tc>
      </w:tr>
      <w:tr>
        <w:trPr>
          <w:trHeight w:val="250"/>
        </w:trPr>
        <w:tc>
          <w:tcPr>
            <w:tcW w:w="3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314,409</w:t>
            </w:r>
          </w:p>
        </w:tc>
        <w:tc>
          <w:tcPr>
            <w:tcW w:w="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329,612</w:t>
            </w:r>
          </w:p>
        </w:tc>
        <w:tc>
          <w:tcPr>
            <w:tcW w:w="380" w:type="dxa"/>
            <w:vAlign w:val="bottom"/>
          </w:tcPr>
          <w:p>
            <w:pPr>
              <w:spacing w:after="0"/>
              <w:rPr>
                <w:sz w:val="21"/>
                <w:szCs w:val="21"/>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(5 )</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613,420</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682,153</w:t>
            </w:r>
          </w:p>
        </w:tc>
        <w:tc>
          <w:tcPr>
            <w:tcW w:w="3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(10 )</w:t>
            </w:r>
          </w:p>
        </w:tc>
      </w:tr>
      <w:tr>
        <w:trPr>
          <w:trHeight w:val="290"/>
        </w:trPr>
        <w:tc>
          <w:tcPr>
            <w:tcW w:w="3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18,478</w:t>
            </w:r>
          </w:p>
        </w:tc>
        <w:tc>
          <w:tcPr>
            <w:tcW w:w="3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51,375</w:t>
            </w:r>
          </w:p>
        </w:tc>
        <w:tc>
          <w:tcPr>
            <w:tcW w:w="3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(64 )%</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20,418</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102,091</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(80 )%</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5.6 %</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13.5 %</w:t>
            </w: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3.2 %</w:t>
            </w:r>
          </w:p>
        </w:tc>
        <w:tc>
          <w:tcPr>
            <w:tcW w:w="2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13.0 %</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-1539240</wp:posOffset>
            </wp:positionV>
            <wp:extent cx="24003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-1539240</wp:posOffset>
            </wp:positionV>
            <wp:extent cx="24003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-1539240</wp:posOffset>
            </wp:positionV>
            <wp:extent cx="22288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-1539240</wp:posOffset>
            </wp:positionV>
            <wp:extent cx="222885"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-553720</wp:posOffset>
            </wp:positionV>
            <wp:extent cx="24003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-553720</wp:posOffset>
            </wp:positionV>
            <wp:extent cx="24003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-553720</wp:posOffset>
            </wp:positionV>
            <wp:extent cx="22288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-553720</wp:posOffset>
            </wp:positionV>
            <wp:extent cx="22288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-213995</wp:posOffset>
            </wp:positionV>
            <wp:extent cx="24003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-196215</wp:posOffset>
            </wp:positionV>
            <wp:extent cx="24003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-213995</wp:posOffset>
            </wp:positionV>
            <wp:extent cx="24003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-196215</wp:posOffset>
            </wp:positionV>
            <wp:extent cx="24003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-213995</wp:posOffset>
            </wp:positionV>
            <wp:extent cx="22288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-196215</wp:posOffset>
            </wp:positionV>
            <wp:extent cx="22288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-213995</wp:posOffset>
            </wp:positionV>
            <wp:extent cx="22288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-196215</wp:posOffset>
            </wp:positionV>
            <wp:extent cx="22288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252"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The following table shows the marine transportation markets serviced by the Company, the marine transportation revenue distribution, products moved and the drivers of the demand for the products the Company transports: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2021 Second</w:t>
            </w:r>
          </w:p>
        </w:tc>
        <w:tc>
          <w:tcPr>
            <w:tcW w:w="1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2021 Six</w:t>
            </w:r>
          </w:p>
        </w:tc>
        <w:tc>
          <w:tcPr>
            <w:tcW w:w="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5"/>
        </w:trPr>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Months</w:t>
            </w:r>
          </w:p>
        </w:tc>
        <w:tc>
          <w:tcPr>
            <w:tcW w:w="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5"/>
        </w:trPr>
        <w:tc>
          <w:tcPr>
            <w:tcW w:w="1880" w:type="dxa"/>
            <w:vAlign w:val="bottom"/>
          </w:tcPr>
          <w:p>
            <w:pPr>
              <w:ind w:left="66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92"/>
        </w:trPr>
        <w:tc>
          <w:tcPr>
            <w:tcW w:w="18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Serviced</w:t>
            </w:r>
          </w:p>
        </w:tc>
        <w:tc>
          <w:tcPr>
            <w:tcW w:w="16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14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160" w:type="dxa"/>
            <w:vAlign w:val="bottom"/>
          </w:tcPr>
          <w:p>
            <w:pPr>
              <w:spacing w:after="0"/>
              <w:rPr>
                <w:sz w:val="16"/>
                <w:szCs w:val="16"/>
                <w:color w:val="auto"/>
              </w:rPr>
            </w:pPr>
          </w:p>
        </w:tc>
        <w:tc>
          <w:tcPr>
            <w:tcW w:w="364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Products Moved</w:t>
            </w:r>
          </w:p>
        </w:tc>
        <w:tc>
          <w:tcPr>
            <w:tcW w:w="140" w:type="dxa"/>
            <w:vAlign w:val="bottom"/>
          </w:tcPr>
          <w:p>
            <w:pPr>
              <w:spacing w:after="0"/>
              <w:rPr>
                <w:sz w:val="16"/>
                <w:szCs w:val="16"/>
                <w:color w:val="auto"/>
              </w:rPr>
            </w:pPr>
          </w:p>
        </w:tc>
        <w:tc>
          <w:tcPr>
            <w:tcW w:w="230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Drivers</w:t>
            </w:r>
          </w:p>
        </w:tc>
      </w:tr>
      <w:tr>
        <w:trPr>
          <w:trHeight w:val="242"/>
        </w:trPr>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Petrochemicals</w:t>
            </w:r>
          </w:p>
        </w:tc>
        <w:tc>
          <w:tcPr>
            <w:tcW w:w="15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50%</w:t>
            </w:r>
          </w:p>
        </w:tc>
        <w:tc>
          <w:tcPr>
            <w:tcW w:w="15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50%</w:t>
            </w:r>
          </w:p>
        </w:tc>
        <w:tc>
          <w:tcPr>
            <w:tcW w:w="160" w:type="dxa"/>
            <w:vAlign w:val="bottom"/>
            <w:shd w:val="clear" w:color="auto" w:fill="CFF0FC"/>
          </w:tcPr>
          <w:p>
            <w:pPr>
              <w:spacing w:after="0"/>
              <w:rPr>
                <w:sz w:val="21"/>
                <w:szCs w:val="21"/>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Benzene, Styrene, Methanol, Acrylonitrile,</w:t>
            </w:r>
          </w:p>
        </w:tc>
        <w:tc>
          <w:tcPr>
            <w:tcW w:w="140" w:type="dxa"/>
            <w:vAlign w:val="bottom"/>
            <w:shd w:val="clear" w:color="auto" w:fill="CFF0FC"/>
          </w:tcPr>
          <w:p>
            <w:pPr>
              <w:spacing w:after="0"/>
              <w:rPr>
                <w:sz w:val="21"/>
                <w:szCs w:val="21"/>
                <w:color w:val="auto"/>
              </w:rPr>
            </w:pPr>
          </w:p>
        </w:tc>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non-durables –</w:t>
            </w:r>
          </w:p>
        </w:tc>
      </w:tr>
      <w:tr>
        <w:trPr>
          <w:trHeight w:val="229"/>
        </w:trPr>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Xylene, Naphtha, Caustic Soda, Butadiene,</w:t>
            </w:r>
          </w:p>
        </w:tc>
        <w:tc>
          <w:tcPr>
            <w:tcW w:w="140" w:type="dxa"/>
            <w:vAlign w:val="bottom"/>
            <w:shd w:val="clear" w:color="auto" w:fill="CFF0FC"/>
          </w:tcPr>
          <w:p>
            <w:pPr>
              <w:spacing w:after="0"/>
              <w:rPr>
                <w:sz w:val="19"/>
                <w:szCs w:val="19"/>
                <w:color w:val="auto"/>
              </w:rPr>
            </w:pPr>
          </w:p>
        </w:tc>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70%, Consumer durables –</w:t>
            </w:r>
          </w:p>
        </w:tc>
      </w:tr>
      <w:tr>
        <w:trPr>
          <w:trHeight w:val="244"/>
        </w:trPr>
        <w:tc>
          <w:tcPr>
            <w:tcW w:w="1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Propylene</w:t>
            </w:r>
          </w:p>
        </w:tc>
        <w:tc>
          <w:tcPr>
            <w:tcW w:w="2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30%</w:t>
            </w:r>
          </w:p>
        </w:tc>
      </w:tr>
      <w:tr>
        <w:trPr>
          <w:trHeight w:val="242"/>
        </w:trPr>
        <w:tc>
          <w:tcPr>
            <w:tcW w:w="1880" w:type="dxa"/>
            <w:vAlign w:val="bottom"/>
          </w:tcPr>
          <w:p>
            <w:pPr>
              <w:ind w:left="20"/>
              <w:spacing w:after="0"/>
              <w:rPr>
                <w:sz w:val="20"/>
                <w:szCs w:val="20"/>
                <w:color w:val="auto"/>
              </w:rPr>
            </w:pPr>
            <w:r>
              <w:rPr>
                <w:rFonts w:ascii="Arial" w:cs="Arial" w:eastAsia="Arial" w:hAnsi="Arial"/>
                <w:sz w:val="18"/>
                <w:szCs w:val="18"/>
                <w:color w:val="auto"/>
              </w:rPr>
              <w:t>Black Oil</w:t>
            </w:r>
          </w:p>
        </w:tc>
        <w:tc>
          <w:tcPr>
            <w:tcW w:w="158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26%</w:t>
            </w:r>
          </w:p>
        </w:tc>
        <w:tc>
          <w:tcPr>
            <w:tcW w:w="154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26%</w:t>
            </w:r>
          </w:p>
        </w:tc>
        <w:tc>
          <w:tcPr>
            <w:tcW w:w="16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1"/>
              </w:rPr>
              <w:t>Residual Fuel Oil, Coker Feedstock, Vacuum Gas</w:t>
            </w:r>
          </w:p>
        </w:tc>
        <w:tc>
          <w:tcPr>
            <w:tcW w:w="14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Fuel for Power Plants and</w:t>
            </w:r>
          </w:p>
        </w:tc>
      </w:tr>
      <w:tr>
        <w:trPr>
          <w:trHeight w:val="229"/>
        </w:trPr>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3"/>
              </w:rPr>
              <w:t>Oil, Asphalt, Carbon Black Feedstock, Crude Oil,</w:t>
            </w:r>
          </w:p>
        </w:tc>
        <w:tc>
          <w:tcPr>
            <w:tcW w:w="14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Ships, Feedstock for</w:t>
            </w:r>
          </w:p>
        </w:tc>
      </w:tr>
      <w:tr>
        <w:trPr>
          <w:trHeight w:val="237"/>
        </w:trPr>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Natural Gas Condensate, Ship Bunkers</w:t>
            </w:r>
          </w:p>
        </w:tc>
        <w:tc>
          <w:tcPr>
            <w:tcW w:w="14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w w:val="94"/>
              </w:rPr>
              <w:t>Refineries, Road Construction</w:t>
            </w:r>
          </w:p>
        </w:tc>
      </w:tr>
      <w:tr>
        <w:trPr>
          <w:trHeight w:val="249"/>
        </w:trPr>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Refined Petroleum</w:t>
            </w:r>
          </w:p>
        </w:tc>
        <w:tc>
          <w:tcPr>
            <w:tcW w:w="15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20%</w:t>
            </w:r>
          </w:p>
        </w:tc>
        <w:tc>
          <w:tcPr>
            <w:tcW w:w="15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20%</w:t>
            </w:r>
          </w:p>
        </w:tc>
        <w:tc>
          <w:tcPr>
            <w:tcW w:w="160" w:type="dxa"/>
            <w:vAlign w:val="bottom"/>
            <w:shd w:val="clear" w:color="auto" w:fill="CFF0FC"/>
          </w:tcPr>
          <w:p>
            <w:pPr>
              <w:spacing w:after="0"/>
              <w:rPr>
                <w:sz w:val="21"/>
                <w:szCs w:val="21"/>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w w:val="94"/>
              </w:rPr>
              <w:t>Gasoline, No. 2 Oil, Jet Fuel, Heating Oil, Diesel</w:t>
            </w:r>
          </w:p>
        </w:tc>
        <w:tc>
          <w:tcPr>
            <w:tcW w:w="140" w:type="dxa"/>
            <w:vAlign w:val="bottom"/>
            <w:shd w:val="clear" w:color="auto" w:fill="CFF0FC"/>
          </w:tcPr>
          <w:p>
            <w:pPr>
              <w:spacing w:after="0"/>
              <w:rPr>
                <w:sz w:val="21"/>
                <w:szCs w:val="21"/>
                <w:color w:val="auto"/>
              </w:rPr>
            </w:pPr>
          </w:p>
        </w:tc>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Usage, Air Travel,</w:t>
            </w:r>
          </w:p>
        </w:tc>
      </w:tr>
      <w:tr>
        <w:trPr>
          <w:trHeight w:val="229"/>
        </w:trPr>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Products</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Fuel, Ethanol</w:t>
            </w:r>
          </w:p>
        </w:tc>
        <w:tc>
          <w:tcPr>
            <w:tcW w:w="140" w:type="dxa"/>
            <w:vAlign w:val="bottom"/>
            <w:shd w:val="clear" w:color="auto" w:fill="CFF0FC"/>
          </w:tcPr>
          <w:p>
            <w:pPr>
              <w:spacing w:after="0"/>
              <w:rPr>
                <w:sz w:val="19"/>
                <w:szCs w:val="19"/>
                <w:color w:val="auto"/>
              </w:rPr>
            </w:pPr>
          </w:p>
        </w:tc>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Weather Conditions, Refinery</w:t>
            </w:r>
          </w:p>
        </w:tc>
      </w:tr>
      <w:tr>
        <w:trPr>
          <w:trHeight w:val="244"/>
        </w:trPr>
        <w:tc>
          <w:tcPr>
            <w:tcW w:w="1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Utilization</w:t>
            </w:r>
          </w:p>
        </w:tc>
      </w:tr>
      <w:tr>
        <w:trPr>
          <w:trHeight w:val="242"/>
        </w:trPr>
        <w:tc>
          <w:tcPr>
            <w:tcW w:w="1880" w:type="dxa"/>
            <w:vAlign w:val="bottom"/>
          </w:tcPr>
          <w:p>
            <w:pPr>
              <w:ind w:left="20"/>
              <w:spacing w:after="0"/>
              <w:rPr>
                <w:sz w:val="20"/>
                <w:szCs w:val="20"/>
                <w:color w:val="auto"/>
              </w:rPr>
            </w:pPr>
            <w:r>
              <w:rPr>
                <w:rFonts w:ascii="Arial" w:cs="Arial" w:eastAsia="Arial" w:hAnsi="Arial"/>
                <w:sz w:val="18"/>
                <w:szCs w:val="18"/>
                <w:color w:val="auto"/>
              </w:rPr>
              <w:t>Agricultural Chemicals</w:t>
            </w:r>
          </w:p>
        </w:tc>
        <w:tc>
          <w:tcPr>
            <w:tcW w:w="15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4%</w:t>
            </w:r>
          </w:p>
        </w:tc>
        <w:tc>
          <w:tcPr>
            <w:tcW w:w="15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4%</w:t>
            </w:r>
          </w:p>
        </w:tc>
        <w:tc>
          <w:tcPr>
            <w:tcW w:w="16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8"/>
              </w:rPr>
              <w:t>Anhydrous Ammonia, Nitrogen – Based Liquid</w:t>
            </w:r>
          </w:p>
        </w:tc>
        <w:tc>
          <w:tcPr>
            <w:tcW w:w="14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Corn, Cotton and Wheat</w:t>
            </w:r>
          </w:p>
        </w:tc>
      </w:tr>
      <w:tr>
        <w:trPr>
          <w:trHeight w:val="229"/>
        </w:trPr>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Fertilizer, Industrial Ammonia</w:t>
            </w:r>
          </w:p>
        </w:tc>
        <w:tc>
          <w:tcPr>
            <w:tcW w:w="14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Production, Chemical</w:t>
            </w:r>
          </w:p>
        </w:tc>
      </w:tr>
      <w:tr>
        <w:trPr>
          <w:trHeight w:val="230"/>
        </w:trPr>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Feedstock Usage</w:t>
            </w:r>
          </w:p>
        </w:tc>
      </w:tr>
      <w:tr>
        <w:trPr>
          <w:trHeight w:val="621"/>
        </w:trPr>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0" w:type="dxa"/>
            <w:vAlign w:val="bottom"/>
            <w:gridSpan w:val="2"/>
          </w:tcPr>
          <w:p>
            <w:pPr>
              <w:jc w:val="right"/>
              <w:ind w:right="2992"/>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1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both"/>
        <w:ind w:firstLine="569"/>
        <w:spacing w:after="0" w:line="304" w:lineRule="auto"/>
        <w:rPr>
          <w:sz w:val="20"/>
          <w:szCs w:val="20"/>
          <w:color w:val="auto"/>
        </w:rPr>
      </w:pPr>
      <w:r>
        <w:rPr>
          <w:rFonts w:ascii="Arial" w:cs="Arial" w:eastAsia="Arial" w:hAnsi="Arial"/>
          <w:sz w:val="16"/>
          <w:szCs w:val="16"/>
          <w:color w:val="auto"/>
        </w:rPr>
        <w:t>The Company’s marine transportation segment’s revenues for the 2021 second quarter and first six months decreased 13% and 19%, respectively, compared with the 2020 second quarter and first six months revenues. The decrease was primarily due to reduced barge utilization in the inland and coastal markets as well as reduced term and spot pricing in the inland market when compared to 2020, however, the year over year spot contract price decrease for the 2021 second quarter was partially offset by spot contract prices improving approximately 10% from the 2021 first quarter to the 2021 second quarter. The decrease was partially offset by the addition of the Savage fleet acquired on April 1, 2020. The 2021 first six months was also heavily impacted by Winter Storm Uri during the first quarter which shut down many Gulf Coast refineries and chemical plants for an extended period of time starting in mid-February. These emergency shutdowns resulted in significantly reduced liquids production and lower volumes for the Company’s inland marine transportation market during the 2021 first quarter. The 2021 and 2020 first quarters were also impacted by poor operating conditions including seasonal wind and fog along the Gulf Coast, flooding on the Mississippi River, and various lock closures along the Gulf Intracoastal Waterway, in addition to ice on the Illinois River during the 2021 first quarter and increased shipyard days on large capacity coastal vessels during the 2020 first quarter. For the 2021 second quarter and first six months, the inland tank barge fleet contributed 76% and 75%, respectively, and the coastal fleet contributed 24% and 25%, respectively, of marine transportation revenues. For the 2020 second quarter and first six months, the inland tank barge fleet contributed 80% and 79%, respectively, and the coastal fleet contributed 20% and 21%, respectively, of marine transportation revenues.</w:t>
      </w:r>
    </w:p>
    <w:p>
      <w:pPr>
        <w:spacing w:after="0" w:line="183" w:lineRule="exact"/>
        <w:rPr>
          <w:sz w:val="20"/>
          <w:szCs w:val="20"/>
          <w:color w:val="auto"/>
        </w:rPr>
      </w:pPr>
    </w:p>
    <w:p>
      <w:pPr>
        <w:jc w:val="both"/>
        <w:ind w:firstLine="569"/>
        <w:spacing w:after="0" w:line="309" w:lineRule="auto"/>
        <w:rPr>
          <w:sz w:val="20"/>
          <w:szCs w:val="20"/>
          <w:color w:val="auto"/>
        </w:rPr>
      </w:pPr>
      <w:r>
        <w:rPr>
          <w:rFonts w:ascii="Arial" w:cs="Arial" w:eastAsia="Arial" w:hAnsi="Arial"/>
          <w:sz w:val="16"/>
          <w:szCs w:val="16"/>
          <w:color w:val="auto"/>
        </w:rPr>
        <w:t>Inland tank barge utilization levels averaged in the mid-70% range during the 2021 first quarter and the low to mid-80% range during the 2021 second quarter. In 2020, inland tank barge utilization levels averaged in the low to mid-90% range during the 2020 first quarter and the mid-80% range during the 2020 second quarter. The 2021 first six months and the 2020 second quarter were impacted by reduced demand as a result of the COVID-19 pandemic and the resulting economic slowdown. The 2021 second quarter was favorably impacted by the Colonial Pipeline outage in May. The 2021 first six months was also impacted by reduced volumes as a result of Winter Storm Uri during the first quarter. The 2020 first quarter experienced strong demand from petrochemicals, black oil, and refined petroleum products customers. In addition, extensive delay days due to poor operating conditions and lock maintenance projects in the 2020 first quarter slowed the transport of customer cargoes and contributed to strong utilization.</w:t>
      </w:r>
    </w:p>
    <w:p>
      <w:pPr>
        <w:spacing w:after="0" w:line="178"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8"/>
          <w:szCs w:val="18"/>
          <w:color w:val="auto"/>
        </w:rPr>
        <w:t>Coastal tank barge utilization levels averaged in the mid-70% range during the 2021 first quarter and the low to mid-70% range during the 2021 second quarter. Coastal tank barge utilization levels averaged in the low to mid-80% range during the 2020 first quarter and the mid-70% range during the 2020 second quarter. The 2021 first six months and the 2020 second quarter were impacted by reduced demand as a result of the COVID-19 pandemic and the resulting economic slowdown. Barge utilization in the coastal marine fleet continued to be impacted by the oversupply of smaller tank barges in the coastal industry in 2021 and 2020.</w:t>
      </w:r>
    </w:p>
    <w:p>
      <w:pPr>
        <w:spacing w:after="0" w:line="204"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8"/>
          <w:szCs w:val="18"/>
          <w:color w:val="auto"/>
        </w:rPr>
        <w:t>The petrochemical market, the Company’s largest market, contributed 50% of marine transportation revenues for both the 2021 second quarter and first six months reflecting reduced volumes from Gulf Coast petrochemical plants for both domestic consumption and to terminals for export destinations as a result of the COVID-19 pandemic. During the 2021 first quarter, as much as 80% of U.S. chemical plant capacity was offline at the peak of Winter Storm Uri, contributing to significantly reduced volumes and revenues; however, volumes and revenues sequentially improved in the 2021 second quarter as chemical plants resumed full operations by May.</w:t>
      </w:r>
    </w:p>
    <w:p>
      <w:pPr>
        <w:spacing w:after="0" w:line="204"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6"/>
          <w:szCs w:val="16"/>
          <w:color w:val="auto"/>
        </w:rPr>
        <w:t>The black oil market, which contributed 26% of marine transportation revenues for both the 2021 second quarter and first six months, reflected reduced demand as refinery production levels and the export of refined petroleum products and fuel oils declined as a result of the COVID-19 pandemic. During the 2021 first quarter, U.S. refinery utilization dropped to near 40% during the peak of Winter Storm Uri, contributing to significantly reduced volumes and revenues; however, refinery utilization increased back to near 90% in the 2021 second quarter contributing to sequentially increased volumes and revenues. During the 2021 second quarter and first six months, the Company continued to transport crude oil and natural gas condensate produced from the Permian Basin as well as reduced volumes from the Eagle Ford shale formation in Texas, both along the Gulf Intracoastal Waterway with inland vessels and in the Gulf of Mexico with coastal equipment. Additionally, the Company transported volumes of Utica natural gas condensate downriver from the Mid-Atlantic to the Gulf Coast and Canadian and Bakken crude downriver from the Midwest to the Gulf Coast.</w:t>
      </w:r>
    </w:p>
    <w:p>
      <w:pPr>
        <w:spacing w:after="0" w:line="177"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8"/>
          <w:szCs w:val="18"/>
          <w:color w:val="auto"/>
        </w:rPr>
        <w:t>The refined petroleum products market, which contributed 20% of marine transportation revenues for both the 2021 second quarter and first six months, reflected lower volumes in both the inland and coastal markets as a result of reduced demand related to the COVID-19 pandemic. In addition, during the 2021 first quarter, U.S. refinery utilization dropped to near 40% during the peak of Winter Storm Uri, contributing to significantly reduced volumes and revenues; however, refinery utilization increased back to near 90% in the 2021 second quarter contributing to sequentially increased volumes and revenues.</w:t>
      </w:r>
    </w:p>
    <w:p>
      <w:pPr>
        <w:spacing w:after="0" w:line="204"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8"/>
          <w:szCs w:val="18"/>
          <w:color w:val="auto"/>
        </w:rPr>
        <w:t>The agricultural chemical market, which contributed 4% of marine transportation revenues for both the 2021 second quarter and first six months, saw modest reductions in demand for transportation of both domestically produced and imported products, primarily due to reduced demand associated with the COVID-19 pandemic.</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jc w:val="both"/>
        <w:ind w:firstLine="569"/>
        <w:spacing w:after="0" w:line="287" w:lineRule="auto"/>
        <w:rPr>
          <w:sz w:val="20"/>
          <w:szCs w:val="20"/>
          <w:color w:val="auto"/>
        </w:rPr>
      </w:pPr>
      <w:r>
        <w:rPr>
          <w:rFonts w:ascii="Arial" w:cs="Arial" w:eastAsia="Arial" w:hAnsi="Arial"/>
          <w:sz w:val="17"/>
          <w:szCs w:val="17"/>
          <w:color w:val="auto"/>
        </w:rPr>
        <w:t>For the 2021 second quarter, the inland operations incurred 2,922 delay days, 4% more than the 2,815 delay days that occurred during the 2020 second quarter. For the first six months of 2021, the inland operations incurred 5,776 delay days, 21% fewer than the 7,305 delay days that occurred during the 2020 first six months. Delay days measure the lost time incurred by a tow (towboat and one or more tank barges) during transit when the tow is stopped due to weather, lock conditions, or other navigational factors. Delay days for the 2021 and 2020 first six months reflected poor operating conditions due to heavy wind and fog along the Gulf Coast, high water conditions on the Mississippi River System, and closures of key waterways as a result of lock maintenance projects during the 2021 and 2020 first quarters. The decrease in delay days in the 2021 first six months reflects reduced volumes and barge utilization compared to the 2020 first six months while the increase in delay days in the 2021 second quarter reflects significant lock closures along the Gulf Intracoastal Waterway compared to the 2020 second quarter.</w:t>
      </w:r>
    </w:p>
    <w:p>
      <w:pPr>
        <w:spacing w:after="0" w:line="195" w:lineRule="exact"/>
        <w:rPr>
          <w:sz w:val="20"/>
          <w:szCs w:val="20"/>
          <w:color w:val="auto"/>
        </w:rPr>
      </w:pPr>
    </w:p>
    <w:p>
      <w:pPr>
        <w:jc w:val="both"/>
        <w:ind w:firstLine="569"/>
        <w:spacing w:after="0" w:line="287" w:lineRule="auto"/>
        <w:rPr>
          <w:sz w:val="20"/>
          <w:szCs w:val="20"/>
          <w:color w:val="auto"/>
        </w:rPr>
      </w:pPr>
      <w:r>
        <w:rPr>
          <w:rFonts w:ascii="Arial" w:cs="Arial" w:eastAsia="Arial" w:hAnsi="Arial"/>
          <w:sz w:val="17"/>
          <w:szCs w:val="17"/>
          <w:color w:val="auto"/>
        </w:rPr>
        <w:t>During both the 2021 second quarter and first six months, approximately 65% of marine transportation’s inland revenues were under term contracts and 35% were spot contract revenues. During the 2020 second quarter and first six months, approximately 65% and 60%, respectively, of marine transportation’s inland revenues were under term contracts and 35% and 40%, respectively, were spot contract revenues. Inland time charters during the 2021 second quarter and first six months represented 57% and 59%, respectively, of the inland revenues under term contracts compared with 68% and 67% in the 2020 second quarter and first six months, respectively. During both the 2021 second quarter and first six months, approximately 80% of the coastal revenues were under term contracts and 20% were spot contract revenues. During both the 2020 second quarter and first six months, approximately 85% of coastal revenues were under term contracts, and 15% were under spot contract revenues. Coastal time charters represented approximately 85% of coastal revenues under term contracts during both the 2021 second quarter and first six months compared with approximately 90% during both the 2020 second quarter and first six months.</w:t>
      </w:r>
    </w:p>
    <w:p>
      <w:pPr>
        <w:spacing w:after="0" w:line="191"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The following table summarizes the average range of pricing changes in term and spot contracts renewed during 2021 compared to contracts renewed during the corresponding quarter of 2020:</w:t>
      </w:r>
    </w:p>
    <w:p>
      <w:pPr>
        <w:spacing w:after="0" w:line="188"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23495</wp:posOffset>
            </wp:positionV>
            <wp:extent cx="195453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4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4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June 30, 2021</w:t>
            </w:r>
          </w:p>
        </w:tc>
      </w:tr>
      <w:tr>
        <w:trPr>
          <w:trHeight w:val="256"/>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Inland market:</w:t>
            </w:r>
          </w:p>
        </w:tc>
        <w:tc>
          <w:tcPr>
            <w:tcW w:w="14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Term decrease</w:t>
            </w:r>
          </w:p>
        </w:tc>
        <w:tc>
          <w:tcPr>
            <w:tcW w:w="1480" w:type="dxa"/>
            <w:vAlign w:val="bottom"/>
          </w:tcPr>
          <w:p>
            <w:pPr>
              <w:jc w:val="right"/>
              <w:spacing w:after="0"/>
              <w:rPr>
                <w:sz w:val="20"/>
                <w:szCs w:val="20"/>
                <w:color w:val="auto"/>
              </w:rPr>
            </w:pPr>
            <w:r>
              <w:rPr>
                <w:rFonts w:ascii="Arial" w:cs="Arial" w:eastAsia="Arial" w:hAnsi="Arial"/>
                <w:sz w:val="18"/>
                <w:szCs w:val="18"/>
                <w:color w:val="auto"/>
              </w:rPr>
              <w:t>(7)% – (9)%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 - (8)%</w:t>
            </w:r>
          </w:p>
        </w:tc>
      </w:tr>
      <w:tr>
        <w:trPr>
          <w:trHeight w:val="263"/>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Spot decrease</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 (30)%</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 (15)%</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Coastal market (a):</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Term increase (decrease)</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 change</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 change</w:t>
            </w: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Spot increase (decrease)</w:t>
            </w:r>
          </w:p>
        </w:tc>
        <w:tc>
          <w:tcPr>
            <w:tcW w:w="1480" w:type="dxa"/>
            <w:vAlign w:val="bottom"/>
          </w:tcPr>
          <w:p>
            <w:pPr>
              <w:jc w:val="right"/>
              <w:spacing w:after="0"/>
              <w:rPr>
                <w:sz w:val="20"/>
                <w:szCs w:val="20"/>
                <w:color w:val="auto"/>
              </w:rPr>
            </w:pPr>
            <w:r>
              <w:rPr>
                <w:rFonts w:ascii="Arial" w:cs="Arial" w:eastAsia="Arial" w:hAnsi="Arial"/>
                <w:sz w:val="18"/>
                <w:szCs w:val="18"/>
                <w:color w:val="auto"/>
              </w:rPr>
              <w:t>No change</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No change</w:t>
            </w:r>
          </w:p>
        </w:tc>
      </w:tr>
    </w:tbl>
    <w:p>
      <w:pPr>
        <w:spacing w:after="0" w:line="242" w:lineRule="exact"/>
        <w:rPr>
          <w:sz w:val="20"/>
          <w:szCs w:val="20"/>
          <w:color w:val="auto"/>
        </w:rPr>
      </w:pPr>
    </w:p>
    <w:p>
      <w:pPr>
        <w:ind w:left="900" w:right="340" w:hanging="330"/>
        <w:spacing w:after="0" w:line="293"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Spot and term contract pricing in the coastal market are contingent on various factors including geographic location, vessel capacity, vessel type, and product serviced.</w:t>
      </w:r>
    </w:p>
    <w:p>
      <w:pPr>
        <w:spacing w:after="0" w:line="183"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Effective January 1, 2021, annual escalators for labor and the producer price index on a number of inland multi-year contracts resulted in rate increases on those contracts of approximately 3%, excluding fuel.</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252" w:lineRule="exact"/>
        <w:rPr>
          <w:sz w:val="20"/>
          <w:szCs w:val="20"/>
          <w:color w:val="auto"/>
        </w:rPr>
      </w:pPr>
    </w:p>
    <w:p>
      <w:pPr>
        <w:jc w:val="both"/>
        <w:ind w:firstLine="569"/>
        <w:spacing w:after="0" w:line="272" w:lineRule="auto"/>
        <w:rPr>
          <w:sz w:val="20"/>
          <w:szCs w:val="20"/>
          <w:color w:val="auto"/>
        </w:rPr>
      </w:pPr>
      <w:r>
        <w:rPr>
          <w:rFonts w:ascii="Arial" w:cs="Arial" w:eastAsia="Arial" w:hAnsi="Arial"/>
          <w:sz w:val="18"/>
          <w:szCs w:val="18"/>
          <w:color w:val="auto"/>
        </w:rPr>
        <w:t>Costs and expenses for the 2021 second quarter and first six months decreased 5% and 10%, respectively, compared with the 2020 second quarter and first six months. Costs of sales and operating expenses for the 2021 second quarter and first six months decreased 6% and 13%, respectively, compared with the 2020 second quarter and first six months, respectively, primarily due to cost reductions across the segment, including a reduction in towboats during the 2020 last nine months and the 2021 first quarter and a reduction in maintenance expenses, partially offset by the addition of the Savage fleet in April 2020.</w:t>
      </w:r>
    </w:p>
    <w:p>
      <w:pPr>
        <w:spacing w:after="0" w:line="204"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8"/>
          <w:szCs w:val="18"/>
          <w:color w:val="auto"/>
        </w:rPr>
        <w:t>The inland marine transportation fleet operated an average of 260 towboats during the 2021 second quarter, of which an average of 42 were chartered, compared with 324 during the 2020 second quarter, of which an average of 59 were chartered. The decrease was primarily due to chartered towboats released during the 2020 last six months and the 2021 first quarter. Generally, as demand or anticipated demand increases or decreases, as new tank barges are added to or removed from the fleet, as chartered towboat availability changes, or as weather or water conditions dictate, the Company charters in or releases chartered towboats in an effort to balance horsepower needs with current requirements. The Company has historically used chartered towboats for approximately one-fourth of its horsepower requirements.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jc w:val="both"/>
        <w:ind w:firstLine="569"/>
        <w:spacing w:after="0" w:line="288" w:lineRule="auto"/>
        <w:rPr>
          <w:sz w:val="20"/>
          <w:szCs w:val="20"/>
          <w:color w:val="auto"/>
        </w:rPr>
      </w:pPr>
      <w:r>
        <w:rPr>
          <w:rFonts w:ascii="Arial" w:cs="Arial" w:eastAsia="Arial" w:hAnsi="Arial"/>
          <w:sz w:val="17"/>
          <w:szCs w:val="17"/>
          <w:color w:val="auto"/>
        </w:rPr>
        <w:t>During the 2021 second quarter, the inland operations consumed 11.8 million gallons of diesel fuel compared to 13.5 million gallons consumed during the 2020 second quarter. The average price per gallon of diesel fuel consumed during the 2021 second quarter was $2.06 per gallon compared with $1.12 per gallon for the 2020 second quarter. During the 2021 first six months, the inland operations consumed 22.6 million gallons of diesel fuel compared to 26.1 million gallons consumed during the 2020 first six months. The average price per gallon of diesel fuel consumed during the 2021 first six months was $1.86 per gallon compared with $1.55 per gallon for the 2020 first six months. Fuel escalation and de-escalation clauses on term contracts are designed to rebate fuel costs when prices decline and recover additional fuel costs when fuel prices rise; however, there is generally a 30 to 90 day delay before contracts are adjusted. Spot contracts do not have escalators for fuel.</w:t>
      </w:r>
    </w:p>
    <w:p>
      <w:pPr>
        <w:spacing w:after="0" w:line="194" w:lineRule="exact"/>
        <w:rPr>
          <w:sz w:val="20"/>
          <w:szCs w:val="20"/>
          <w:color w:val="auto"/>
        </w:rPr>
      </w:pPr>
    </w:p>
    <w:p>
      <w:pPr>
        <w:jc w:val="both"/>
        <w:ind w:firstLine="562"/>
        <w:spacing w:after="0" w:line="324" w:lineRule="auto"/>
        <w:rPr>
          <w:sz w:val="20"/>
          <w:szCs w:val="20"/>
          <w:color w:val="auto"/>
        </w:rPr>
      </w:pPr>
      <w:r>
        <w:rPr>
          <w:rFonts w:ascii="Arial" w:cs="Arial" w:eastAsia="Arial" w:hAnsi="Arial"/>
          <w:sz w:val="17"/>
          <w:szCs w:val="17"/>
          <w:color w:val="auto"/>
        </w:rPr>
        <w:t>Selling, general and administrative expenses for the 2021 second quarter increased 5% and was flat for the first six months compared with the 2020 second quarter and first six months. The increase in the 2021 second quarter was primarily due to higher incentive compensation accruals.</w:t>
      </w:r>
    </w:p>
    <w:p>
      <w:pPr>
        <w:spacing w:after="0" w:line="161" w:lineRule="exact"/>
        <w:rPr>
          <w:sz w:val="20"/>
          <w:szCs w:val="20"/>
          <w:color w:val="auto"/>
        </w:rPr>
      </w:pPr>
    </w:p>
    <w:p>
      <w:pPr>
        <w:jc w:val="both"/>
        <w:ind w:right="20" w:firstLine="562"/>
        <w:spacing w:after="0" w:line="324" w:lineRule="auto"/>
        <w:rPr>
          <w:sz w:val="20"/>
          <w:szCs w:val="20"/>
          <w:color w:val="auto"/>
        </w:rPr>
      </w:pPr>
      <w:r>
        <w:rPr>
          <w:rFonts w:ascii="Arial" w:cs="Arial" w:eastAsia="Arial" w:hAnsi="Arial"/>
          <w:sz w:val="17"/>
          <w:szCs w:val="17"/>
          <w:color w:val="auto"/>
        </w:rPr>
        <w:t>Taxes, other than on income, for the 2021 second quarter and first six months decreased 22% and 25%, respectively, compared with the 2020 second quarter and first six months, primarily due to lower property taxes on marine transportation equipment and lower waterway use taxes.</w:t>
      </w:r>
    </w:p>
    <w:p>
      <w:pPr>
        <w:spacing w:after="0" w:line="161"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Depreciation and amortization for the 2021 second quarter and first six months increased 2% and 3%, respectively, compared to the 2020 second quarter and first six months. The increase in the 2021 first six months reflects the acquisition of the Savage fleet in April 2020.</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w:t>
      </w:r>
    </w:p>
    <w:p>
      <w:pPr>
        <w:spacing w:after="0" w:line="252"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8"/>
          <w:szCs w:val="18"/>
          <w:color w:val="auto"/>
        </w:rPr>
        <w:t>Marine transportation operating income for the 2021 second quarter and first six months decreased 64% and 80%, respectively, compared with the 2020 second quarter and first six months. The 2021 second quarter operating margin was 5.6% compared with 13.5% for the 2020 second quarter. The 2021 first six months operating margin was 3.2% compared with 13.0% for the 2020 first six months. The decreases in operating income and operating margin were primarily due to reduced barge utilization in the inland and coastal markets as well as decreased term and spot contract pricing in the inland market, each as a result of a reduction in demand due to the COVID-19 pandemic as well as the impact of reduced volumes as a result of Winter Storm Uri, partially offset by cost reductions throughout the organization, including chartered towboats released during the 2020 last nine months and the 2021 first quarter.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The following table sets forth the Company’s distribution and services segment’s revenues, costs and expenses, operating income (loss), and operating margin (dollars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9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Six months ended June 30,</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3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7"/>
                <w:szCs w:val="17"/>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 Change</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7"/>
                <w:szCs w:val="17"/>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r>
      <w:tr>
        <w:trPr>
          <w:trHeight w:val="256"/>
        </w:trPr>
        <w:tc>
          <w:tcPr>
            <w:tcW w:w="3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Distribution and services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226,737</w:t>
            </w:r>
          </w:p>
        </w:tc>
        <w:tc>
          <w:tcPr>
            <w:tcW w:w="3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160,172</w:t>
            </w:r>
          </w:p>
        </w:tc>
        <w:tc>
          <w:tcPr>
            <w:tcW w:w="46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42 %</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422,636</w:t>
            </w:r>
          </w:p>
        </w:tc>
        <w:tc>
          <w:tcPr>
            <w:tcW w:w="3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400,841</w:t>
            </w:r>
          </w:p>
        </w:tc>
        <w:tc>
          <w:tcPr>
            <w:tcW w:w="4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5 %</w:t>
            </w:r>
          </w:p>
        </w:tc>
      </w:tr>
      <w:tr>
        <w:trPr>
          <w:trHeight w:val="250"/>
        </w:trPr>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6"/>
        </w:trPr>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r>
        <w:trPr>
          <w:trHeight w:val="250"/>
        </w:trPr>
        <w:tc>
          <w:tcPr>
            <w:tcW w:w="3300" w:type="dxa"/>
            <w:vAlign w:val="bottom"/>
          </w:tcPr>
          <w:p>
            <w:pPr>
              <w:ind w:left="280"/>
              <w:spacing w:after="0"/>
              <w:rPr>
                <w:sz w:val="20"/>
                <w:szCs w:val="20"/>
                <w:color w:val="auto"/>
              </w:rPr>
            </w:pPr>
            <w:r>
              <w:rPr>
                <w:rFonts w:ascii="Arial" w:cs="Arial" w:eastAsia="Arial" w:hAnsi="Arial"/>
                <w:sz w:val="18"/>
                <w:szCs w:val="18"/>
                <w:color w:val="auto"/>
                <w:w w:val="96"/>
              </w:rPr>
              <w:t>Costs of sales and operating expenses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180,096</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128,549</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329,223</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316,222</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r>
      <w:tr>
        <w:trPr>
          <w:trHeight w:val="263"/>
        </w:trPr>
        <w:tc>
          <w:tcPr>
            <w:tcW w:w="3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32,987</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37,225</w:t>
            </w:r>
          </w:p>
        </w:tc>
        <w:tc>
          <w:tcPr>
            <w:tcW w:w="4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(11 )</w:t>
            </w: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69,475</w:t>
            </w: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75,197</w:t>
            </w:r>
          </w:p>
        </w:tc>
        <w:tc>
          <w:tcPr>
            <w:tcW w:w="46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(8 )</w:t>
            </w:r>
          </w:p>
        </w:tc>
      </w:tr>
      <w:tr>
        <w:trPr>
          <w:trHeight w:val="250"/>
        </w:trPr>
        <w:tc>
          <w:tcPr>
            <w:tcW w:w="3300" w:type="dxa"/>
            <w:vAlign w:val="bottom"/>
          </w:tcPr>
          <w:p>
            <w:pPr>
              <w:ind w:left="28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1,658</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1,912</w:t>
            </w:r>
          </w:p>
        </w:tc>
        <w:tc>
          <w:tcPr>
            <w:tcW w:w="46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(13 )</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3,882</w:t>
            </w:r>
          </w:p>
        </w:tc>
        <w:tc>
          <w:tcPr>
            <w:tcW w:w="4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(19 )</w:t>
            </w:r>
          </w:p>
        </w:tc>
      </w:tr>
      <w:tr>
        <w:trPr>
          <w:trHeight w:val="263"/>
        </w:trPr>
        <w:tc>
          <w:tcPr>
            <w:tcW w:w="33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5,840</w:t>
            </w:r>
          </w:p>
        </w:tc>
        <w:tc>
          <w:tcPr>
            <w:tcW w:w="3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6,633</w:t>
            </w:r>
          </w:p>
        </w:tc>
        <w:tc>
          <w:tcPr>
            <w:tcW w:w="46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(12 )</w:t>
            </w:r>
          </w:p>
        </w:tc>
        <w:tc>
          <w:tcPr>
            <w:tcW w:w="2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11,721</w:t>
            </w:r>
          </w:p>
        </w:tc>
        <w:tc>
          <w:tcPr>
            <w:tcW w:w="3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15,969</w:t>
            </w:r>
          </w:p>
        </w:tc>
        <w:tc>
          <w:tcPr>
            <w:tcW w:w="4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(27 )</w:t>
            </w:r>
          </w:p>
        </w:tc>
      </w:tr>
      <w:tr>
        <w:trPr>
          <w:trHeight w:val="250"/>
        </w:trPr>
        <w:tc>
          <w:tcPr>
            <w:tcW w:w="3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220,581</w:t>
            </w:r>
          </w:p>
        </w:tc>
        <w:tc>
          <w:tcPr>
            <w:tcW w:w="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174,319</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413,569</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411,270</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r>
      <w:tr>
        <w:trPr>
          <w:trHeight w:val="270"/>
        </w:trPr>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6,156</w:t>
            </w:r>
          </w:p>
        </w:tc>
        <w:tc>
          <w:tcPr>
            <w:tcW w:w="38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(14,147 )</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144 %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9,067</w:t>
            </w:r>
          </w:p>
        </w:tc>
        <w:tc>
          <w:tcPr>
            <w:tcW w:w="34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(10,429 )</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187 %</w:t>
            </w:r>
          </w:p>
        </w:tc>
      </w:tr>
      <w:tr>
        <w:trPr>
          <w:trHeight w:val="20"/>
        </w:trPr>
        <w:tc>
          <w:tcPr>
            <w:tcW w:w="3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2.7 %</w:t>
            </w:r>
          </w:p>
        </w:tc>
        <w:tc>
          <w:tcPr>
            <w:tcW w:w="2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(8.8 )%</w:t>
            </w: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2.1 %</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(2.6 )%</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3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95"/>
        </w:trPr>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3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-2011045</wp:posOffset>
            </wp:positionV>
            <wp:extent cx="24003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-2011045</wp:posOffset>
            </wp:positionV>
            <wp:extent cx="30035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00355"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-2011045</wp:posOffset>
            </wp:positionV>
            <wp:extent cx="22288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-2011045</wp:posOffset>
            </wp:positionV>
            <wp:extent cx="28321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83210" cy="571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-1024890</wp:posOffset>
            </wp:positionV>
            <wp:extent cx="24003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-1024890</wp:posOffset>
            </wp:positionV>
            <wp:extent cx="300355"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00355"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-1024890</wp:posOffset>
            </wp:positionV>
            <wp:extent cx="22288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-1024890</wp:posOffset>
            </wp:positionV>
            <wp:extent cx="28321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83210" cy="571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-685165</wp:posOffset>
            </wp:positionV>
            <wp:extent cx="24003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-668020</wp:posOffset>
            </wp:positionV>
            <wp:extent cx="24003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-685165</wp:posOffset>
            </wp:positionV>
            <wp:extent cx="3003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-668020</wp:posOffset>
            </wp:positionV>
            <wp:extent cx="30035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-685165</wp:posOffset>
            </wp:positionV>
            <wp:extent cx="22288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-668020</wp:posOffset>
            </wp:positionV>
            <wp:extent cx="22288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-685165</wp:posOffset>
            </wp:positionV>
            <wp:extent cx="28321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-668020</wp:posOffset>
            </wp:positionV>
            <wp:extent cx="28321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ind w:left="560"/>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252" w:lineRule="exact"/>
        <w:rPr>
          <w:sz w:val="20"/>
          <w:szCs w:val="20"/>
          <w:color w:val="auto"/>
        </w:rPr>
      </w:pPr>
    </w:p>
    <w:p>
      <w:pPr>
        <w:jc w:val="both"/>
        <w:ind w:right="20" w:firstLine="562"/>
        <w:spacing w:after="0" w:line="293" w:lineRule="auto"/>
        <w:rPr>
          <w:sz w:val="20"/>
          <w:szCs w:val="20"/>
          <w:color w:val="auto"/>
        </w:rPr>
      </w:pPr>
      <w:r>
        <w:rPr>
          <w:rFonts w:ascii="Arial" w:cs="Arial" w:eastAsia="Arial" w:hAnsi="Arial"/>
          <w:sz w:val="18"/>
          <w:szCs w:val="18"/>
          <w:color w:val="auto"/>
        </w:rPr>
        <w:t>The following table shows the markets serviced by the Company’s distribution and services segment, the revenue distribution, and the customers for each market: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2021 Second</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2021 Six</w:t>
            </w:r>
          </w:p>
        </w:tc>
        <w:tc>
          <w:tcPr>
            <w:tcW w:w="160" w:type="dxa"/>
            <w:vAlign w:val="bottom"/>
          </w:tcPr>
          <w:p>
            <w:pPr>
              <w:spacing w:after="0"/>
              <w:rPr>
                <w:sz w:val="15"/>
                <w:szCs w:val="15"/>
                <w:color w:val="auto"/>
              </w:rPr>
            </w:pPr>
          </w:p>
        </w:tc>
        <w:tc>
          <w:tcPr>
            <w:tcW w:w="4540" w:type="dxa"/>
            <w:vAlign w:val="bottom"/>
          </w:tcPr>
          <w:p>
            <w:pPr>
              <w:spacing w:after="0"/>
              <w:rPr>
                <w:sz w:val="15"/>
                <w:szCs w:val="15"/>
                <w:color w:val="auto"/>
              </w:rPr>
            </w:pPr>
          </w:p>
        </w:tc>
      </w:tr>
      <w:tr>
        <w:trPr>
          <w:trHeight w:val="176"/>
        </w:trPr>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Months</w:t>
            </w:r>
          </w:p>
        </w:tc>
        <w:tc>
          <w:tcPr>
            <w:tcW w:w="160" w:type="dxa"/>
            <w:vAlign w:val="bottom"/>
          </w:tcPr>
          <w:p>
            <w:pPr>
              <w:spacing w:after="0"/>
              <w:rPr>
                <w:sz w:val="15"/>
                <w:szCs w:val="15"/>
                <w:color w:val="auto"/>
              </w:rPr>
            </w:pPr>
          </w:p>
        </w:tc>
        <w:tc>
          <w:tcPr>
            <w:tcW w:w="4540" w:type="dxa"/>
            <w:vAlign w:val="bottom"/>
          </w:tcPr>
          <w:p>
            <w:pPr>
              <w:spacing w:after="0"/>
              <w:rPr>
                <w:sz w:val="15"/>
                <w:szCs w:val="15"/>
                <w:color w:val="auto"/>
              </w:rPr>
            </w:pPr>
          </w:p>
        </w:tc>
      </w:tr>
      <w:tr>
        <w:trPr>
          <w:trHeight w:val="175"/>
        </w:trPr>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5"/>
                <w:szCs w:val="15"/>
                <w:color w:val="auto"/>
              </w:rPr>
            </w:pPr>
          </w:p>
        </w:tc>
        <w:tc>
          <w:tcPr>
            <w:tcW w:w="4540" w:type="dxa"/>
            <w:vAlign w:val="bottom"/>
          </w:tcPr>
          <w:p>
            <w:pPr>
              <w:spacing w:after="0"/>
              <w:rPr>
                <w:sz w:val="15"/>
                <w:szCs w:val="15"/>
                <w:color w:val="auto"/>
              </w:rPr>
            </w:pPr>
          </w:p>
        </w:tc>
      </w:tr>
      <w:tr>
        <w:trPr>
          <w:trHeight w:val="192"/>
        </w:trPr>
        <w:tc>
          <w:tcPr>
            <w:tcW w:w="30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Markets Serviced</w:t>
            </w:r>
          </w:p>
        </w:tc>
        <w:tc>
          <w:tcPr>
            <w:tcW w:w="16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16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160" w:type="dxa"/>
            <w:vAlign w:val="bottom"/>
          </w:tcPr>
          <w:p>
            <w:pPr>
              <w:spacing w:after="0"/>
              <w:rPr>
                <w:sz w:val="16"/>
                <w:szCs w:val="16"/>
                <w:color w:val="auto"/>
              </w:rPr>
            </w:pPr>
          </w:p>
        </w:tc>
        <w:tc>
          <w:tcPr>
            <w:tcW w:w="454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Customers</w:t>
            </w:r>
          </w:p>
        </w:tc>
      </w:tr>
      <w:tr>
        <w:trPr>
          <w:trHeight w:val="242"/>
        </w:trPr>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174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4"/>
              </w:rPr>
              <w:t>62%</w:t>
            </w:r>
          </w:p>
        </w:tc>
        <w:tc>
          <w:tcPr>
            <w:tcW w:w="172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4"/>
              </w:rPr>
              <w:t>65%</w:t>
            </w:r>
          </w:p>
        </w:tc>
        <w:tc>
          <w:tcPr>
            <w:tcW w:w="160" w:type="dxa"/>
            <w:vAlign w:val="bottom"/>
            <w:shd w:val="clear" w:color="auto" w:fill="CFF0FC"/>
          </w:tcPr>
          <w:p>
            <w:pPr>
              <w:spacing w:after="0"/>
              <w:rPr>
                <w:sz w:val="21"/>
                <w:szCs w:val="21"/>
                <w:color w:val="auto"/>
              </w:rPr>
            </w:pP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Inland River Carriers — Dry and Liquid, Offshore Towing —</w:t>
            </w:r>
          </w:p>
        </w:tc>
      </w:tr>
      <w:tr>
        <w:trPr>
          <w:trHeight w:val="229"/>
        </w:trPr>
        <w:tc>
          <w:tcPr>
            <w:tcW w:w="3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Dry and Liquid, Offshore Oilfield Services — Drilling Rigs &amp;</w:t>
            </w:r>
          </w:p>
        </w:tc>
      </w:tr>
      <w:tr>
        <w:trPr>
          <w:trHeight w:val="230"/>
        </w:trPr>
        <w:tc>
          <w:tcPr>
            <w:tcW w:w="3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Supply Boats, Harbor Towing, Dredging, Great Lakes Ore</w:t>
            </w:r>
          </w:p>
        </w:tc>
      </w:tr>
      <w:tr>
        <w:trPr>
          <w:trHeight w:val="229"/>
        </w:trPr>
        <w:tc>
          <w:tcPr>
            <w:tcW w:w="3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Carriers, Pleasure Crafts, On and Off-Highway</w:t>
            </w:r>
          </w:p>
        </w:tc>
      </w:tr>
      <w:tr>
        <w:trPr>
          <w:trHeight w:val="229"/>
        </w:trPr>
        <w:tc>
          <w:tcPr>
            <w:tcW w:w="3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Transportation, Power Generation, Standby Power</w:t>
            </w:r>
          </w:p>
        </w:tc>
      </w:tr>
      <w:tr>
        <w:trPr>
          <w:trHeight w:val="244"/>
        </w:trPr>
        <w:tc>
          <w:tcPr>
            <w:tcW w:w="3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Generation, Pumping Stations, Mining</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Oil and Gas</w:t>
            </w:r>
          </w:p>
        </w:tc>
        <w:tc>
          <w:tcPr>
            <w:tcW w:w="17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38%</w:t>
            </w:r>
          </w:p>
        </w:tc>
        <w:tc>
          <w:tcPr>
            <w:tcW w:w="172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35%</w:t>
            </w:r>
          </w:p>
        </w:tc>
        <w:tc>
          <w:tcPr>
            <w:tcW w:w="160" w:type="dxa"/>
            <w:vAlign w:val="bottom"/>
          </w:tcPr>
          <w:p>
            <w:pPr>
              <w:spacing w:after="0"/>
              <w:rPr>
                <w:sz w:val="21"/>
                <w:szCs w:val="21"/>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Oilfield Services, Oil and Gas Operators and Producers</w:t>
            </w:r>
          </w:p>
        </w:tc>
      </w:tr>
    </w:tbl>
    <w:p>
      <w:pPr>
        <w:spacing w:after="0" w:line="242" w:lineRule="exact"/>
        <w:rPr>
          <w:sz w:val="20"/>
          <w:szCs w:val="20"/>
          <w:color w:val="auto"/>
        </w:rPr>
      </w:pPr>
    </w:p>
    <w:p>
      <w:pPr>
        <w:jc w:val="both"/>
        <w:ind w:firstLine="569"/>
        <w:spacing w:after="0" w:line="288" w:lineRule="auto"/>
        <w:rPr>
          <w:sz w:val="20"/>
          <w:szCs w:val="20"/>
          <w:color w:val="auto"/>
        </w:rPr>
      </w:pPr>
      <w:r>
        <w:rPr>
          <w:rFonts w:ascii="Arial" w:cs="Arial" w:eastAsia="Arial" w:hAnsi="Arial"/>
          <w:sz w:val="17"/>
          <w:szCs w:val="17"/>
          <w:color w:val="auto"/>
        </w:rPr>
        <w:t>Distribution and services revenues for the 2021 second quarter and first six months increased 42% and 5%, respectively compared with the 2020 second quarter and first six months revenues. In the commercial and industrial market, the increase in the 2021 second quarter compared to the 2020 second quarter was primarily attributable to improved economic activity across the U.S. which resulted in higher business levels in the on-highway and power generation businesses. The marine repair business was down slightly compared to the 2020 second quarter and first six months due to reduced service activity. The commercial and industrial market 2021 first six months was impacted by Winter Storm Uri with reduced activity levels at many locations across the Southern U.S. during the first quarter. For the 2021 second quarter and first six months, the commercial and industrial market contributed 62% and 65%, respectively, of the distribution and services revenues.</w:t>
      </w:r>
    </w:p>
    <w:p>
      <w:pPr>
        <w:spacing w:after="0" w:line="194" w:lineRule="exact"/>
        <w:rPr>
          <w:sz w:val="20"/>
          <w:szCs w:val="20"/>
          <w:color w:val="auto"/>
        </w:rPr>
      </w:pPr>
    </w:p>
    <w:p>
      <w:pPr>
        <w:jc w:val="both"/>
        <w:ind w:firstLine="562"/>
        <w:spacing w:after="0" w:line="292" w:lineRule="auto"/>
        <w:rPr>
          <w:sz w:val="20"/>
          <w:szCs w:val="20"/>
          <w:color w:val="auto"/>
        </w:rPr>
      </w:pPr>
      <w:r>
        <w:rPr>
          <w:rFonts w:ascii="Arial" w:cs="Arial" w:eastAsia="Arial" w:hAnsi="Arial"/>
          <w:sz w:val="17"/>
          <w:szCs w:val="17"/>
          <w:color w:val="auto"/>
        </w:rPr>
        <w:t>In the oil and gas market, revenues increased compared to the 2020 second quarter and first six months due to higher oilfield activity which resulted in increased demand for new and overhauled engines, transmissions, parts, and service. The manufacturing business also experienced increases in orders and deliveries of new and remanufactured pressure pumping equipment. The oil and gas market 2021 first six months was impacted by Winter Storm Uri with reduced activity levels at many locations across Texas and Oklahoma during the first quarter. For the 2021 second quarter and first six months, the oil and gas market contributed 38% and 35%, respectively, of the distribution and services revenues.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252" w:lineRule="exact"/>
        <w:rPr>
          <w:sz w:val="20"/>
          <w:szCs w:val="20"/>
          <w:color w:val="auto"/>
        </w:rPr>
      </w:pPr>
    </w:p>
    <w:p>
      <w:pPr>
        <w:jc w:val="both"/>
        <w:ind w:firstLine="569"/>
        <w:spacing w:after="0" w:line="292" w:lineRule="auto"/>
        <w:rPr>
          <w:sz w:val="20"/>
          <w:szCs w:val="20"/>
          <w:color w:val="auto"/>
        </w:rPr>
      </w:pPr>
      <w:r>
        <w:rPr>
          <w:rFonts w:ascii="Arial" w:cs="Arial" w:eastAsia="Arial" w:hAnsi="Arial"/>
          <w:sz w:val="17"/>
          <w:szCs w:val="17"/>
          <w:color w:val="auto"/>
        </w:rPr>
        <w:t>Costs and expenses for the 2021 second quarter and first six months increased 27% and 1%, respectively, compared with the 2020 second quarter and first six months. Costs of sales and operating expenses for the 2021 second quarter and first six months increased 40% and 4%, respectively, compared with the 2020 second quarter and first six months, reflecting higher demand in the on-highway and power generation businesses in commercial and industrial markets in the 2021 second quarter. The increase also reflects higher demand for new and overhauled transmissions and related parts and service and increased demand for new pressure pumping equipment in the oil and gas market.</w:t>
      </w:r>
    </w:p>
    <w:p>
      <w:pPr>
        <w:spacing w:after="0" w:line="188" w:lineRule="exact"/>
        <w:rPr>
          <w:sz w:val="20"/>
          <w:szCs w:val="20"/>
          <w:color w:val="auto"/>
        </w:rPr>
      </w:pPr>
    </w:p>
    <w:p>
      <w:pPr>
        <w:jc w:val="both"/>
        <w:ind w:firstLine="562"/>
        <w:spacing w:after="0" w:line="329" w:lineRule="auto"/>
        <w:rPr>
          <w:sz w:val="20"/>
          <w:szCs w:val="20"/>
          <w:color w:val="auto"/>
        </w:rPr>
      </w:pPr>
      <w:r>
        <w:rPr>
          <w:rFonts w:ascii="Arial" w:cs="Arial" w:eastAsia="Arial" w:hAnsi="Arial"/>
          <w:sz w:val="16"/>
          <w:szCs w:val="16"/>
          <w:color w:val="auto"/>
        </w:rPr>
        <w:t>Selling, general and administrative expenses for the 2021 second quarter and first six months decreased 11% and 8%, respectively, compared to the 2020 second quarter and first six months. The decrease was primarily due to a bad debt expense charge of $3,339,000 as a result of the bankruptcy of a large oil and gas customer and $1,354,000 of severance expense as a result of workforce reductions each during the 2020 second quarter.</w:t>
      </w:r>
    </w:p>
    <w:p>
      <w:pPr>
        <w:spacing w:after="0" w:line="161"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Depreciation and amortization for the 2021 second quarter and first six months decreased 12% and 27%, respectively, compared to the 2020 second quarter and first six months. The decrease during the 2021 first six months was primarily due to lower amortization of intangible assets other than goodwill, which were impaired during the 2020 first quarter. The decrease during the 2021 second quarter also reflected certain equipment and leasehold improvements acquired from Stewart &amp; Stevenson LLC becoming fully depreciated during 2020.</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ind w:left="580"/>
        <w:spacing w:after="0"/>
        <w:rPr>
          <w:sz w:val="20"/>
          <w:szCs w:val="20"/>
          <w:color w:val="auto"/>
        </w:rPr>
      </w:pPr>
      <w:r>
        <w:rPr>
          <w:rFonts w:ascii="Arial" w:cs="Arial" w:eastAsia="Arial" w:hAnsi="Arial"/>
          <w:sz w:val="18"/>
          <w:szCs w:val="18"/>
          <w:b w:val="1"/>
          <w:bCs w:val="1"/>
          <w:i w:val="1"/>
          <w:iCs w:val="1"/>
          <w:color w:val="auto"/>
        </w:rPr>
        <w:t>Distribution and Services Operating Income (Loss) and Operating Margin</w:t>
      </w:r>
    </w:p>
    <w:p>
      <w:pPr>
        <w:spacing w:after="0" w:line="252" w:lineRule="exact"/>
        <w:rPr>
          <w:sz w:val="20"/>
          <w:szCs w:val="20"/>
          <w:color w:val="auto"/>
        </w:rPr>
      </w:pPr>
    </w:p>
    <w:p>
      <w:pPr>
        <w:jc w:val="both"/>
        <w:ind w:firstLine="569"/>
        <w:spacing w:after="0" w:line="319" w:lineRule="auto"/>
        <w:rPr>
          <w:sz w:val="20"/>
          <w:szCs w:val="20"/>
          <w:color w:val="auto"/>
        </w:rPr>
      </w:pPr>
      <w:r>
        <w:rPr>
          <w:rFonts w:ascii="Arial" w:cs="Arial" w:eastAsia="Arial" w:hAnsi="Arial"/>
          <w:sz w:val="16"/>
          <w:szCs w:val="16"/>
          <w:color w:val="auto"/>
        </w:rPr>
        <w:t>Operating income for the distribution and services segment for the 2021 second quarter and first six months increased 144% and 187%, respectively, compared with the 2020 second quarter and first six months. The operating margin for the 2021 second quarter was 2.7% compared with (8.8)% for the 2020 second quarter and 2.1% for the 2021 first six months compared to (2.6)% for the 2020 first six months. The results reflect increased business levels in both the commercial and industrial and oil and gas markets and a return to profitability, partially offset by higher costs and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Loss on Disposition of Assets</w:t>
      </w:r>
    </w:p>
    <w:p>
      <w:pPr>
        <w:spacing w:after="0" w:line="256"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8"/>
          <w:szCs w:val="18"/>
          <w:color w:val="auto"/>
        </w:rPr>
        <w:t>The Company reported a net gain on disposition of assets of $2,119,000 for the 2021 second quarter compared with a net loss of $189,000 for the 2020 second quarter. The Company reported a net gain on disposition of assets of $4,252,000 for the 2021 first six months and $303,000 for the 2020 first six months. The net gains and loss were primarily from sales of marine equipment.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impairments and other charges, other income, noncontrolling interests, and interest expense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92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Six months ended June 30,</w:t>
            </w:r>
          </w:p>
        </w:tc>
        <w:tc>
          <w:tcPr>
            <w:tcW w:w="8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96"/>
        </w:trPr>
        <w:tc>
          <w:tcPr>
            <w:tcW w:w="3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7"/>
                <w:szCs w:val="17"/>
                <w:color w:val="auto"/>
              </w:rPr>
            </w:pPr>
          </w:p>
        </w:tc>
      </w:tr>
      <w:tr>
        <w:trPr>
          <w:trHeight w:val="256"/>
        </w:trPr>
        <w:tc>
          <w:tcPr>
            <w:tcW w:w="3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Impairments and other charges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center"/>
              <w:ind w:left="314"/>
              <w:spacing w:after="0"/>
              <w:rPr>
                <w:sz w:val="20"/>
                <w:szCs w:val="20"/>
                <w:color w:val="auto"/>
              </w:rPr>
            </w:pPr>
            <w:r>
              <w:rPr>
                <w:rFonts w:ascii="Arial" w:cs="Arial" w:eastAsia="Arial" w:hAnsi="Arial"/>
                <w:sz w:val="18"/>
                <w:szCs w:val="18"/>
                <w:color w:val="auto"/>
                <w:w w:val="87"/>
              </w:rPr>
              <w:t>—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(561,274 )</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(100 )%</w:t>
            </w:r>
          </w:p>
        </w:tc>
      </w:tr>
      <w:tr>
        <w:trPr>
          <w:trHeight w:val="250"/>
        </w:trPr>
        <w:tc>
          <w:tcPr>
            <w:tcW w:w="31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2,523</w:t>
            </w:r>
          </w:p>
        </w:tc>
        <w:tc>
          <w:tcPr>
            <w:tcW w:w="2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2,290</w:t>
            </w:r>
          </w:p>
        </w:tc>
        <w:tc>
          <w:tcPr>
            <w:tcW w:w="280" w:type="dxa"/>
            <w:vAlign w:val="bottom"/>
          </w:tcPr>
          <w:p>
            <w:pPr>
              <w:spacing w:after="0"/>
              <w:rPr>
                <w:sz w:val="21"/>
                <w:szCs w:val="21"/>
                <w:color w:val="auto"/>
              </w:rPr>
            </w:pPr>
          </w:p>
        </w:tc>
        <w:tc>
          <w:tcPr>
            <w:tcW w:w="1420" w:type="dxa"/>
            <w:vAlign w:val="bottom"/>
            <w:gridSpan w:val="2"/>
          </w:tcPr>
          <w:p>
            <w:pPr>
              <w:jc w:val="center"/>
              <w:ind w:left="314"/>
              <w:spacing w:after="0"/>
              <w:rPr>
                <w:sz w:val="20"/>
                <w:szCs w:val="20"/>
                <w:color w:val="auto"/>
              </w:rPr>
            </w:pPr>
            <w:r>
              <w:rPr>
                <w:rFonts w:ascii="Arial" w:cs="Arial" w:eastAsia="Arial" w:hAnsi="Arial"/>
                <w:sz w:val="18"/>
                <w:szCs w:val="18"/>
                <w:color w:val="auto"/>
                <w:w w:val="82"/>
              </w:rPr>
              <w:t>10 %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6,314</w:t>
            </w:r>
          </w:p>
        </w:tc>
        <w:tc>
          <w:tcPr>
            <w:tcW w:w="2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5,013</w:t>
            </w: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26 %</w:t>
            </w:r>
          </w:p>
        </w:tc>
      </w:tr>
      <w:tr>
        <w:trPr>
          <w:trHeight w:val="263"/>
        </w:trPr>
        <w:tc>
          <w:tcPr>
            <w:tcW w:w="3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(162 )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(261 )</w:t>
            </w:r>
          </w:p>
        </w:tc>
        <w:tc>
          <w:tcPr>
            <w:tcW w:w="1420" w:type="dxa"/>
            <w:vAlign w:val="bottom"/>
            <w:gridSpan w:val="2"/>
            <w:shd w:val="clear" w:color="auto" w:fill="CFF0FC"/>
          </w:tcPr>
          <w:p>
            <w:pPr>
              <w:jc w:val="center"/>
              <w:ind w:left="314"/>
              <w:spacing w:after="0"/>
              <w:rPr>
                <w:sz w:val="20"/>
                <w:szCs w:val="20"/>
                <w:color w:val="auto"/>
              </w:rPr>
            </w:pPr>
            <w:r>
              <w:rPr>
                <w:rFonts w:ascii="Arial" w:cs="Arial" w:eastAsia="Arial" w:hAnsi="Arial"/>
                <w:sz w:val="18"/>
                <w:szCs w:val="18"/>
                <w:color w:val="auto"/>
                <w:w w:val="86"/>
              </w:rPr>
              <w:t>(38 )%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(417 )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(539 )</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(23 )%</w:t>
            </w: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(10,706 )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(12,708 )</w:t>
            </w:r>
          </w:p>
        </w:tc>
        <w:tc>
          <w:tcPr>
            <w:tcW w:w="1420" w:type="dxa"/>
            <w:vAlign w:val="bottom"/>
            <w:gridSpan w:val="2"/>
          </w:tcPr>
          <w:p>
            <w:pPr>
              <w:jc w:val="center"/>
              <w:ind w:left="314"/>
              <w:spacing w:after="0"/>
              <w:rPr>
                <w:sz w:val="20"/>
                <w:szCs w:val="20"/>
                <w:color w:val="auto"/>
              </w:rPr>
            </w:pPr>
            <w:r>
              <w:rPr>
                <w:rFonts w:ascii="Arial" w:cs="Arial" w:eastAsia="Arial" w:hAnsi="Arial"/>
                <w:sz w:val="18"/>
                <w:szCs w:val="18"/>
                <w:color w:val="auto"/>
                <w:w w:val="86"/>
              </w:rPr>
              <w:t>(16 )%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(21,672 )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(25,507 )</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(15 )%</w:t>
            </w: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Impairments and Other Charges</w:t>
      </w:r>
    </w:p>
    <w:p>
      <w:pPr>
        <w:spacing w:after="0" w:line="252" w:lineRule="exact"/>
        <w:rPr>
          <w:sz w:val="20"/>
          <w:szCs w:val="20"/>
          <w:color w:val="auto"/>
        </w:rPr>
      </w:pPr>
    </w:p>
    <w:p>
      <w:pPr>
        <w:jc w:val="both"/>
        <w:ind w:firstLine="562"/>
        <w:spacing w:after="0" w:line="329" w:lineRule="auto"/>
        <w:rPr>
          <w:sz w:val="20"/>
          <w:szCs w:val="20"/>
          <w:color w:val="auto"/>
        </w:rPr>
      </w:pPr>
      <w:r>
        <w:rPr>
          <w:rFonts w:ascii="Arial" w:cs="Arial" w:eastAsia="Arial" w:hAnsi="Arial"/>
          <w:sz w:val="16"/>
          <w:szCs w:val="16"/>
          <w:color w:val="auto"/>
        </w:rPr>
        <w:t>Impairments and other charges in the 2020 first six months includes $561,274,000 before taxes, $433,341,000 after taxes, or $7.24 per share, non-cash charges related to inventory write-downs, impairment of long-lived assets, including intangible assets and property and equipment, and impairment of goodwill in the distribution and services segment. See Note 7, Impairments and Other Charges in the financial statements for additional information.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Other income for the 2021 and 2020 second quarters includes income of $2,325,000 and $1,467,000, respectively, and the 2021 and 2020 first six months includes income of $4,308,000 and $3,639,000, respectively, for all components of net benefit costs except the service cost component related to the Company’s defined benefit plans. Other income for the 2021 first six months also includes interest income from the Company’s 2019 federal income tax refund received in February 2021.</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average debt and average interest rate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7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9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debt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1,330,618</w:t>
            </w:r>
          </w:p>
        </w:tc>
        <w:tc>
          <w:tcPr>
            <w:tcW w:w="4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1,700,111</w:t>
            </w:r>
          </w:p>
        </w:tc>
        <w:tc>
          <w:tcPr>
            <w:tcW w:w="3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1,373,873</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1,571,072</w:t>
            </w:r>
          </w:p>
        </w:tc>
        <w:tc>
          <w:tcPr>
            <w:tcW w:w="220" w:type="dxa"/>
            <w:vAlign w:val="bottom"/>
            <w:shd w:val="clear" w:color="auto" w:fill="CFF0FC"/>
          </w:tcPr>
          <w:p>
            <w:pPr>
              <w:spacing w:after="0"/>
              <w:rPr>
                <w:sz w:val="22"/>
                <w:szCs w:val="22"/>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Average interest rate</w:t>
            </w:r>
          </w:p>
        </w:tc>
        <w:tc>
          <w:tcPr>
            <w:tcW w:w="30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3.2 %</w:t>
            </w:r>
          </w:p>
        </w:tc>
        <w:tc>
          <w:tcPr>
            <w:tcW w:w="2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3.0 %</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3.1 %</w:t>
            </w:r>
          </w:p>
        </w:tc>
        <w:tc>
          <w:tcPr>
            <w:tcW w:w="2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3.2 %</w:t>
            </w:r>
          </w:p>
        </w:tc>
      </w:tr>
    </w:tbl>
    <w:p>
      <w:pPr>
        <w:spacing w:after="0" w:line="242"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8"/>
          <w:szCs w:val="18"/>
          <w:color w:val="auto"/>
        </w:rPr>
        <w:t>Interest expense for the 2021 second quarter and first six months decreased 16% and 15%, respectively, compared with the 2020 second quarter and first six months, primarily due to a lower average debt outstanding as a result of debt repayments since the 2020 first quarter. There was no capitalized interest excluded from interest expense during the 2021 or 2020 first six months.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ind w:left="560"/>
        <w:spacing w:after="0"/>
        <w:rPr>
          <w:sz w:val="20"/>
          <w:szCs w:val="20"/>
          <w:color w:val="auto"/>
        </w:rPr>
      </w:pPr>
      <w:r>
        <w:rPr>
          <w:rFonts w:ascii="Arial" w:cs="Arial" w:eastAsia="Arial" w:hAnsi="Arial"/>
          <w:sz w:val="18"/>
          <w:szCs w:val="18"/>
          <w:b w:val="1"/>
          <w:bCs w:val="1"/>
          <w:i w:val="1"/>
          <w:iCs w:val="1"/>
          <w:color w:val="auto"/>
        </w:rPr>
        <w:t>(Provision) Benefit for Taxes on Income</w:t>
      </w:r>
    </w:p>
    <w:p>
      <w:pPr>
        <w:spacing w:after="0" w:line="252"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7"/>
          <w:szCs w:val="17"/>
          <w:color w:val="auto"/>
        </w:rPr>
        <w:t>During the 2020 second quarter and first six months, pursuant to provisions of the CARES Act, net operating losses generated during 2018 through 2020 were used to offset taxable income generated between 2013 through 2017. Net operating losses carried back to tax years 2013 through 2017 were applied at the higher federal statutory tax rate of 35% compared to the statutory rate of 21% in effect at June 30, 2020. The Company generated an effective tax rate benefit in the 2020 second quarter and first six months as a result of such carrybacks.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significant components of the balance sheets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372"/>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December 31,</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2"/>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 Change</w:t>
            </w:r>
          </w:p>
        </w:tc>
      </w:tr>
      <w:tr>
        <w:trPr>
          <w:trHeight w:val="256"/>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FF0FC"/>
          </w:tcPr>
          <w:p>
            <w:pPr>
              <w:spacing w:after="0"/>
              <w:rPr>
                <w:sz w:val="22"/>
                <w:szCs w:val="22"/>
                <w:color w:val="auto"/>
              </w:rPr>
            </w:pPr>
          </w:p>
        </w:tc>
        <w:tc>
          <w:tcPr>
            <w:tcW w:w="112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tcBorders>
              <w:top w:val="single" w:sz="8" w:color="auto"/>
            </w:tcBorders>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r>
      <w:tr>
        <w:trPr>
          <w:trHeight w:val="250"/>
        </w:trPr>
        <w:tc>
          <w:tcPr>
            <w:tcW w:w="6520" w:type="dxa"/>
            <w:vAlign w:val="bottom"/>
          </w:tcPr>
          <w:p>
            <w:pPr>
              <w:ind w:left="28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963,143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1,047,971</w:t>
            </w: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(8 )%</w:t>
            </w:r>
          </w:p>
        </w:tc>
      </w:tr>
      <w:tr>
        <w:trPr>
          <w:trHeight w:val="263"/>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3,862,806</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3,917,070</w:t>
            </w:r>
          </w:p>
        </w:tc>
        <w:tc>
          <w:tcPr>
            <w:tcW w:w="17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(1 )</w:t>
            </w:r>
          </w:p>
        </w:tc>
      </w:tr>
      <w:tr>
        <w:trPr>
          <w:trHeight w:val="250"/>
        </w:trPr>
        <w:tc>
          <w:tcPr>
            <w:tcW w:w="6520" w:type="dxa"/>
            <w:vAlign w:val="bottom"/>
          </w:tcPr>
          <w:p>
            <w:pPr>
              <w:ind w:left="28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164,911</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174,317</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(5 )</w:t>
            </w:r>
          </w:p>
        </w:tc>
      </w:tr>
      <w:tr>
        <w:trPr>
          <w:trHeight w:val="263"/>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657,800</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657,800</w:t>
            </w:r>
          </w:p>
        </w:tc>
        <w:tc>
          <w:tcPr>
            <w:tcW w:w="26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r>
      <w:tr>
        <w:trPr>
          <w:trHeight w:val="250"/>
        </w:trPr>
        <w:tc>
          <w:tcPr>
            <w:tcW w:w="6520" w:type="dxa"/>
            <w:vAlign w:val="bottom"/>
          </w:tcPr>
          <w:p>
            <w:pPr>
              <w:ind w:left="280"/>
              <w:spacing w:after="0"/>
              <w:rPr>
                <w:sz w:val="20"/>
                <w:szCs w:val="20"/>
                <w:color w:val="auto"/>
              </w:rPr>
            </w:pPr>
            <w:r>
              <w:rPr>
                <w:rFonts w:ascii="Arial" w:cs="Arial" w:eastAsia="Arial" w:hAnsi="Arial"/>
                <w:sz w:val="18"/>
                <w:szCs w:val="18"/>
                <w:color w:val="auto"/>
              </w:rPr>
              <w:t>Other intangibles, net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64,397</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68,979</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(7 )</w:t>
            </w:r>
          </w:p>
        </w:tc>
      </w:tr>
      <w:tr>
        <w:trPr>
          <w:trHeight w:val="263"/>
        </w:trPr>
        <w:tc>
          <w:tcPr>
            <w:tcW w:w="65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54,758</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58,037</w:t>
            </w:r>
          </w:p>
        </w:tc>
        <w:tc>
          <w:tcPr>
            <w:tcW w:w="1700" w:type="dxa"/>
            <w:vAlign w:val="bottom"/>
            <w:tcBorders>
              <w:bottom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(6 )</w:t>
            </w:r>
          </w:p>
        </w:tc>
      </w:tr>
      <w:tr>
        <w:trPr>
          <w:trHeight w:val="250"/>
        </w:trPr>
        <w:tc>
          <w:tcPr>
            <w:tcW w:w="65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5,767,815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5,924,174</w:t>
            </w: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(3 )%</w:t>
            </w: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5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498,222</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466,032</w:t>
            </w:r>
          </w:p>
        </w:tc>
        <w:tc>
          <w:tcPr>
            <w:tcW w:w="17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7 %</w:t>
            </w:r>
          </w:p>
        </w:tc>
      </w:tr>
      <w:tr>
        <w:trPr>
          <w:trHeight w:val="250"/>
        </w:trPr>
        <w:tc>
          <w:tcPr>
            <w:tcW w:w="6520" w:type="dxa"/>
            <w:vAlign w:val="bottom"/>
          </w:tcPr>
          <w:p>
            <w:pPr>
              <w:ind w:left="280"/>
              <w:spacing w:after="0"/>
              <w:rPr>
                <w:sz w:val="20"/>
                <w:szCs w:val="20"/>
                <w:color w:val="auto"/>
              </w:rPr>
            </w:pPr>
            <w:r>
              <w:rPr>
                <w:rFonts w:ascii="Arial" w:cs="Arial" w:eastAsia="Arial" w:hAnsi="Arial"/>
                <w:sz w:val="18"/>
                <w:szCs w:val="18"/>
                <w:color w:val="auto"/>
              </w:rPr>
              <w:t>Long-term debt, net – less current portion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1,274,262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1,468,546</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(13 )</w:t>
            </w:r>
          </w:p>
        </w:tc>
      </w:tr>
      <w:tr>
        <w:trPr>
          <w:trHeight w:val="263"/>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612,682</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606,844</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22"/>
                <w:szCs w:val="22"/>
                <w:color w:val="auto"/>
              </w:rPr>
            </w:pPr>
          </w:p>
        </w:tc>
      </w:tr>
      <w:tr>
        <w:trPr>
          <w:trHeight w:val="250"/>
        </w:trPr>
        <w:tc>
          <w:tcPr>
            <w:tcW w:w="6520" w:type="dxa"/>
            <w:vAlign w:val="bottom"/>
          </w:tcPr>
          <w:p>
            <w:pPr>
              <w:ind w:left="280"/>
              <w:spacing w:after="0"/>
              <w:rPr>
                <w:sz w:val="20"/>
                <w:szCs w:val="20"/>
                <w:color w:val="auto"/>
              </w:rPr>
            </w:pPr>
            <w:r>
              <w:rPr>
                <w:rFonts w:ascii="Arial" w:cs="Arial" w:eastAsia="Arial" w:hAnsi="Arial"/>
                <w:sz w:val="18"/>
                <w:szCs w:val="18"/>
                <w:color w:val="auto"/>
              </w:rPr>
              <w:t>Operating lease liabilities – less current portion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153,457</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163,496</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(6 )</w:t>
            </w:r>
          </w:p>
        </w:tc>
      </w:tr>
      <w:tr>
        <w:trPr>
          <w:trHeight w:val="263"/>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123,863</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131,703</w:t>
            </w:r>
          </w:p>
        </w:tc>
        <w:tc>
          <w:tcPr>
            <w:tcW w:w="17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(6 )</w:t>
            </w:r>
          </w:p>
        </w:tc>
      </w:tr>
      <w:tr>
        <w:trPr>
          <w:trHeight w:val="256"/>
        </w:trPr>
        <w:tc>
          <w:tcPr>
            <w:tcW w:w="6520" w:type="dxa"/>
            <w:vAlign w:val="bottom"/>
          </w:tcPr>
          <w:p>
            <w:pPr>
              <w:ind w:left="28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3,105,329</w:t>
            </w:r>
          </w:p>
        </w:tc>
        <w:tc>
          <w:tcPr>
            <w:tcW w:w="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3,087,553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2"/>
                <w:szCs w:val="22"/>
                <w:color w:val="auto"/>
              </w:rPr>
            </w:pPr>
          </w:p>
        </w:tc>
      </w:tr>
      <w:tr>
        <w:trPr>
          <w:trHeight w:val="290"/>
        </w:trPr>
        <w:tc>
          <w:tcPr>
            <w:tcW w:w="65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5,767,815</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5,924,174</w:t>
            </w:r>
          </w:p>
        </w:tc>
        <w:tc>
          <w:tcPr>
            <w:tcW w:w="170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-1693545</wp:posOffset>
            </wp:positionV>
            <wp:extent cx="18034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-1693545</wp:posOffset>
            </wp:positionV>
            <wp:extent cx="16256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18034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18034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16256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1625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209"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8"/>
          <w:szCs w:val="18"/>
          <w:color w:val="auto"/>
        </w:rPr>
        <w:t>Current assets as of June 30, 2021 decreased 8% compared with December 31, 2020. Trade accounts receivable increased 12% primarily due to increased business activity in both the marine transportation and distribution and services segments, during the 2021 second quarter, compared to the 2020 fourth quarter. Other accounts receivable decreased 42%, primarily due to the receipt of a tax refund of $119,493,000, including accrued interest, for the Company’s 2019 federal tax return. Inventories, net increased by 5% primarily due to higher work in process related to equipment expected to be completed and shipped in the third quarter of 2021. Prepaid expenses and other current assets increased 15% primarily due to the increase in the price of diesel fuel.</w:t>
      </w:r>
    </w:p>
    <w:p>
      <w:pPr>
        <w:spacing w:after="0" w:line="204"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7"/>
          <w:szCs w:val="17"/>
          <w:color w:val="auto"/>
        </w:rPr>
        <w:t>Property and equipment, net of accumulated depreciation, at June 30, 2021 decreased 1% compared with December 31, 2020. The decrease reflected $106,020,000 of depreciation expense and $12,484,000 of property disposals during the 2021 first six months, partially offset by $38,369,000 of capital expenditures (net of an increase in accrued capital expenditures of $18,401,000) and $7,470,000 related to the acquisition of four inland tank barges during the 2021 first six months, more fully described under Cash Flows and Capital Expenditures below.</w:t>
      </w:r>
    </w:p>
    <w:p>
      <w:pPr>
        <w:spacing w:after="0" w:line="183"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Operating lease right-of-use assets as of June 30, 2021 decreased 5% compared to December 31, 2020, primarily due to lease amortization expense, partially offset by new leases acquired during the 2021 first six months.</w:t>
      </w:r>
    </w:p>
    <w:p>
      <w:pPr>
        <w:spacing w:after="0" w:line="183" w:lineRule="exact"/>
        <w:rPr>
          <w:sz w:val="20"/>
          <w:szCs w:val="20"/>
          <w:color w:val="auto"/>
        </w:rPr>
      </w:pPr>
    </w:p>
    <w:p>
      <w:pPr>
        <w:jc w:val="both"/>
        <w:ind w:right="20" w:firstLine="562"/>
        <w:spacing w:after="0" w:line="293" w:lineRule="auto"/>
        <w:rPr>
          <w:sz w:val="20"/>
          <w:szCs w:val="20"/>
          <w:color w:val="auto"/>
        </w:rPr>
      </w:pPr>
      <w:r>
        <w:rPr>
          <w:rFonts w:ascii="Arial" w:cs="Arial" w:eastAsia="Arial" w:hAnsi="Arial"/>
          <w:sz w:val="18"/>
          <w:szCs w:val="18"/>
          <w:color w:val="auto"/>
        </w:rPr>
        <w:t>Other intangibles, net, as of June 30, 2021 decreased 7% compared with December 31, 2020, primarily due to amortization during the 2021 first six months.</w:t>
      </w:r>
    </w:p>
    <w:p>
      <w:pPr>
        <w:spacing w:after="0" w:line="183" w:lineRule="exact"/>
        <w:rPr>
          <w:sz w:val="20"/>
          <w:szCs w:val="20"/>
          <w:color w:val="auto"/>
        </w:rPr>
      </w:pPr>
    </w:p>
    <w:p>
      <w:pPr>
        <w:jc w:val="both"/>
        <w:ind w:right="20" w:firstLine="562"/>
        <w:spacing w:after="0" w:line="293" w:lineRule="auto"/>
        <w:rPr>
          <w:sz w:val="20"/>
          <w:szCs w:val="20"/>
          <w:color w:val="auto"/>
        </w:rPr>
      </w:pPr>
      <w:r>
        <w:rPr>
          <w:rFonts w:ascii="Arial" w:cs="Arial" w:eastAsia="Arial" w:hAnsi="Arial"/>
          <w:sz w:val="18"/>
          <w:szCs w:val="18"/>
          <w:color w:val="auto"/>
        </w:rPr>
        <w:t>Other assets as of June 30, 2021 decreased 6% compared with December 31, 2020, primarily due to amortization of drydock expenditures during the 2021 first six months.</w:t>
      </w:r>
    </w:p>
    <w:p>
      <w:pPr>
        <w:spacing w:after="0" w:line="183" w:lineRule="exact"/>
        <w:rPr>
          <w:sz w:val="20"/>
          <w:szCs w:val="20"/>
          <w:color w:val="auto"/>
        </w:rPr>
      </w:pPr>
    </w:p>
    <w:p>
      <w:pPr>
        <w:jc w:val="both"/>
        <w:ind w:firstLine="569"/>
        <w:spacing w:after="0" w:line="279" w:lineRule="auto"/>
        <w:rPr>
          <w:sz w:val="20"/>
          <w:szCs w:val="20"/>
          <w:color w:val="auto"/>
        </w:rPr>
      </w:pPr>
      <w:r>
        <w:rPr>
          <w:rFonts w:ascii="Arial" w:cs="Arial" w:eastAsia="Arial" w:hAnsi="Arial"/>
          <w:sz w:val="18"/>
          <w:szCs w:val="18"/>
          <w:color w:val="auto"/>
        </w:rPr>
        <w:t>Current liabilities as of June 30, 2021 increased 7% compared with December 31, 2020. Accounts payable increased 16%, primarily due to an increase in accrued capital expenditures. Accrued liabilities increased 3% primarily due to higher accrued insurance claims, partially offset by the payment during the 2021 first six months of employee compensation accrued during 2020.</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jc w:val="both"/>
        <w:ind w:firstLine="562"/>
        <w:spacing w:after="0" w:line="279" w:lineRule="auto"/>
        <w:rPr>
          <w:sz w:val="20"/>
          <w:szCs w:val="20"/>
          <w:color w:val="auto"/>
        </w:rPr>
      </w:pPr>
      <w:r>
        <w:rPr>
          <w:rFonts w:ascii="Arial" w:cs="Arial" w:eastAsia="Arial" w:hAnsi="Arial"/>
          <w:sz w:val="18"/>
          <w:szCs w:val="18"/>
          <w:color w:val="auto"/>
        </w:rPr>
        <w:t>Long-term debt, net – less current portion, as of June 30, 2021 decreased 13% compared with December 31, 2020, primarily reflecting repayments of $195,000,000 under the Revolving Credit Facility. Net debt discount and deferred issuance costs were $5,738,000 at June 30, 2021 and $6,454,000 at December 31, 2020.</w:t>
      </w:r>
    </w:p>
    <w:p>
      <w:pPr>
        <w:spacing w:after="0" w:line="196" w:lineRule="exact"/>
        <w:rPr>
          <w:sz w:val="20"/>
          <w:szCs w:val="20"/>
          <w:color w:val="auto"/>
        </w:rPr>
      </w:pPr>
    </w:p>
    <w:p>
      <w:pPr>
        <w:jc w:val="both"/>
        <w:ind w:right="20" w:firstLine="562"/>
        <w:spacing w:after="0" w:line="293" w:lineRule="auto"/>
        <w:rPr>
          <w:sz w:val="20"/>
          <w:szCs w:val="20"/>
          <w:color w:val="auto"/>
        </w:rPr>
      </w:pPr>
      <w:r>
        <w:rPr>
          <w:rFonts w:ascii="Arial" w:cs="Arial" w:eastAsia="Arial" w:hAnsi="Arial"/>
          <w:sz w:val="18"/>
          <w:szCs w:val="18"/>
          <w:color w:val="auto"/>
        </w:rPr>
        <w:t>Operating lease liabilities – less current portion, as of June 30, 2021 decreased 6% compared to December 31, 2020, primarily due to lease payments made, partially offset by new leases acquired and liability accretion during the 2021 first six months.</w:t>
      </w:r>
    </w:p>
    <w:p>
      <w:pPr>
        <w:spacing w:after="0" w:line="183"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Other long-term liabilities as of June 30, 2021 decreased 6% compared with December 31, 2020. The decrease was primarily due to amortization of intangible liabilities and a decrease in pension liabilities.</w:t>
      </w:r>
    </w:p>
    <w:p>
      <w:pPr>
        <w:spacing w:after="0" w:line="183" w:lineRule="exact"/>
        <w:rPr>
          <w:sz w:val="20"/>
          <w:szCs w:val="20"/>
          <w:color w:val="auto"/>
        </w:rPr>
      </w:pPr>
    </w:p>
    <w:p>
      <w:pPr>
        <w:jc w:val="both"/>
        <w:ind w:firstLine="569"/>
        <w:spacing w:after="0" w:line="279" w:lineRule="auto"/>
        <w:rPr>
          <w:sz w:val="20"/>
          <w:szCs w:val="20"/>
          <w:color w:val="auto"/>
        </w:rPr>
      </w:pPr>
      <w:r>
        <w:rPr>
          <w:rFonts w:ascii="Arial" w:cs="Arial" w:eastAsia="Arial" w:hAnsi="Arial"/>
          <w:sz w:val="18"/>
          <w:szCs w:val="18"/>
          <w:color w:val="auto"/>
        </w:rPr>
        <w:t>Total equity as of June 30, 2021 increased 1% compared with December 31, 2020. The increase was primarily the result of additional paid-in capital due to amortization of unearned share-based compensation of $9,148,000 and net earnings attributable to Kirby of $6,815,000 for the 2021 first six months, partially offset by tax withholdings of $2,853,000 on restricted stock and RSU vestings.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Financing</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outstanding debt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Revolving Credit Facility due March 27, 2024 (a)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55,000</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Term Loan due March 27, 2024 (a)</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3.29% senior notes due February 27, 2023</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350,000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r>
      <w:tr>
        <w:trPr>
          <w:trHeight w:val="263"/>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4.2% senior notes due March 1, 2028</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80"/>
              <w:spacing w:after="0"/>
              <w:rPr>
                <w:sz w:val="20"/>
                <w:szCs w:val="20"/>
                <w:color w:val="auto"/>
              </w:rPr>
            </w:pPr>
            <w:r>
              <w:rPr>
                <w:rFonts w:ascii="Arial" w:cs="Arial" w:eastAsia="Arial" w:hAnsi="Arial"/>
                <w:sz w:val="18"/>
                <w:szCs w:val="18"/>
                <w:color w:val="auto"/>
              </w:rPr>
              <w:t>Credit line due June 30, 2022</w:t>
            </w:r>
          </w:p>
        </w:tc>
        <w:tc>
          <w:tcPr>
            <w:tcW w:w="26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8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Bank notes payable</w:t>
            </w:r>
          </w:p>
        </w:tc>
        <w:tc>
          <w:tcPr>
            <w:tcW w:w="2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8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1,281,417</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1,475,040</w:t>
            </w:r>
          </w:p>
        </w:tc>
        <w:tc>
          <w:tcPr>
            <w:tcW w:w="100" w:type="dxa"/>
            <w:vAlign w:val="bottom"/>
          </w:tcPr>
          <w:p>
            <w:pPr>
              <w:spacing w:after="0"/>
              <w:rPr>
                <w:sz w:val="21"/>
                <w:szCs w:val="21"/>
                <w:color w:val="auto"/>
              </w:rPr>
            </w:pPr>
          </w:p>
        </w:tc>
      </w:tr>
      <w:tr>
        <w:trPr>
          <w:trHeight w:val="257"/>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Unamortized debt discount and issuance costs</w:t>
            </w: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(5,738 )</w:t>
            </w:r>
          </w:p>
        </w:tc>
        <w:tc>
          <w:tcPr>
            <w:tcW w:w="1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(6,454 )</w:t>
            </w:r>
          </w:p>
        </w:tc>
      </w:tr>
      <w:tr>
        <w:trPr>
          <w:trHeight w:val="250"/>
        </w:trPr>
        <w:tc>
          <w:tcPr>
            <w:tcW w:w="816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1,275,679</w:t>
            </w:r>
          </w:p>
        </w:tc>
        <w:tc>
          <w:tcPr>
            <w:tcW w:w="28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1,468,586</w:t>
            </w:r>
          </w:p>
        </w:tc>
        <w:tc>
          <w:tcPr>
            <w:tcW w:w="100" w:type="dxa"/>
            <w:vAlign w:val="bottom"/>
            <w:tcBorders>
              <w:top w:val="single" w:sz="8" w:color="CFF0FC"/>
            </w:tcBorders>
          </w:tcPr>
          <w:p>
            <w:pPr>
              <w:spacing w:after="0"/>
              <w:rPr>
                <w:sz w:val="21"/>
                <w:szCs w:val="21"/>
                <w:color w:val="auto"/>
              </w:rPr>
            </w:pPr>
          </w:p>
        </w:tc>
      </w:tr>
      <w:tr>
        <w:trPr>
          <w:trHeight w:val="20"/>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-527685</wp:posOffset>
            </wp:positionV>
            <wp:extent cx="17145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-193675</wp:posOffset>
            </wp:positionV>
            <wp:extent cx="17145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Variable interest rate of 1.5% at both June 30, 2021 and December 31, 2020.</w:t>
      </w:r>
    </w:p>
    <w:p>
      <w:pPr>
        <w:spacing w:after="0" w:line="252" w:lineRule="exact"/>
        <w:rPr>
          <w:sz w:val="20"/>
          <w:szCs w:val="20"/>
          <w:color w:val="auto"/>
        </w:rPr>
      </w:pPr>
    </w:p>
    <w:p>
      <w:pPr>
        <w:jc w:val="both"/>
        <w:ind w:firstLine="569"/>
        <w:spacing w:after="0" w:line="311" w:lineRule="auto"/>
        <w:rPr>
          <w:sz w:val="20"/>
          <w:szCs w:val="20"/>
          <w:color w:val="auto"/>
        </w:rPr>
      </w:pPr>
      <w:r>
        <w:rPr>
          <w:rFonts w:ascii="Arial" w:cs="Arial" w:eastAsia="Arial" w:hAnsi="Arial"/>
          <w:sz w:val="16"/>
          <w:szCs w:val="16"/>
          <w:color w:val="auto"/>
        </w:rPr>
        <w:t>The Company has a Credit Agreement with a group of commercial banks, with JPMorgan Chase Bank, N.A. as the administrative agent bank, allowing for an $850,000,000 Revolving Credit Facility and a Term Loan with a maturity date of March 27, 2024. The Term Loan is repayable in quarterly installments currently scheduled to commence September 30, 2023, with $343,750,000 due on March 27, 2024. The Term Loan is prepayable, in whole or in part, without penalty. The Revolving Credit Facility includes a $25,000,000 commitment which may be used for standby letters of credit. Outstanding letters of credit under the Revolving Credit Facility were $5,063,000 and available borrowing capacity was $789,937,000 as of June 30, 2021. Outstanding letters of credit under the $10,000,000 credit line were $1,299,000 and available borrowing capacity was $8,701,000 as of June 30, 2021.</w:t>
      </w:r>
    </w:p>
    <w:p>
      <w:pPr>
        <w:spacing w:after="0" w:line="176" w:lineRule="exact"/>
        <w:rPr>
          <w:sz w:val="20"/>
          <w:szCs w:val="20"/>
          <w:color w:val="auto"/>
        </w:rPr>
      </w:pPr>
    </w:p>
    <w:p>
      <w:pPr>
        <w:jc w:val="both"/>
        <w:ind w:firstLine="562"/>
        <w:spacing w:after="0" w:line="324" w:lineRule="auto"/>
        <w:rPr>
          <w:sz w:val="20"/>
          <w:szCs w:val="20"/>
          <w:color w:val="auto"/>
        </w:rPr>
      </w:pPr>
      <w:r>
        <w:rPr>
          <w:rFonts w:ascii="Arial" w:cs="Arial" w:eastAsia="Arial" w:hAnsi="Arial"/>
          <w:sz w:val="17"/>
          <w:szCs w:val="17"/>
          <w:color w:val="auto"/>
        </w:rPr>
        <w:t>As of June 30, 2021, the Company was in compliance with all covenants under its debt instruments. For additional information about the Company’s debt instruments, see Note 5, Long-Term Debt, in the Company’s Annual Report on Form 10-K for the year ended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and Capital Expenditures</w:t>
      </w:r>
    </w:p>
    <w:p>
      <w:pPr>
        <w:spacing w:after="0" w:line="252"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7"/>
          <w:szCs w:val="17"/>
          <w:color w:val="auto"/>
        </w:rPr>
        <w:t>The Company generated favorable operating cash flows during the 2021 first six months with net cash provided by operating activities of $197,818,000 compared with $242,144,000 for the 2020 first six months, an 18% decrease. The decrease was primarily due to decreased revenues and operating income in the marine transportation segment, partially offset by the receipt of a tax refund of $119,493,000, including accrued interest, for the Company’s 2019 federal tax return, increased revenues and operating income in the distribution and services segment, reduced incentive compensation payouts in the 2021 first quarter compared to the 2020 first quarter, and the Savage acquisition in April 2020. Decreases in marine transportation revenues and operating income were driven by reduced barge utilization in the inland and coastal markets and decreased term and spot contract pricing in the inland market, each as a result of a reduction in demand due to the COVID-19 pandemic. The decrease in cash flows was also partially due to an increase in inventories in the 2021 first six months compared to a decrease in inventories in the 2020 first six months. During the 2021 and 2020 first six months, the Company generated cash of $16,731,000 and $4,918,000, respectively, from proceeds from the disposition of assets, and $505,000 and $353,000, respectively, from proceeds from the exercise of stock options.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jc w:val="both"/>
        <w:ind w:firstLine="569"/>
        <w:spacing w:after="0" w:line="279" w:lineRule="auto"/>
        <w:rPr>
          <w:sz w:val="20"/>
          <w:szCs w:val="20"/>
          <w:color w:val="auto"/>
        </w:rPr>
      </w:pPr>
      <w:r>
        <w:rPr>
          <w:rFonts w:ascii="Arial" w:cs="Arial" w:eastAsia="Arial" w:hAnsi="Arial"/>
          <w:sz w:val="18"/>
          <w:szCs w:val="18"/>
          <w:color w:val="auto"/>
        </w:rPr>
        <w:t>For the 2021 first six months, cash generated was used for capital expenditures of $38,369,000 (net of an increase in accrued capital expenditures of $18,401,000), including $2,807,000 for inland towboat construction and $35,562,000 primarily for upgrading existing marine equipment and marine transportation and distribution and services facilities.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252" w:lineRule="exact"/>
        <w:rPr>
          <w:sz w:val="20"/>
          <w:szCs w:val="20"/>
          <w:color w:val="auto"/>
        </w:rPr>
      </w:pPr>
    </w:p>
    <w:p>
      <w:pPr>
        <w:jc w:val="both"/>
        <w:ind w:firstLine="569"/>
        <w:spacing w:after="0" w:line="290" w:lineRule="auto"/>
        <w:rPr>
          <w:sz w:val="20"/>
          <w:szCs w:val="20"/>
          <w:color w:val="auto"/>
        </w:rPr>
      </w:pPr>
      <w:r>
        <w:rPr>
          <w:rFonts w:ascii="Arial" w:cs="Arial" w:eastAsia="Arial" w:hAnsi="Arial"/>
          <w:sz w:val="17"/>
          <w:szCs w:val="17"/>
          <w:color w:val="auto"/>
        </w:rPr>
        <w:t>The Company did not purchase any treasury stock during the 2021 first six months. As of August 4, 2021, the Company had approximately 1,400,000 shares available under its existing repurchase authorization.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ind w:firstLine="562"/>
        <w:spacing w:after="0" w:line="329" w:lineRule="auto"/>
        <w:rPr>
          <w:sz w:val="20"/>
          <w:szCs w:val="20"/>
          <w:color w:val="auto"/>
        </w:rPr>
      </w:pPr>
      <w:r>
        <w:rPr>
          <w:rFonts w:ascii="Arial" w:cs="Arial" w:eastAsia="Arial" w:hAnsi="Arial"/>
          <w:sz w:val="16"/>
          <w:szCs w:val="16"/>
          <w:color w:val="auto"/>
        </w:rPr>
        <w:t>Funds generated from operations are available for acquisitions, capital expenditure projects, common stock repurchases, repayments of borrowings, and for other corporate and operating requirements. In addition to net cash flows provided by operating activities, as of August 4, 2021, the Company also had cash equivalents of $62,671,000, availability of $824,937,000 under its Revolving Credit Facility, and $8,701,000 available under its credit line.</w:t>
      </w:r>
    </w:p>
    <w:p>
      <w:pPr>
        <w:spacing w:after="0" w:line="161" w:lineRule="exact"/>
        <w:rPr>
          <w:sz w:val="20"/>
          <w:szCs w:val="20"/>
          <w:color w:val="auto"/>
        </w:rPr>
      </w:pPr>
    </w:p>
    <w:p>
      <w:pPr>
        <w:jc w:val="both"/>
        <w:ind w:right="20" w:firstLine="562"/>
        <w:spacing w:after="0" w:line="293"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the pricing grid on its Credit Agreement.</w:t>
      </w:r>
    </w:p>
    <w:p>
      <w:pPr>
        <w:spacing w:after="0" w:line="183"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196"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8"/>
          <w:szCs w:val="18"/>
          <w:color w:val="auto"/>
        </w:rPr>
        <w:t>The Revolving Credit Facility’s commitment is in the amount of $850,000,000 and expires March 27, 2024. As of June 30, 2021, the Company had $789,937,000 available under the Revolving Credit Facility. The 3.29% senior unsecured notes do not mature until February 27, 2023 and require no prepayments. The 4.2% senior unsecured notes do not mature until March 1, 2028 and require no prepayments. The outstanding balance of the Term Loan is subject to quarterly installments, currently scheduled to commence September 30, 2023, with $343,750,000 due on March 27, 2024. The Term Loan is prepayable, in whole or in part, without penalty.</w:t>
      </w:r>
    </w:p>
    <w:p>
      <w:pPr>
        <w:spacing w:after="0" w:line="204" w:lineRule="exact"/>
        <w:rPr>
          <w:sz w:val="20"/>
          <w:szCs w:val="20"/>
          <w:color w:val="auto"/>
        </w:rPr>
      </w:pPr>
    </w:p>
    <w:p>
      <w:pPr>
        <w:jc w:val="both"/>
        <w:ind w:firstLine="562"/>
        <w:spacing w:after="0" w:line="292" w:lineRule="auto"/>
        <w:rPr>
          <w:sz w:val="20"/>
          <w:szCs w:val="20"/>
          <w:color w:val="auto"/>
        </w:rPr>
      </w:pPr>
      <w:r>
        <w:rPr>
          <w:rFonts w:ascii="Arial" w:cs="Arial" w:eastAsia="Arial" w:hAnsi="Arial"/>
          <w:sz w:val="17"/>
          <w:szCs w:val="17"/>
          <w:color w:val="auto"/>
        </w:rPr>
        <w:t>There are numerous factors that may negatively impact the Company’s cash flows in 2021. For a list of significant risks and uncertainties that could impact cash flows, see Note 14, Contingencies and Commitments, in the financial statements, and Item 1A — Risk Factors and Note 14, Contingencies and Commitments, in the Company’s Annual Report on Form 10-K for the year ended December 31, 2020. Amounts available under the Company’s existing financial arrangements are subject to the Company continuing to meet the covenants of the credit facilities as described in Note 5, Long-Term Debt in the Company’s Annual Report on Form 10-K for the year ended December 31, 2020.</w:t>
      </w:r>
    </w:p>
    <w:p>
      <w:pPr>
        <w:spacing w:after="0" w:line="188" w:lineRule="exact"/>
        <w:rPr>
          <w:sz w:val="20"/>
          <w:szCs w:val="20"/>
          <w:color w:val="auto"/>
        </w:rPr>
      </w:pPr>
    </w:p>
    <w:p>
      <w:pPr>
        <w:jc w:val="both"/>
        <w:ind w:firstLine="569"/>
        <w:spacing w:after="0" w:line="292" w:lineRule="auto"/>
        <w:rPr>
          <w:sz w:val="20"/>
          <w:szCs w:val="20"/>
          <w:color w:val="auto"/>
        </w:rPr>
      </w:pPr>
      <w:r>
        <w:rPr>
          <w:rFonts w:ascii="Arial" w:cs="Arial" w:eastAsia="Arial" w:hAnsi="Arial"/>
          <w:sz w:val="17"/>
          <w:szCs w:val="17"/>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$23,396,000 at June 30, 2021, including $13,878,000 in letters of credit and $9,518,000 in performance bonds. All of these instruments have an expiration date within three years. The Company does not believe demand for payment under these instruments is likely and expects no material cash outlays to occur in connection with these instruments.</w:t>
      </w:r>
    </w:p>
    <w:p>
      <w:pPr>
        <w:spacing w:after="0" w:line="188"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7"/>
          <w:szCs w:val="17"/>
          <w:color w:val="auto"/>
        </w:rPr>
        <w:t>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189"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The repair portion of the distribution and services segment is based on prevailing current market rates.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 increase in variable interest rates would impact the 2021 interest expense by $6,250,000 based on balances outstanding at December 31, 2020, and would change the fair value of the Company’s debt by approximately 3%.</w:t>
      </w:r>
    </w:p>
    <w:p>
      <w:pPr>
        <w:spacing w:after="0" w:line="19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firstLine="562"/>
        <w:spacing w:after="0" w:line="309" w:lineRule="auto"/>
        <w:rPr>
          <w:sz w:val="20"/>
          <w:szCs w:val="20"/>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Chief Executive Officer and the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has evaluated the Company’s disclosure controls and procedures (as defined in Rule 13a-15(e) under the Securities Exchange Act of 1934 (“Exchange Act”)), as of June 30, 2021, as required by Rule 13a-15(b) under the Exchange Act. Based on that evaluation, the Chief Executive Officer and the Chief Financial Officer concluded that, as of June 30, 2021,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78"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were no changes in the Company’s internal control over financial reporting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quarter ended June 30, 2021 that have materially affected, or are reasonably likely to materially affect, the Company’s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14, Contingencies and Commitments, of the Notes to Condensed Financial Statements (Unaudited).</w:t>
      </w:r>
    </w:p>
    <w:p>
      <w:pPr>
        <w:spacing w:after="0" w:line="24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jc w:val="both"/>
        <w:ind w:firstLine="569"/>
        <w:spacing w:after="0" w:line="293" w:lineRule="auto"/>
        <w:rPr>
          <w:sz w:val="20"/>
          <w:szCs w:val="20"/>
          <w:color w:val="auto"/>
        </w:rPr>
      </w:pPr>
      <w:r>
        <w:rPr>
          <w:rFonts w:ascii="Arial" w:cs="Arial" w:eastAsia="Arial" w:hAnsi="Arial"/>
          <w:sz w:val="18"/>
          <w:szCs w:val="18"/>
          <w:color w:val="auto"/>
        </w:rPr>
        <w:t>The Company continues to be subject to the risk factors previously disclosed in its “Risk Factors” in the Company’s Annual Report on Form 10-K for the year ended December 31, 2020.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11"/>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05"/>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0" w:type="dxa"/>
            <w:vAlign w:val="bottom"/>
            <w:gridSpan w:val="8"/>
          </w:tcPr>
          <w:p>
            <w:pPr>
              <w:ind w:left="660"/>
              <w:spacing w:after="0"/>
              <w:rPr>
                <w:sz w:val="20"/>
                <w:szCs w:val="20"/>
                <w:color w:val="auto"/>
              </w:rPr>
            </w:pPr>
            <w:r>
              <w:rPr>
                <w:rFonts w:ascii="Arial" w:cs="Arial" w:eastAsia="Arial" w:hAnsi="Arial"/>
                <w:sz w:val="18"/>
                <w:szCs w:val="18"/>
                <w:b w:val="1"/>
                <w:bCs w:val="1"/>
                <w:color w:val="auto"/>
              </w:rPr>
              <w:t>EXHIBIT INDEX</w:t>
            </w:r>
          </w:p>
        </w:tc>
      </w:tr>
      <w:tr>
        <w:trPr>
          <w:trHeight w:val="468"/>
        </w:trPr>
        <w:tc>
          <w:tcPr>
            <w:tcW w:w="7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740" w:type="dxa"/>
            <w:vAlign w:val="bottom"/>
          </w:tcPr>
          <w:p>
            <w:pPr>
              <w:ind w:left="20"/>
              <w:spacing w:after="0"/>
              <w:rPr>
                <w:sz w:val="20"/>
                <w:szCs w:val="20"/>
                <w:color w:val="auto"/>
              </w:rPr>
            </w:pPr>
            <w:r>
              <w:rPr>
                <w:rFonts w:ascii="Arial" w:cs="Arial" w:eastAsia="Arial" w:hAnsi="Arial"/>
                <w:sz w:val="18"/>
                <w:szCs w:val="18"/>
                <w:b w:val="1"/>
                <w:bCs w:val="1"/>
                <w:color w:val="auto"/>
              </w:rPr>
              <w:t>Number</w:t>
            </w:r>
          </w:p>
        </w:tc>
        <w:tc>
          <w:tcPr>
            <w:tcW w:w="540" w:type="dxa"/>
            <w:vAlign w:val="bottom"/>
          </w:tcPr>
          <w:p>
            <w:pPr>
              <w:spacing w:after="0"/>
              <w:rPr>
                <w:sz w:val="20"/>
                <w:szCs w:val="20"/>
                <w:color w:val="auto"/>
              </w:rPr>
            </w:pPr>
          </w:p>
        </w:tc>
        <w:tc>
          <w:tcPr>
            <w:tcW w:w="9780" w:type="dxa"/>
            <w:vAlign w:val="bottom"/>
            <w:gridSpan w:val="10"/>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16"/>
        </w:trPr>
        <w:tc>
          <w:tcPr>
            <w:tcW w:w="740" w:type="dxa"/>
            <w:vAlign w:val="bottom"/>
          </w:tcPr>
          <w:p>
            <w:pPr>
              <w:ind w:left="20"/>
              <w:spacing w:after="0"/>
              <w:rPr>
                <w:sz w:val="20"/>
                <w:szCs w:val="20"/>
                <w:color w:val="auto"/>
              </w:rPr>
            </w:pPr>
            <w:r>
              <w:rPr>
                <w:rFonts w:ascii="Arial" w:cs="Arial" w:eastAsia="Arial" w:hAnsi="Arial"/>
                <w:sz w:val="18"/>
                <w:szCs w:val="18"/>
                <w:color w:val="auto"/>
              </w:rPr>
              <w:t>3.1</w:t>
            </w:r>
          </w:p>
        </w:tc>
        <w:tc>
          <w:tcPr>
            <w:tcW w:w="10320" w:type="dxa"/>
            <w:vAlign w:val="bottom"/>
            <w:gridSpan w:val="11"/>
          </w:tcPr>
          <w:p>
            <w:pPr>
              <w:ind w:left="30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401">
              <w:r>
                <w:rPr>
                  <w:rFonts w:ascii="Arial" w:cs="Arial" w:eastAsia="Arial" w:hAnsi="Arial"/>
                  <w:sz w:val="18"/>
                  <w:szCs w:val="18"/>
                  <w:color w:val="0000FF"/>
                  <w:w w:val="97"/>
                </w:rPr>
                <w:t>Restated Articles of Incorporation of the Company with all amendments to date (incorporated by reference to Exhibit 3.1 to the</w:t>
              </w:r>
            </w:hyperlink>
          </w:p>
        </w:tc>
      </w:tr>
      <w:tr>
        <w:trPr>
          <w:trHeight w:val="20"/>
        </w:trPr>
        <w:tc>
          <w:tcPr>
            <w:tcW w:w="7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80" w:type="dxa"/>
            <w:vAlign w:val="bottom"/>
            <w:gridSpan w:val="10"/>
          </w:tcPr>
          <w:p>
            <w:pPr>
              <w:spacing w:after="0"/>
              <w:rPr>
                <w:rFonts w:ascii="Arial" w:cs="Arial" w:eastAsia="Arial" w:hAnsi="Arial"/>
                <w:sz w:val="18"/>
                <w:szCs w:val="18"/>
                <w:color w:val="0000FF"/>
              </w:rPr>
            </w:pPr>
            <w:hyperlink r:id="rId401">
              <w:r>
                <w:rPr>
                  <w:rFonts w:ascii="Arial" w:cs="Arial" w:eastAsia="Arial" w:hAnsi="Arial"/>
                  <w:sz w:val="18"/>
                  <w:szCs w:val="18"/>
                  <w:color w:val="0000FF"/>
                </w:rPr>
                <w:t>Registrant’s Annual Report on Form 10-K for the year ended December 31, 2014).</w:t>
              </w:r>
            </w:hyperlink>
          </w:p>
        </w:tc>
      </w:tr>
      <w:tr>
        <w:trPr>
          <w:trHeight w:val="20"/>
        </w:trPr>
        <w:tc>
          <w:tcPr>
            <w:tcW w:w="7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740" w:type="dxa"/>
            <w:vAlign w:val="bottom"/>
          </w:tcPr>
          <w:p>
            <w:pPr>
              <w:ind w:left="20"/>
              <w:spacing w:after="0"/>
              <w:rPr>
                <w:sz w:val="20"/>
                <w:szCs w:val="20"/>
                <w:color w:val="auto"/>
              </w:rPr>
            </w:pPr>
            <w:r>
              <w:rPr>
                <w:rFonts w:ascii="Arial" w:cs="Arial" w:eastAsia="Arial" w:hAnsi="Arial"/>
                <w:sz w:val="18"/>
                <w:szCs w:val="18"/>
                <w:color w:val="auto"/>
              </w:rPr>
              <w:t>3.2</w:t>
            </w:r>
          </w:p>
        </w:tc>
        <w:tc>
          <w:tcPr>
            <w:tcW w:w="10320" w:type="dxa"/>
            <w:vAlign w:val="bottom"/>
            <w:gridSpan w:val="11"/>
          </w:tcPr>
          <w:p>
            <w:pPr>
              <w:ind w:left="30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402">
              <w:r>
                <w:rPr>
                  <w:rFonts w:ascii="Arial" w:cs="Arial" w:eastAsia="Arial" w:hAnsi="Arial"/>
                  <w:sz w:val="18"/>
                  <w:szCs w:val="18"/>
                  <w:color w:val="0000FF"/>
                  <w:w w:val="91"/>
                </w:rPr>
                <w:t>Bylaws of the Company, as amended to March 17, 2020 (incorporated by reference to Exhibit 3.2 to the Registrant’s Annual Report on</w:t>
              </w:r>
            </w:hyperlink>
          </w:p>
        </w:tc>
      </w:tr>
      <w:tr>
        <w:trPr>
          <w:trHeight w:val="20"/>
        </w:trPr>
        <w:tc>
          <w:tcPr>
            <w:tcW w:w="7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7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80" w:type="dxa"/>
            <w:vAlign w:val="bottom"/>
            <w:gridSpan w:val="10"/>
          </w:tcPr>
          <w:p>
            <w:pPr>
              <w:spacing w:after="0"/>
              <w:rPr>
                <w:rFonts w:ascii="Arial" w:cs="Arial" w:eastAsia="Arial" w:hAnsi="Arial"/>
                <w:sz w:val="18"/>
                <w:szCs w:val="18"/>
                <w:color w:val="0000FF"/>
              </w:rPr>
            </w:pPr>
            <w:hyperlink r:id="rId402">
              <w:r>
                <w:rPr>
                  <w:rFonts w:ascii="Arial" w:cs="Arial" w:eastAsia="Arial" w:hAnsi="Arial"/>
                  <w:sz w:val="18"/>
                  <w:szCs w:val="18"/>
                  <w:color w:val="0000FF"/>
                </w:rPr>
                <w:t>Form 10-K for the year ended December 31, 2014).</w:t>
              </w:r>
            </w:hyperlink>
          </w:p>
        </w:tc>
      </w:tr>
      <w:tr>
        <w:trPr>
          <w:trHeight w:val="20"/>
        </w:trPr>
        <w:tc>
          <w:tcPr>
            <w:tcW w:w="7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740" w:type="dxa"/>
            <w:vAlign w:val="bottom"/>
          </w:tcPr>
          <w:p>
            <w:pPr>
              <w:ind w:left="20"/>
              <w:spacing w:after="0"/>
              <w:rPr>
                <w:sz w:val="20"/>
                <w:szCs w:val="20"/>
                <w:color w:val="auto"/>
              </w:rPr>
            </w:pPr>
            <w:r>
              <w:rPr>
                <w:rFonts w:ascii="Arial" w:cs="Arial" w:eastAsia="Arial" w:hAnsi="Arial"/>
                <w:sz w:val="18"/>
                <w:szCs w:val="18"/>
                <w:color w:val="auto"/>
              </w:rPr>
              <w:t>3.3</w:t>
            </w:r>
          </w:p>
        </w:tc>
        <w:tc>
          <w:tcPr>
            <w:tcW w:w="10320" w:type="dxa"/>
            <w:vAlign w:val="bottom"/>
            <w:gridSpan w:val="11"/>
          </w:tcPr>
          <w:p>
            <w:pPr>
              <w:ind w:left="3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403">
              <w:r>
                <w:rPr>
                  <w:rFonts w:ascii="Arial" w:cs="Arial" w:eastAsia="Arial" w:hAnsi="Arial"/>
                  <w:sz w:val="18"/>
                  <w:szCs w:val="18"/>
                  <w:color w:val="0000FF"/>
                  <w:w w:val="92"/>
                </w:rPr>
                <w:t>Amendment to Bylaws of Kirby Corporation dated March 18, 2020 (incorporated by reference to Exhibit 3.1 to the Registrant’s Current</w:t>
              </w:r>
            </w:hyperlink>
          </w:p>
        </w:tc>
      </w:tr>
      <w:tr>
        <w:trPr>
          <w:trHeight w:val="20"/>
        </w:trPr>
        <w:tc>
          <w:tcPr>
            <w:tcW w:w="7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7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80" w:type="dxa"/>
            <w:vAlign w:val="bottom"/>
            <w:gridSpan w:val="10"/>
          </w:tcPr>
          <w:p>
            <w:pPr>
              <w:spacing w:after="0"/>
              <w:rPr>
                <w:rFonts w:ascii="Arial" w:cs="Arial" w:eastAsia="Arial" w:hAnsi="Arial"/>
                <w:sz w:val="18"/>
                <w:szCs w:val="18"/>
                <w:color w:val="0000FF"/>
              </w:rPr>
            </w:pPr>
            <w:hyperlink r:id="rId403">
              <w:r>
                <w:rPr>
                  <w:rFonts w:ascii="Arial" w:cs="Arial" w:eastAsia="Arial" w:hAnsi="Arial"/>
                  <w:sz w:val="18"/>
                  <w:szCs w:val="18"/>
                  <w:color w:val="0000FF"/>
                </w:rPr>
                <w:t>Report on Form 8-K filed with the Commission on March 19, 2020).</w:t>
              </w:r>
            </w:hyperlink>
          </w:p>
        </w:tc>
      </w:tr>
      <w:tr>
        <w:trPr>
          <w:trHeight w:val="20"/>
        </w:trPr>
        <w:tc>
          <w:tcPr>
            <w:tcW w:w="7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6"/>
        </w:trPr>
        <w:tc>
          <w:tcPr>
            <w:tcW w:w="740" w:type="dxa"/>
            <w:vAlign w:val="bottom"/>
          </w:tcPr>
          <w:p>
            <w:pPr>
              <w:ind w:left="20"/>
              <w:spacing w:after="0"/>
              <w:rPr>
                <w:sz w:val="20"/>
                <w:szCs w:val="20"/>
                <w:color w:val="auto"/>
              </w:rPr>
            </w:pPr>
            <w:r>
              <w:rPr>
                <w:rFonts w:ascii="Arial" w:cs="Arial" w:eastAsia="Arial" w:hAnsi="Arial"/>
                <w:sz w:val="18"/>
                <w:szCs w:val="18"/>
                <w:color w:val="auto"/>
              </w:rPr>
              <w:t>4.1</w:t>
            </w:r>
          </w:p>
        </w:tc>
        <w:tc>
          <w:tcPr>
            <w:tcW w:w="10320" w:type="dxa"/>
            <w:vAlign w:val="bottom"/>
            <w:gridSpan w:val="11"/>
          </w:tcPr>
          <w:p>
            <w:pPr>
              <w:ind w:left="300"/>
              <w:spacing w:after="0"/>
              <w:rPr>
                <w:sz w:val="20"/>
                <w:szCs w:val="20"/>
                <w:color w:val="auto"/>
              </w:rPr>
            </w:pPr>
            <w:r>
              <w:rPr>
                <w:rFonts w:ascii="Arial" w:cs="Arial" w:eastAsia="Arial" w:hAnsi="Arial"/>
                <w:sz w:val="18"/>
                <w:szCs w:val="18"/>
                <w:color w:val="auto"/>
                <w:w w:val="93"/>
              </w:rPr>
              <w:t>–  See Exhibits 3.1, 3.2, and 3.3 hereof for provisions of our Restated Articles of Incorporation of the Company with all amendments to</w:t>
            </w:r>
          </w:p>
        </w:tc>
      </w:tr>
      <w:tr>
        <w:trPr>
          <w:trHeight w:val="229"/>
        </w:trPr>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780" w:type="dxa"/>
            <w:vAlign w:val="bottom"/>
            <w:gridSpan w:val="10"/>
          </w:tcPr>
          <w:p>
            <w:pPr>
              <w:spacing w:after="0"/>
              <w:rPr>
                <w:sz w:val="20"/>
                <w:szCs w:val="20"/>
                <w:color w:val="auto"/>
              </w:rPr>
            </w:pPr>
            <w:r>
              <w:rPr>
                <w:rFonts w:ascii="Arial" w:cs="Arial" w:eastAsia="Arial" w:hAnsi="Arial"/>
                <w:sz w:val="18"/>
                <w:szCs w:val="18"/>
                <w:color w:val="auto"/>
                <w:w w:val="92"/>
              </w:rPr>
              <w:t>date, the Bylaws of the Company, as amended to March 17, 2020, and Amendment to Bylaws of the Company dated March 18, 2020</w:t>
            </w:r>
          </w:p>
        </w:tc>
      </w:tr>
      <w:tr>
        <w:trPr>
          <w:trHeight w:val="229"/>
        </w:trPr>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780" w:type="dxa"/>
            <w:vAlign w:val="bottom"/>
            <w:gridSpan w:val="10"/>
          </w:tcPr>
          <w:p>
            <w:pPr>
              <w:spacing w:after="0"/>
              <w:rPr>
                <w:sz w:val="20"/>
                <w:szCs w:val="20"/>
                <w:color w:val="auto"/>
              </w:rPr>
            </w:pPr>
            <w:r>
              <w:rPr>
                <w:rFonts w:ascii="Arial" w:cs="Arial" w:eastAsia="Arial" w:hAnsi="Arial"/>
                <w:sz w:val="18"/>
                <w:szCs w:val="18"/>
                <w:color w:val="auto"/>
                <w:w w:val="94"/>
              </w:rPr>
              <w:t>(incorporated by reference to Exhibit 3.1 and 3.2, respectively, to the Registrant's Annual Report on Form 10-K for the year ended</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80" w:type="dxa"/>
            <w:vAlign w:val="bottom"/>
            <w:gridSpan w:val="10"/>
          </w:tcPr>
          <w:p>
            <w:pPr>
              <w:spacing w:after="0"/>
              <w:rPr>
                <w:sz w:val="20"/>
                <w:szCs w:val="20"/>
                <w:color w:val="auto"/>
              </w:rPr>
            </w:pPr>
            <w:r>
              <w:rPr>
                <w:rFonts w:ascii="Arial" w:cs="Arial" w:eastAsia="Arial" w:hAnsi="Arial"/>
                <w:sz w:val="18"/>
                <w:szCs w:val="18"/>
                <w:color w:val="auto"/>
                <w:w w:val="94"/>
              </w:rPr>
              <w:t>December 31, 2014 and Exhibit 3.1 to the Registrant’s Current Report on Form 8-K filed with the Commission on March 19, 2020).</w:t>
            </w:r>
          </w:p>
        </w:tc>
      </w:tr>
      <w:tr>
        <w:trPr>
          <w:trHeight w:val="216"/>
        </w:trPr>
        <w:tc>
          <w:tcPr>
            <w:tcW w:w="740" w:type="dxa"/>
            <w:vAlign w:val="bottom"/>
          </w:tcPr>
          <w:p>
            <w:pPr>
              <w:ind w:left="20"/>
              <w:spacing w:after="0"/>
              <w:rPr>
                <w:sz w:val="20"/>
                <w:szCs w:val="20"/>
                <w:color w:val="auto"/>
              </w:rPr>
            </w:pPr>
            <w:r>
              <w:rPr>
                <w:rFonts w:ascii="Arial" w:cs="Arial" w:eastAsia="Arial" w:hAnsi="Arial"/>
                <w:sz w:val="18"/>
                <w:szCs w:val="18"/>
                <w:color w:val="auto"/>
              </w:rPr>
              <w:t>10.1†</w:t>
            </w:r>
          </w:p>
        </w:tc>
        <w:tc>
          <w:tcPr>
            <w:tcW w:w="10320" w:type="dxa"/>
            <w:vAlign w:val="bottom"/>
            <w:gridSpan w:val="11"/>
          </w:tcPr>
          <w:p>
            <w:pPr>
              <w:ind w:left="300"/>
              <w:spacing w:after="0" w:line="207" w:lineRule="exact"/>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404">
              <w:r>
                <w:rPr>
                  <w:rFonts w:ascii="Arial" w:cs="Arial" w:eastAsia="Arial" w:hAnsi="Arial"/>
                  <w:sz w:val="18"/>
                  <w:szCs w:val="18"/>
                  <w:color w:val="0000FF"/>
                  <w:w w:val="92"/>
                </w:rPr>
                <w:t>2005 Stock and Incentive Plan (incorporated by reference to Exhibit 10.1 to the Registrant’s Current Report on Form 8</w:t>
              </w:r>
              <w:r>
                <w:rPr>
                  <w:rFonts w:ascii="MS PGothic" w:cs="MS PGothic" w:eastAsia="MS PGothic" w:hAnsi="MS PGothic"/>
                  <w:sz w:val="18"/>
                  <w:szCs w:val="18"/>
                  <w:color w:val="0000FF"/>
                  <w:w w:val="92"/>
                </w:rPr>
                <w:t>‑</w:t>
              </w:r>
              <w:r>
                <w:rPr>
                  <w:rFonts w:ascii="Arial" w:cs="Arial" w:eastAsia="Arial" w:hAnsi="Arial"/>
                  <w:sz w:val="18"/>
                  <w:szCs w:val="18"/>
                  <w:color w:val="0000FF"/>
                  <w:w w:val="92"/>
                </w:rPr>
                <w:t>K filed with the</w:t>
              </w:r>
            </w:hyperlink>
          </w:p>
        </w:tc>
      </w:tr>
      <w:tr>
        <w:trPr>
          <w:trHeight w:val="20"/>
        </w:trPr>
        <w:tc>
          <w:tcPr>
            <w:tcW w:w="7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4920" w:type="dxa"/>
            <w:vAlign w:val="bottom"/>
            <w:tcBorders>
              <w:left w:val="single" w:sz="8" w:color="0000FF"/>
            </w:tcBorders>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80" w:type="dxa"/>
            <w:vAlign w:val="bottom"/>
            <w:gridSpan w:val="10"/>
          </w:tcPr>
          <w:p>
            <w:pPr>
              <w:spacing w:after="0"/>
              <w:rPr>
                <w:rFonts w:ascii="Arial" w:cs="Arial" w:eastAsia="Arial" w:hAnsi="Arial"/>
                <w:sz w:val="18"/>
                <w:szCs w:val="18"/>
                <w:color w:val="0000FF"/>
              </w:rPr>
            </w:pPr>
            <w:hyperlink r:id="rId404">
              <w:r>
                <w:rPr>
                  <w:rFonts w:ascii="Arial" w:cs="Arial" w:eastAsia="Arial" w:hAnsi="Arial"/>
                  <w:sz w:val="18"/>
                  <w:szCs w:val="18"/>
                  <w:color w:val="0000FF"/>
                </w:rPr>
                <w:t>Commission on April 29, 2021).</w:t>
              </w:r>
            </w:hyperlink>
          </w:p>
        </w:tc>
      </w:tr>
      <w:tr>
        <w:trPr>
          <w:trHeight w:val="20"/>
        </w:trPr>
        <w:tc>
          <w:tcPr>
            <w:tcW w:w="7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r>
      <w:tr>
        <w:trPr>
          <w:trHeight w:val="237"/>
        </w:trPr>
        <w:tc>
          <w:tcPr>
            <w:tcW w:w="740" w:type="dxa"/>
            <w:vAlign w:val="bottom"/>
          </w:tcPr>
          <w:p>
            <w:pPr>
              <w:ind w:left="20"/>
              <w:spacing w:after="0"/>
              <w:rPr>
                <w:sz w:val="20"/>
                <w:szCs w:val="20"/>
                <w:color w:val="auto"/>
              </w:rPr>
            </w:pPr>
            <w:r>
              <w:rPr>
                <w:rFonts w:ascii="Arial" w:cs="Arial" w:eastAsia="Arial" w:hAnsi="Arial"/>
                <w:sz w:val="18"/>
                <w:szCs w:val="18"/>
                <w:color w:val="auto"/>
              </w:rPr>
              <w:t>10.2†</w:t>
            </w:r>
          </w:p>
        </w:tc>
        <w:tc>
          <w:tcPr>
            <w:tcW w:w="10320" w:type="dxa"/>
            <w:vAlign w:val="bottom"/>
            <w:gridSpan w:val="11"/>
          </w:tcPr>
          <w:p>
            <w:pPr>
              <w:ind w:left="30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405">
              <w:r>
                <w:rPr>
                  <w:rFonts w:ascii="Arial" w:cs="Arial" w:eastAsia="Arial" w:hAnsi="Arial"/>
                  <w:sz w:val="18"/>
                  <w:szCs w:val="18"/>
                  <w:color w:val="0000FF"/>
                  <w:w w:val="91"/>
                </w:rPr>
                <w:t>2000 Nonemployee Director Stock Plan (incorporated by reference to Exhibit 10.2 to the Registrant’s Current Report on Form 8-K filed</w:t>
              </w:r>
            </w:hyperlink>
          </w:p>
        </w:tc>
      </w:tr>
      <w:tr>
        <w:trPr>
          <w:trHeight w:val="20"/>
        </w:trPr>
        <w:tc>
          <w:tcPr>
            <w:tcW w:w="7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98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4980" w:type="dxa"/>
            <w:vAlign w:val="bottom"/>
            <w:tcBorders>
              <w:left w:val="single" w:sz="8" w:color="0000FF"/>
            </w:tcBorders>
            <w:gridSpan w:val="6"/>
            <w:shd w:val="clear" w:color="auto" w:fill="0000FF"/>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80" w:type="dxa"/>
            <w:vAlign w:val="bottom"/>
            <w:gridSpan w:val="10"/>
          </w:tcPr>
          <w:p>
            <w:pPr>
              <w:spacing w:after="0"/>
              <w:rPr>
                <w:rFonts w:ascii="Arial" w:cs="Arial" w:eastAsia="Arial" w:hAnsi="Arial"/>
                <w:sz w:val="18"/>
                <w:szCs w:val="18"/>
                <w:color w:val="0000FF"/>
              </w:rPr>
            </w:pPr>
            <w:hyperlink r:id="rId405">
              <w:r>
                <w:rPr>
                  <w:rFonts w:ascii="Arial" w:cs="Arial" w:eastAsia="Arial" w:hAnsi="Arial"/>
                  <w:sz w:val="18"/>
                  <w:szCs w:val="18"/>
                  <w:color w:val="0000FF"/>
                </w:rPr>
                <w:t>with the Commission on April 29, 2021).</w:t>
              </w:r>
            </w:hyperlink>
          </w:p>
        </w:tc>
      </w:tr>
      <w:tr>
        <w:trPr>
          <w:trHeight w:val="20"/>
        </w:trPr>
        <w:tc>
          <w:tcPr>
            <w:tcW w:w="7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980" w:type="dxa"/>
            <w:vAlign w:val="bottom"/>
            <w:tcBorders>
              <w:right w:val="single" w:sz="8" w:color="0000EE"/>
            </w:tcBorders>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r>
      <w:tr>
        <w:trPr>
          <w:trHeight w:val="237"/>
        </w:trPr>
        <w:tc>
          <w:tcPr>
            <w:tcW w:w="740" w:type="dxa"/>
            <w:vAlign w:val="bottom"/>
          </w:tcPr>
          <w:p>
            <w:pPr>
              <w:ind w:left="20"/>
              <w:spacing w:after="0"/>
              <w:rPr>
                <w:sz w:val="20"/>
                <w:szCs w:val="20"/>
                <w:color w:val="auto"/>
              </w:rPr>
            </w:pPr>
            <w:r>
              <w:rPr>
                <w:rFonts w:ascii="Arial" w:cs="Arial" w:eastAsia="Arial" w:hAnsi="Arial"/>
                <w:sz w:val="18"/>
                <w:szCs w:val="18"/>
                <w:color w:val="auto"/>
              </w:rPr>
              <w:t>31.1</w:t>
            </w:r>
          </w:p>
        </w:tc>
        <w:tc>
          <w:tcPr>
            <w:tcW w:w="10320" w:type="dxa"/>
            <w:vAlign w:val="bottom"/>
            <w:gridSpan w:val="11"/>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34">
              <w:r>
                <w:rPr>
                  <w:rFonts w:ascii="Arial" w:cs="Arial" w:eastAsia="Arial" w:hAnsi="Arial"/>
                  <w:sz w:val="18"/>
                  <w:szCs w:val="18"/>
                  <w:color w:val="0000FF"/>
                </w:rPr>
                <w:t>Certification of Chief Executive Officer Pursuant to Rule 13a-14(a)</w:t>
              </w:r>
            </w:hyperlink>
          </w:p>
        </w:tc>
      </w:tr>
      <w:tr>
        <w:trPr>
          <w:trHeight w:val="20"/>
        </w:trPr>
        <w:tc>
          <w:tcPr>
            <w:tcW w:w="7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4800" w:type="dxa"/>
            <w:vAlign w:val="bottom"/>
            <w:gridSpan w:val="4"/>
            <w:shd w:val="clear" w:color="auto" w:fill="0000FF"/>
          </w:tcPr>
          <w:p>
            <w:pPr>
              <w:spacing w:after="0" w:line="20" w:lineRule="exact"/>
              <w:rPr>
                <w:sz w:val="1"/>
                <w:szCs w:val="1"/>
                <w:color w:val="auto"/>
              </w:rPr>
            </w:pPr>
          </w:p>
        </w:tc>
        <w:tc>
          <w:tcPr>
            <w:tcW w:w="4980" w:type="dxa"/>
            <w:vAlign w:val="bottom"/>
            <w:tcBorders>
              <w:left w:val="single" w:sz="8" w:color="0000FF"/>
            </w:tcBorders>
            <w:gridSpan w:val="6"/>
          </w:tcPr>
          <w:p>
            <w:pPr>
              <w:spacing w:after="0" w:line="20" w:lineRule="exact"/>
              <w:rPr>
                <w:sz w:val="1"/>
                <w:szCs w:val="1"/>
                <w:color w:val="auto"/>
              </w:rPr>
            </w:pPr>
          </w:p>
        </w:tc>
      </w:tr>
      <w:tr>
        <w:trPr>
          <w:trHeight w:val="237"/>
        </w:trPr>
        <w:tc>
          <w:tcPr>
            <w:tcW w:w="740" w:type="dxa"/>
            <w:vAlign w:val="bottom"/>
          </w:tcPr>
          <w:p>
            <w:pPr>
              <w:ind w:left="20"/>
              <w:spacing w:after="0"/>
              <w:rPr>
                <w:sz w:val="20"/>
                <w:szCs w:val="20"/>
                <w:color w:val="auto"/>
              </w:rPr>
            </w:pPr>
            <w:r>
              <w:rPr>
                <w:rFonts w:ascii="Arial" w:cs="Arial" w:eastAsia="Arial" w:hAnsi="Arial"/>
                <w:sz w:val="18"/>
                <w:szCs w:val="18"/>
                <w:color w:val="auto"/>
              </w:rPr>
              <w:t>31.2</w:t>
            </w:r>
          </w:p>
        </w:tc>
        <w:tc>
          <w:tcPr>
            <w:tcW w:w="10320" w:type="dxa"/>
            <w:vAlign w:val="bottom"/>
            <w:gridSpan w:val="11"/>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35">
              <w:r>
                <w:rPr>
                  <w:rFonts w:ascii="Arial" w:cs="Arial" w:eastAsia="Arial" w:hAnsi="Arial"/>
                  <w:sz w:val="18"/>
                  <w:szCs w:val="18"/>
                  <w:color w:val="0000FF"/>
                </w:rPr>
                <w:t>Certification of Chief Financial Officer Pursuant to Rule 13a-14(a)</w:t>
              </w:r>
            </w:hyperlink>
          </w:p>
        </w:tc>
      </w:tr>
      <w:tr>
        <w:trPr>
          <w:trHeight w:val="20"/>
        </w:trPr>
        <w:tc>
          <w:tcPr>
            <w:tcW w:w="7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3" w:lineRule="exact"/>
        <w:rPr>
          <w:sz w:val="20"/>
          <w:szCs w:val="20"/>
          <w:color w:val="auto"/>
        </w:rPr>
      </w:pPr>
    </w:p>
    <w:p>
      <w:pPr>
        <w:ind w:left="1040" w:hanging="10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  </w:t>
      </w:r>
      <w:hyperlink w:anchor="page36">
        <w:r>
          <w:rPr>
            <w:rFonts w:ascii="Arial" w:cs="Arial" w:eastAsia="Arial" w:hAnsi="Arial"/>
            <w:sz w:val="18"/>
            <w:szCs w:val="18"/>
            <w:u w:val="single" w:color="auto"/>
            <w:color w:val="0000FF"/>
          </w:rPr>
          <w:t>Certification Pursuant to 18 U.S.C. 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-10160</wp:posOffset>
            </wp:positionV>
            <wp:extent cx="22307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6">
                      <a:extLst>
                        <a:ext uri="{28A0092B-C50C-407E-A947-70E740481C1C}"/>
                      </a:extLst>
                    </a:blip>
                    <a:srcRect/>
                    <a:stretch>
                      <a:fillRect/>
                    </a:stretch>
                  </pic:blipFill>
                  <pic:spPr bwMode="auto">
                    <a:xfrm>
                      <a:off x="0" y="0"/>
                      <a:ext cx="2230755" cy="8255"/>
                    </a:xfrm>
                    <a:prstGeom prst="rect">
                      <a:avLst/>
                    </a:prstGeom>
                    <a:noFill/>
                  </pic:spPr>
                </pic:pic>
              </a:graphicData>
            </a:graphic>
          </wp:anchor>
        </w:drawing>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9680" w:type="dxa"/>
            <w:vAlign w:val="bottom"/>
          </w:tcPr>
          <w:p>
            <w:pPr>
              <w:ind w:left="180"/>
              <w:spacing w:after="0"/>
              <w:rPr>
                <w:sz w:val="20"/>
                <w:szCs w:val="20"/>
                <w:color w:val="auto"/>
              </w:rPr>
            </w:pPr>
            <w:r>
              <w:rPr>
                <w:rFonts w:ascii="Arial" w:cs="Arial" w:eastAsia="Arial" w:hAnsi="Arial"/>
                <w:sz w:val="18"/>
                <w:szCs w:val="18"/>
                <w:color w:val="auto"/>
                <w:w w:val="90"/>
              </w:rPr>
              <w:t>–  Inline XBRL Instance Document – the instance document does not appear in the Interactive Data File because its XBRL tags are</w:t>
            </w:r>
          </w:p>
        </w:tc>
      </w:tr>
      <w:tr>
        <w:trPr>
          <w:trHeight w:val="230"/>
        </w:trPr>
        <w:tc>
          <w:tcPr>
            <w:tcW w:w="840" w:type="dxa"/>
            <w:vAlign w:val="bottom"/>
          </w:tcPr>
          <w:p>
            <w:pPr>
              <w:spacing w:after="0"/>
              <w:rPr>
                <w:sz w:val="20"/>
                <w:szCs w:val="20"/>
                <w:color w:val="auto"/>
              </w:rPr>
            </w:pPr>
          </w:p>
        </w:tc>
        <w:tc>
          <w:tcPr>
            <w:tcW w:w="9680" w:type="dxa"/>
            <w:vAlign w:val="bottom"/>
          </w:tcPr>
          <w:p>
            <w:pPr>
              <w:ind w:left="400"/>
              <w:spacing w:after="0"/>
              <w:rPr>
                <w:sz w:val="20"/>
                <w:szCs w:val="20"/>
                <w:color w:val="auto"/>
              </w:rPr>
            </w:pPr>
            <w:r>
              <w:rPr>
                <w:rFonts w:ascii="Arial" w:cs="Arial" w:eastAsia="Arial" w:hAnsi="Arial"/>
                <w:sz w:val="18"/>
                <w:szCs w:val="18"/>
                <w:color w:val="auto"/>
              </w:rPr>
              <w:t>embedded within the Inline XBRL document</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9680" w:type="dxa"/>
            <w:vAlign w:val="bottom"/>
          </w:tcPr>
          <w:p>
            <w:pPr>
              <w:ind w:left="180"/>
              <w:spacing w:after="0"/>
              <w:rPr>
                <w:sz w:val="20"/>
                <w:szCs w:val="20"/>
                <w:color w:val="auto"/>
              </w:rPr>
            </w:pPr>
            <w:r>
              <w:rPr>
                <w:rFonts w:ascii="Arial" w:cs="Arial" w:eastAsia="Arial" w:hAnsi="Arial"/>
                <w:sz w:val="18"/>
                <w:szCs w:val="18"/>
                <w:color w:val="auto"/>
              </w:rPr>
              <w:t>–  Inline XBRL Taxonomy Extension Schema Document</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9680" w:type="dxa"/>
            <w:vAlign w:val="bottom"/>
          </w:tcPr>
          <w:p>
            <w:pPr>
              <w:ind w:left="18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9680" w:type="dxa"/>
            <w:vAlign w:val="bottom"/>
          </w:tcPr>
          <w:p>
            <w:pPr>
              <w:ind w:left="18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9680" w:type="dxa"/>
            <w:vAlign w:val="bottom"/>
          </w:tcPr>
          <w:p>
            <w:pPr>
              <w:ind w:left="18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9680" w:type="dxa"/>
            <w:vAlign w:val="bottom"/>
          </w:tcPr>
          <w:p>
            <w:pPr>
              <w:ind w:left="180"/>
              <w:spacing w:after="0"/>
              <w:rPr>
                <w:sz w:val="20"/>
                <w:szCs w:val="20"/>
                <w:color w:val="auto"/>
              </w:rPr>
            </w:pPr>
            <w:r>
              <w:rPr>
                <w:rFonts w:ascii="Arial" w:cs="Arial" w:eastAsia="Arial" w:hAnsi="Arial"/>
                <w:sz w:val="18"/>
                <w:szCs w:val="18"/>
                <w:color w:val="auto"/>
              </w:rPr>
              <w:t>–  Inline XBRL Taxonomy Extension Presentation Linkbase Document</w:t>
            </w:r>
          </w:p>
        </w:tc>
      </w:tr>
    </w:tbl>
    <w:p>
      <w:pPr>
        <w:spacing w:after="0" w:line="26" w:lineRule="exact"/>
        <w:rPr>
          <w:sz w:val="20"/>
          <w:szCs w:val="20"/>
          <w:color w:val="auto"/>
        </w:rPr>
      </w:pPr>
    </w:p>
    <w:p>
      <w:pPr>
        <w:ind w:left="1040" w:hanging="10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Cover Page Interactive Data File (embedded within the Inline XBRL document)</w:t>
      </w:r>
    </w:p>
    <w:p>
      <w:pPr>
        <w:spacing w:after="0" w:line="292"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4" w:right="51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56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KIRBY CORPORATION</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06" w:lineRule="exact"/>
        <w:rPr>
          <w:sz w:val="20"/>
          <w:szCs w:val="20"/>
          <w:color w:val="auto"/>
        </w:rPr>
      </w:pPr>
    </w:p>
    <w:p>
      <w:pPr>
        <w:ind w:left="566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4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William G. Harvey</w:t>
      </w:r>
    </w:p>
    <w:p>
      <w:pPr>
        <w:spacing w:after="0" w:line="50"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Executive Vice President and</w:t>
      </w:r>
    </w:p>
    <w:p>
      <w:pPr>
        <w:spacing w:after="0" w:line="50"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Financial Officer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5, 2021</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1" w:lineRule="exact"/>
        <w:rPr>
          <w:sz w:val="20"/>
          <w:szCs w:val="20"/>
          <w:color w:val="auto"/>
        </w:rPr>
      </w:pPr>
    </w:p>
    <w:p>
      <w:pPr>
        <w:ind w:left="380" w:right="200"/>
        <w:spacing w:after="0" w:line="293" w:lineRule="auto"/>
        <w:rPr>
          <w:sz w:val="20"/>
          <w:szCs w:val="20"/>
          <w:color w:val="auto"/>
        </w:rPr>
      </w:pPr>
      <w:r>
        <w:rPr>
          <w:rFonts w:ascii="Arial" w:cs="Arial" w:eastAsia="Arial" w:hAnsi="Arial"/>
          <w:sz w:val="18"/>
          <w:szCs w:val="18"/>
          <w:color w:val="auto"/>
        </w:rPr>
        <w:t>In connection with the filing of the Quarterly Report on Form 10-Q for the quarter ended June 30, 2021 by Kirby Corporation, David W. Grzebinski certifies that:</w:t>
      </w:r>
    </w:p>
    <w:p>
      <w:pPr>
        <w:spacing w:after="0" w:line="6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130" w:lineRule="exact"/>
        <w:rPr>
          <w:rFonts w:ascii="Arial" w:cs="Arial" w:eastAsia="Arial" w:hAnsi="Arial"/>
          <w:sz w:val="18"/>
          <w:szCs w:val="18"/>
          <w:color w:val="auto"/>
        </w:rPr>
      </w:pPr>
    </w:p>
    <w:p>
      <w:pPr>
        <w:jc w:val="both"/>
        <w:ind w:left="340" w:right="440" w:hanging="332"/>
        <w:spacing w:after="0" w:line="27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340" w:right="400" w:hanging="332"/>
        <w:spacing w:after="0" w:line="324"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340" w:right="80" w:hanging="332"/>
        <w:spacing w:after="0" w:line="27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700" w:right="320" w:hanging="318"/>
        <w:spacing w:after="0" w:line="279" w:lineRule="auto"/>
        <w:tabs>
          <w:tab w:leader="none" w:pos="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700" w:right="20" w:hanging="318"/>
        <w:spacing w:after="0" w:line="279" w:lineRule="auto"/>
        <w:tabs>
          <w:tab w:leader="none" w:pos="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700" w:right="800" w:hanging="318"/>
        <w:spacing w:after="0" w:line="359" w:lineRule="auto"/>
        <w:tabs>
          <w:tab w:leader="none" w:pos="7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700" w:right="100" w:hanging="318"/>
        <w:spacing w:after="0" w:line="359" w:lineRule="auto"/>
        <w:tabs>
          <w:tab w:leader="none" w:pos="7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 w:lineRule="exact"/>
        <w:rPr>
          <w:rFonts w:ascii="Arial" w:cs="Arial" w:eastAsia="Arial" w:hAnsi="Arial"/>
          <w:sz w:val="16"/>
          <w:szCs w:val="16"/>
          <w:color w:val="auto"/>
        </w:rPr>
      </w:pPr>
    </w:p>
    <w:p>
      <w:pPr>
        <w:ind w:left="340" w:right="320" w:hanging="332"/>
        <w:spacing w:after="0" w:line="324"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700" w:right="220" w:hanging="318"/>
        <w:spacing w:after="0" w:line="293" w:lineRule="auto"/>
        <w:tabs>
          <w:tab w:leader="none" w:pos="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700" w:right="180" w:hanging="318"/>
        <w:spacing w:after="0" w:line="293" w:lineRule="auto"/>
        <w:tabs>
          <w:tab w:leader="none" w:pos="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David W. Grzebinski</w:t>
      </w:r>
    </w:p>
    <w:p>
      <w:pPr>
        <w:spacing w:after="0" w:line="50"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1" w:lineRule="exact"/>
        <w:rPr>
          <w:sz w:val="20"/>
          <w:szCs w:val="20"/>
          <w:color w:val="auto"/>
        </w:rPr>
      </w:pPr>
    </w:p>
    <w:p>
      <w:pPr>
        <w:ind w:left="380" w:right="340"/>
        <w:spacing w:after="0" w:line="293" w:lineRule="auto"/>
        <w:rPr>
          <w:sz w:val="20"/>
          <w:szCs w:val="20"/>
          <w:color w:val="auto"/>
        </w:rPr>
      </w:pPr>
      <w:r>
        <w:rPr>
          <w:rFonts w:ascii="Arial" w:cs="Arial" w:eastAsia="Arial" w:hAnsi="Arial"/>
          <w:sz w:val="18"/>
          <w:szCs w:val="18"/>
          <w:color w:val="auto"/>
        </w:rPr>
        <w:t>In connection with the filing of the Quarterly Report on Form 10-Q for the quarter ended June 30, 2021 by Kirby Corporation, William G. Harvey certifies that:</w:t>
      </w:r>
    </w:p>
    <w:p>
      <w:pPr>
        <w:spacing w:after="0" w:line="6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130" w:lineRule="exact"/>
        <w:rPr>
          <w:rFonts w:ascii="Arial" w:cs="Arial" w:eastAsia="Arial" w:hAnsi="Arial"/>
          <w:sz w:val="18"/>
          <w:szCs w:val="18"/>
          <w:color w:val="auto"/>
        </w:rPr>
      </w:pPr>
    </w:p>
    <w:p>
      <w:pPr>
        <w:jc w:val="both"/>
        <w:ind w:left="340" w:right="440" w:hanging="332"/>
        <w:spacing w:after="0" w:line="27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340" w:right="400" w:hanging="332"/>
        <w:spacing w:after="0" w:line="324"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340" w:right="80" w:hanging="332"/>
        <w:spacing w:after="0" w:line="27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700" w:right="320" w:hanging="318"/>
        <w:spacing w:after="0" w:line="279" w:lineRule="auto"/>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700" w:right="20" w:hanging="318"/>
        <w:spacing w:after="0" w:line="279" w:lineRule="auto"/>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700" w:right="800" w:hanging="318"/>
        <w:spacing w:after="0" w:line="359" w:lineRule="auto"/>
        <w:tabs>
          <w:tab w:leader="none" w:pos="7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700" w:right="100" w:hanging="318"/>
        <w:spacing w:after="0" w:line="359" w:lineRule="auto"/>
        <w:tabs>
          <w:tab w:leader="none" w:pos="7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 w:lineRule="exact"/>
        <w:rPr>
          <w:rFonts w:ascii="Arial" w:cs="Arial" w:eastAsia="Arial" w:hAnsi="Arial"/>
          <w:sz w:val="16"/>
          <w:szCs w:val="16"/>
          <w:color w:val="auto"/>
        </w:rPr>
      </w:pPr>
    </w:p>
    <w:p>
      <w:pPr>
        <w:ind w:left="340" w:right="320" w:hanging="332"/>
        <w:spacing w:after="0" w:line="324"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700" w:right="220" w:hanging="318"/>
        <w:spacing w:after="0" w:line="293" w:lineRule="auto"/>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700" w:right="180" w:hanging="318"/>
        <w:spacing w:after="0" w:line="293" w:lineRule="auto"/>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William G. Harvey</w:t>
      </w:r>
    </w:p>
    <w:p>
      <w:pPr>
        <w:spacing w:after="0" w:line="50"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Executive Vice President and</w:t>
      </w:r>
    </w:p>
    <w:p>
      <w:pPr>
        <w:spacing w:after="0" w:line="50"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18 U.S.C. Section 1350</w:t>
      </w:r>
    </w:p>
    <w:p>
      <w:pPr>
        <w:spacing w:after="0" w:line="251" w:lineRule="exact"/>
        <w:rPr>
          <w:sz w:val="20"/>
          <w:szCs w:val="20"/>
          <w:color w:val="auto"/>
        </w:rPr>
      </w:pPr>
    </w:p>
    <w:p>
      <w:pPr>
        <w:ind w:right="400" w:firstLine="374"/>
        <w:spacing w:after="0" w:line="293" w:lineRule="auto"/>
        <w:rPr>
          <w:sz w:val="20"/>
          <w:szCs w:val="20"/>
          <w:color w:val="auto"/>
        </w:rPr>
      </w:pPr>
      <w:r>
        <w:rPr>
          <w:rFonts w:ascii="Arial" w:cs="Arial" w:eastAsia="Arial" w:hAnsi="Arial"/>
          <w:sz w:val="18"/>
          <w:szCs w:val="18"/>
          <w:color w:val="auto"/>
        </w:rPr>
        <w:t>In connection with the filing of the Quarterly Report on Form 10-Q for the quarter ended June 30, 2021 (the “Report”) by Kirby Corporation (the “Company”), each of the undersigned hereby certifies that:</w:t>
      </w:r>
    </w:p>
    <w:p>
      <w:pPr>
        <w:spacing w:after="0" w:line="6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7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David W. Grzebinski</w:t>
      </w:r>
    </w:p>
    <w:p>
      <w:pPr>
        <w:spacing w:after="0" w:line="50"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0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William G. Harvey</w:t>
      </w:r>
    </w:p>
    <w:p>
      <w:pPr>
        <w:spacing w:after="0" w:line="50"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Executive Vice President and</w:t>
      </w:r>
    </w:p>
    <w:p>
      <w:pPr>
        <w:spacing w:after="0" w:line="50"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5"/>
    </w:lvl>
  </w:abstractNum>
  <w:abstractNum w:abstractNumId="5">
    <w:nsid w:val="109CF92E"/>
    <w:multiLevelType w:val="hybridMultilevel"/>
    <w:lvl w:ilvl="0">
      <w:lvlJc w:val="left"/>
      <w:lvlText w:val="(%1)"/>
      <w:numFmt w:val="decimal"/>
      <w:start w:val="6"/>
    </w:lvl>
  </w:abstractNum>
  <w:abstractNum w:abstractNumId="6">
    <w:nsid w:val="DED7263"/>
    <w:multiLevelType w:val="hybridMultilevel"/>
    <w:lvl w:ilvl="0">
      <w:lvlJc w:val="left"/>
      <w:lvlText w:val="(%1)"/>
      <w:numFmt w:val="decimal"/>
      <w:start w:val="7"/>
    </w:lvl>
  </w:abstractNum>
  <w:abstractNum w:abstractNumId="7">
    <w:nsid w:val="7FDCC233"/>
    <w:multiLevelType w:val="hybridMultilevel"/>
    <w:lvl w:ilvl="0">
      <w:lvlJc w:val="left"/>
      <w:lvlText w:val="(%1)"/>
      <w:numFmt w:val="decimal"/>
      <w:start w:val="8"/>
    </w:lvl>
  </w:abstractNum>
  <w:abstractNum w:abstractNumId="8">
    <w:nsid w:val="1BEFD79F"/>
    <w:multiLevelType w:val="hybridMultilevel"/>
    <w:lvl w:ilvl="0">
      <w:lvlJc w:val="left"/>
      <w:lvlText w:val="(%1)"/>
      <w:numFmt w:val="decimal"/>
      <w:start w:val="9"/>
    </w:lvl>
  </w:abstractNum>
  <w:abstractNum w:abstractNumId="9">
    <w:nsid w:val="41A7C4C9"/>
    <w:multiLevelType w:val="hybridMultilevel"/>
    <w:lvl w:ilvl="0">
      <w:lvlJc w:val="left"/>
      <w:lvlText w:val="(%1)"/>
      <w:numFmt w:val="decimal"/>
      <w:start w:val="10"/>
    </w:lvl>
  </w:abstractNum>
  <w:abstractNum w:abstractNumId="10">
    <w:nsid w:val="6B68079A"/>
    <w:multiLevelType w:val="hybridMultilevel"/>
    <w:lvl w:ilvl="0">
      <w:lvlJc w:val="left"/>
      <w:lvlText w:val="(%1)"/>
      <w:numFmt w:val="decimal"/>
      <w:start w:val="12"/>
    </w:lvl>
  </w:abstractNum>
  <w:abstractNum w:abstractNumId="11">
    <w:nsid w:val="4E6AFB66"/>
    <w:multiLevelType w:val="hybridMultilevel"/>
    <w:lvl w:ilvl="0">
      <w:lvlJc w:val="left"/>
      <w:lvlText w:val="(%1)"/>
      <w:numFmt w:val="decimal"/>
      <w:start w:val="13"/>
    </w:lvl>
  </w:abstractNum>
  <w:abstractNum w:abstractNumId="12">
    <w:nsid w:val="25E45D32"/>
    <w:multiLevelType w:val="hybridMultilevel"/>
    <w:lvl w:ilvl="0">
      <w:lvlJc w:val="left"/>
      <w:lvlText w:val="%1"/>
      <w:numFmt w:val="decimal"/>
      <w:start w:val="1"/>
    </w:lvl>
    <w:lvl w:ilvl="1">
      <w:lvlJc w:val="left"/>
      <w:lvlText w:val="(%2)"/>
      <w:numFmt w:val="lowerLetter"/>
      <w:start w:val="1"/>
    </w:lvl>
  </w:abstractNum>
  <w:abstractNum w:abstractNumId="13">
    <w:nsid w:val="519B500D"/>
    <w:multiLevelType w:val="hybridMultilevel"/>
    <w:lvl w:ilvl="0">
      <w:lvlJc w:val="left"/>
      <w:lvlText w:val="(%1)"/>
      <w:numFmt w:val="decimal"/>
      <w:start w:val="14"/>
    </w:lvl>
    <w:lvl w:ilvl="1">
      <w:lvlJc w:val="left"/>
      <w:lvlText w:val="%2"/>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32"/>
    </w:lvl>
  </w:abstractNum>
  <w:abstractNum w:abstractNumId="17">
    <w:nsid w:val="257130A3"/>
    <w:multiLevelType w:val="hybridMultilevel"/>
    <w:lvl w:ilvl="0">
      <w:lvlJc w:val="left"/>
      <w:lvlText w:val="%1"/>
      <w:numFmt w:val="decimal"/>
      <w:start w:val="104"/>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6" Type="http://schemas.openxmlformats.org/officeDocument/2006/relationships/image" Target="media/image394.png"/><Relationship Id="rId407" Type="http://schemas.openxmlformats.org/officeDocument/2006/relationships/image" Target="media/image395.png"/><Relationship Id="rId408" Type="http://schemas.openxmlformats.org/officeDocument/2006/relationships/image" Target="media/image396.png"/><Relationship Id="rId409" Type="http://schemas.openxmlformats.org/officeDocument/2006/relationships/image" Target="media/image397.png"/><Relationship Id="rId410" Type="http://schemas.openxmlformats.org/officeDocument/2006/relationships/image" Target="media/image398.png"/><Relationship Id="rId411" Type="http://schemas.openxmlformats.org/officeDocument/2006/relationships/image" Target="media/image399.png"/><Relationship Id="rId412" Type="http://schemas.openxmlformats.org/officeDocument/2006/relationships/image" Target="media/image400.png"/><Relationship Id="rId413"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6" Type="http://schemas.openxmlformats.org/officeDocument/2006/relationships/image" Target="media/image404.png"/><Relationship Id="rId417" Type="http://schemas.openxmlformats.org/officeDocument/2006/relationships/image" Target="media/image405.png"/><Relationship Id="rId418" Type="http://schemas.openxmlformats.org/officeDocument/2006/relationships/image" Target="media/image406.png"/><Relationship Id="rId419" Type="http://schemas.openxmlformats.org/officeDocument/2006/relationships/image" Target="media/image407.png"/><Relationship Id="rId420" Type="http://schemas.openxmlformats.org/officeDocument/2006/relationships/image" Target="media/image408.png"/><Relationship Id="rId401" Type="http://schemas.openxmlformats.org/officeDocument/2006/relationships/hyperlink" Target="https://www.sec.gov/Archives/edgar/data/56047/000114036115008395/ex3_1.htm" TargetMode="External"/><Relationship Id="rId402" Type="http://schemas.openxmlformats.org/officeDocument/2006/relationships/hyperlink" Target="https://www.sec.gov/Archives/edgar/data/56047/000114036115008395/ex3_2.htm" TargetMode="External"/><Relationship Id="rId403" Type="http://schemas.openxmlformats.org/officeDocument/2006/relationships/hyperlink" Target="https://www.sec.gov/Archives/edgar/data/56047/000114036120006365/ex3_1.htm" TargetMode="External"/><Relationship Id="rId404" Type="http://schemas.openxmlformats.org/officeDocument/2006/relationships/hyperlink" Target="https://www.sec.gov/Archives/edgar/data/56047/000114036121014873/brhc10023780_ex10-1.htm" TargetMode="External"/><Relationship Id="rId405" Type="http://schemas.openxmlformats.org/officeDocument/2006/relationships/hyperlink" Target="https://www.sec.gov/Archives/edgar/data/56047/000114036121014873/brhc10023780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2021-08-05T10:04:56Z</dcterms:created>
  <dcterms:modified xsi:type="dcterms:W3CDTF">2021-08-05T10:04:56Z</dcterms:modified>
</cp:coreProperties>
</file>