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KIRBY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2,237,355.00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2,377,381.75</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2,377,381.75</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9"/>
        <w:gridCol w:w="9081"/>
        <w:gridCol w:w="155"/>
      </w:tblGrid>
      <w:tr>
        <w:trPr/>
        <w:tc>
          <w:tcPr>
            <w:tcW w:w="969" w:type="dxa"/>
            <w:tcBorders/>
            <w:vAlign w:val="center"/>
          </w:tcPr>
          <w:p>
            <w:pPr>
              <w:pStyle w:val="TableContents"/>
              <w:bidi w:val="0"/>
              <w:spacing w:before="0" w:after="283"/>
              <w:jc w:val="left"/>
              <w:rPr/>
            </w:pPr>
            <w:r>
              <w:rPr/>
              <w:t>Item 1.</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issuer: </w:t>
            </w:r>
          </w:p>
          <w:p>
            <w:pPr>
              <w:pStyle w:val="TableContents"/>
              <w:bidi w:val="0"/>
              <w:spacing w:before="0" w:after="0"/>
              <w:jc w:val="left"/>
              <w:rPr/>
            </w:pPr>
            <w:r>
              <w:rPr/>
              <w:t>KIRBY CORPORATION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 WAUGH DRIVE, SUITE 1000, HOUSTON, X1, 77007</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2.</w:t>
            </w:r>
          </w:p>
        </w:tc>
        <w:tc>
          <w:tcPr>
            <w:tcW w:w="908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Name of person filing: </w:t>
            </w:r>
          </w:p>
          <w:p>
            <w:pPr>
              <w:pStyle w:val="TableContents"/>
              <w:bidi w:val="0"/>
              <w:spacing w:before="0" w:after="0"/>
              <w:jc w:val="left"/>
              <w:rPr/>
            </w:pPr>
            <w:r>
              <w:rPr/>
              <w:t>GOLDMAN SACHS ASSET MANAGEMENT</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Goldman Sachs Asset Management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jc w:val="left"/>
              <w:rPr/>
            </w:pPr>
            <w:r>
              <w:rPr/>
              <w:t xml:space="preserve">Citizenship: </w:t>
            </w:r>
          </w:p>
          <w:p>
            <w:pPr>
              <w:pStyle w:val="TableContents"/>
              <w:bidi w:val="0"/>
              <w:spacing w:before="0" w:after="0"/>
              <w:jc w:val="left"/>
              <w:rPr/>
            </w:pPr>
            <w:r>
              <w:rPr/>
              <w:t>GOLDMAN SACHS ASSET MANAGEMENT, L.P. - Delaware</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3.</w:t>
            </w:r>
          </w:p>
        </w:tc>
        <w:tc>
          <w:tcPr>
            <w:tcW w:w="908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(d)</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(e)</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(f)</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(g)</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(h)</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(j)</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(k)</w:t>
            </w:r>
          </w:p>
        </w:tc>
        <w:tc>
          <w:tcPr>
            <w:tcW w:w="908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236" w:type="dxa"/>
            <w:gridSpan w:val="2"/>
            <w:tcBorders/>
            <w:vAlign w:val="center"/>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4.</w:t>
            </w:r>
          </w:p>
        </w:tc>
        <w:tc>
          <w:tcPr>
            <w:tcW w:w="908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(a)</w:t>
            </w:r>
          </w:p>
        </w:tc>
        <w:tc>
          <w:tcPr>
            <w:tcW w:w="908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(b)</w:t>
            </w:r>
          </w:p>
        </w:tc>
        <w:tc>
          <w:tcPr>
            <w:tcW w:w="908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(c)</w:t>
            </w:r>
          </w:p>
        </w:tc>
        <w:tc>
          <w:tcPr>
            <w:tcW w:w="908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5.</w:t>
            </w:r>
          </w:p>
        </w:tc>
        <w:tc>
          <w:tcPr>
            <w:tcW w:w="908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6.</w:t>
            </w:r>
          </w:p>
        </w:tc>
        <w:tc>
          <w:tcPr>
            <w:tcW w:w="908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7.</w:t>
            </w:r>
          </w:p>
        </w:tc>
        <w:tc>
          <w:tcPr>
            <w:tcW w:w="908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8.</w:t>
            </w:r>
          </w:p>
        </w:tc>
        <w:tc>
          <w:tcPr>
            <w:tcW w:w="908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Item 9.</w:t>
            </w:r>
          </w:p>
        </w:tc>
        <w:tc>
          <w:tcPr>
            <w:tcW w:w="908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9" w:type="dxa"/>
            <w:tcBorders/>
            <w:vAlign w:val="center"/>
          </w:tcPr>
          <w:p>
            <w:pPr>
              <w:pStyle w:val="TableContents"/>
              <w:bidi w:val="0"/>
              <w:spacing w:before="0" w:after="283"/>
              <w:jc w:val="left"/>
              <w:rPr/>
            </w:pPr>
            <w:r>
              <w:rPr/>
              <w:t> </w:t>
            </w:r>
          </w:p>
        </w:tc>
        <w:tc>
          <w:tcPr>
            <w:tcW w:w="908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472" w:type="dxa"/>
        <w:jc w:val="left"/>
        <w:tblInd w:w="0" w:type="dxa"/>
        <w:tblLayout w:type="fixed"/>
        <w:tblCellMar>
          <w:top w:w="28" w:type="dxa"/>
          <w:left w:w="28" w:type="dxa"/>
          <w:bottom w:w="28" w:type="dxa"/>
          <w:right w:w="28" w:type="dxa"/>
        </w:tblCellMar>
      </w:tblPr>
      <w:tblGrid>
        <w:gridCol w:w="4236"/>
        <w:gridCol w:w="4236"/>
      </w:tblGrid>
      <w:tr>
        <w:trPr/>
        <w:tc>
          <w:tcPr>
            <w:tcW w:w="4236" w:type="dxa"/>
            <w:tcBorders/>
            <w:vAlign w:val="center"/>
          </w:tcPr>
          <w:p>
            <w:pPr>
              <w:pStyle w:val="TableContents"/>
              <w:bidi w:val="0"/>
              <w:spacing w:before="0" w:after="0"/>
              <w:jc w:val="left"/>
              <w:rPr/>
            </w:pPr>
            <w:r>
              <w:rPr/>
              <w:t> </w:t>
            </w:r>
          </w:p>
          <w:tbl>
            <w:tblPr>
              <w:tblW w:w="4066" w:type="dxa"/>
              <w:jc w:val="left"/>
              <w:tblInd w:w="0" w:type="dxa"/>
              <w:tblLayout w:type="fixed"/>
              <w:tblCellMar>
                <w:top w:w="28" w:type="dxa"/>
                <w:left w:w="28" w:type="dxa"/>
                <w:bottom w:w="28" w:type="dxa"/>
                <w:right w:w="28" w:type="dxa"/>
              </w:tblCellMar>
            </w:tblPr>
            <w:tblGrid>
              <w:gridCol w:w="4066"/>
            </w:tblGrid>
            <w:tr>
              <w:trPr/>
              <w:tc>
                <w:tcPr>
                  <w:tcW w:w="4066" w:type="dxa"/>
                  <w:tcBorders/>
                  <w:vAlign w:val="center"/>
                </w:tcPr>
                <w:p>
                  <w:pPr>
                    <w:pStyle w:val="TableContents"/>
                    <w:bidi w:val="0"/>
                    <w:spacing w:before="0" w:after="0"/>
                    <w:jc w:val="left"/>
                    <w:rPr/>
                  </w:pPr>
                  <w:r>
                    <w:rPr/>
                    <w:t>Goldman Sachs Asset Management, L.P.</w:t>
                  </w:r>
                </w:p>
              </w:tc>
            </w:tr>
          </w:tbl>
          <w:p>
            <w:pPr>
              <w:pStyle w:val="TableContents"/>
              <w:bidi w:val="0"/>
              <w:spacing w:before="0" w:after="283"/>
              <w:jc w:val="left"/>
              <w:rPr/>
            </w:pPr>
            <w:r>
              <w:rPr/>
            </w:r>
          </w:p>
        </w:tc>
        <w:tc>
          <w:tcPr>
            <w:tcW w:w="4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Sam Prashanth</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07/17/2026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Common Stock, of KIRBY CORPORATION and further agree to the filing of this agreement as an Exhibit thereto. In addition, each party to this Agreement expressly authorizes each other party to this Agreement to file on its behalf any and all amendments to such Statement on Schedule 13G. Date: 07/17/2026 GOLDMAN SACHS ASSET MANAGEMENT, L.P. By:/s/ Sam Prashanth ---------------------------------------- Name: Sam Prashanth Title: Attorney-in-fact "EXHIBIT (99.2)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16" w:name="POA13G-1566830_20260717.txt"/>
      <w:bookmarkStart w:id="17" w:name="ksPOA13G1566830_20260717"/>
      <w:bookmarkEnd w:id="16"/>
      <w:bookmarkEnd w:id="17"/>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GOLDMAN SACHS ASSET MANAGEMENT, L.P. (the</w:t>
      </w:r>
    </w:p>
    <w:p>
      <w:pPr>
        <w:pStyle w:val="PreformattedText"/>
        <w:bidi w:val="0"/>
        <w:spacing w:before="0" w:after="0"/>
        <w:jc w:val="left"/>
        <w:rPr/>
      </w:pPr>
      <w:r>
        <w:rPr/>
        <w:t>"Company") does hereby make, constitute and appoint each of Sadhiya Raffique,</w:t>
      </w:r>
    </w:p>
    <w:p>
      <w:pPr>
        <w:pStyle w:val="PreformattedText"/>
        <w:bidi w:val="0"/>
        <w:spacing w:before="0" w:after="0"/>
        <w:jc w:val="left"/>
        <w:rPr/>
      </w:pPr>
      <w:r>
        <w:rPr/>
        <w:t>Santosh Vinayagamoorthy, D Guru Prasad, Tobi Amusan, Akash Keshari, Papa Lette,</w:t>
      </w:r>
    </w:p>
    <w:p>
      <w:pPr>
        <w:pStyle w:val="PreformattedText"/>
        <w:bidi w:val="0"/>
        <w:spacing w:before="0" w:after="0"/>
        <w:jc w:val="left"/>
        <w:rPr/>
      </w:pPr>
      <w:r>
        <w:rPr/>
        <w:t>Andrzej Szyszka, Rahail Patel, Taiki Misu, Regina Chan, Abhilasha Bareja,</w:t>
      </w:r>
    </w:p>
    <w:p>
      <w:pPr>
        <w:pStyle w:val="PreformattedText"/>
        <w:bidi w:val="0"/>
        <w:spacing w:before="0" w:after="0"/>
        <w:jc w:val="left"/>
        <w:rPr/>
      </w:pPr>
      <w:r>
        <w:rPr/>
        <w:t>Veronica Mupazviriwo, Sam Prashanth, Ameen Soetan, Abhishek Vishwanathan,</w:t>
      </w:r>
    </w:p>
    <w:p>
      <w:pPr>
        <w:pStyle w:val="PreformattedText"/>
        <w:bidi w:val="0"/>
        <w:spacing w:before="0" w:after="0"/>
        <w:jc w:val="left"/>
        <w:rPr/>
      </w:pPr>
      <w:r>
        <w:rPr/>
        <w:t>Elizabeth Novak and Matthew Pomfret (each, an "attorney-in-fact"), acting</w:t>
      </w:r>
    </w:p>
    <w:p>
      <w:pPr>
        <w:pStyle w:val="PreformattedText"/>
        <w:bidi w:val="0"/>
        <w:spacing w:before="0" w:after="0"/>
        <w:jc w:val="left"/>
        <w:rPr/>
      </w:pPr>
      <w:r>
        <w:rPr/>
        <w:t>individually, its true and  lawful attorney, to execute and deliver in its</w:t>
      </w:r>
    </w:p>
    <w:p>
      <w:pPr>
        <w:pStyle w:val="PreformattedText"/>
        <w:bidi w:val="0"/>
        <w:spacing w:before="0" w:after="0"/>
        <w:jc w:val="left"/>
        <w:rPr/>
      </w:pPr>
      <w:r>
        <w:rPr/>
        <w:t>name and on its behalf whether the Company is acting individually or as</w:t>
      </w:r>
    </w:p>
    <w:p>
      <w:pPr>
        <w:pStyle w:val="PreformattedText"/>
        <w:bidi w:val="0"/>
        <w:spacing w:before="0" w:after="0"/>
        <w:jc w:val="left"/>
        <w:rPr/>
      </w:pPr>
      <w:r>
        <w:rPr/>
        <w:t>representative of others, any and all filings required to be made by the</w:t>
      </w:r>
    </w:p>
    <w:p>
      <w:pPr>
        <w:pStyle w:val="PreformattedText"/>
        <w:bidi w:val="0"/>
        <w:spacing w:before="0" w:after="0"/>
        <w:jc w:val="left"/>
        <w:rPr/>
      </w:pPr>
      <w:r>
        <w:rPr/>
        <w:t>Company under the Securities Exchange Act of 1934, (as amended, the "Act"),</w:t>
      </w:r>
    </w:p>
    <w:p>
      <w:pPr>
        <w:pStyle w:val="PreformattedText"/>
        <w:bidi w:val="0"/>
        <w:spacing w:before="0" w:after="0"/>
        <w:jc w:val="left"/>
        <w:rPr/>
      </w:pPr>
      <w:r>
        <w:rPr/>
        <w:t>with respect to securities which may be deemed to be beneficially owned</w:t>
      </w:r>
    </w:p>
    <w:p>
      <w:pPr>
        <w:pStyle w:val="PreformattedText"/>
        <w:bidi w:val="0"/>
        <w:spacing w:before="0" w:after="0"/>
        <w:jc w:val="left"/>
        <w:rPr/>
      </w:pPr>
      <w:r>
        <w:rPr/>
        <w:t>by the Company under the Act, giving and granting unto  each said attorney-in-</w:t>
      </w:r>
    </w:p>
    <w:p>
      <w:pPr>
        <w:pStyle w:val="PreformattedText"/>
        <w:bidi w:val="0"/>
        <w:spacing w:before="0" w:after="0"/>
        <w:jc w:val="left"/>
        <w:rPr/>
      </w:pPr>
      <w:r>
        <w:rPr/>
        <w:t>fact power and authority to act in the premises as fully and to all intents and</w:t>
      </w:r>
    </w:p>
    <w:p>
      <w:pPr>
        <w:pStyle w:val="PreformattedText"/>
        <w:bidi w:val="0"/>
        <w:spacing w:before="0" w:after="0"/>
        <w:jc w:val="left"/>
        <w:rPr/>
      </w:pPr>
      <w:r>
        <w:rPr/>
        <w:t>purposes as the Company might or could do if personally present by one of its</w:t>
      </w:r>
    </w:p>
    <w:p>
      <w:pPr>
        <w:pStyle w:val="PreformattedText"/>
        <w:bidi w:val="0"/>
        <w:spacing w:before="0" w:after="0"/>
        <w:jc w:val="left"/>
        <w:rPr/>
      </w:pPr>
      <w:r>
        <w:rPr/>
        <w:t>authorized signatories, hereby ratifying and confirming all that said attorney-</w:t>
      </w:r>
    </w:p>
    <w:p>
      <w:pPr>
        <w:pStyle w:val="PreformattedText"/>
        <w:bidi w:val="0"/>
        <w:spacing w:before="0" w:after="0"/>
        <w:jc w:val="left"/>
        <w:rPr/>
      </w:pPr>
      <w:r>
        <w:rPr/>
        <w:t>in-fact shall lawfully do or cause to be done by virtue hereof.</w:t>
      </w:r>
    </w:p>
    <w:p>
      <w:pPr>
        <w:pStyle w:val="PreformattedText"/>
        <w:bidi w:val="0"/>
        <w:spacing w:before="0" w:after="0"/>
        <w:jc w:val="left"/>
        <w:rPr/>
      </w:pPr>
      <w:r>
        <w:rPr/>
      </w:r>
    </w:p>
    <w:p>
      <w:pPr>
        <w:pStyle w:val="PreformattedText"/>
        <w:bidi w:val="0"/>
        <w:spacing w:before="0" w:after="0"/>
        <w:jc w:val="left"/>
        <w:rPr/>
      </w:pPr>
      <w:r>
        <w:rPr/>
        <w:t>THIS POWER OF ATTORNEY shall take effect on July 2, 2026 and remain in full</w:t>
      </w:r>
    </w:p>
    <w:p>
      <w:pPr>
        <w:pStyle w:val="PreformattedText"/>
        <w:bidi w:val="0"/>
        <w:spacing w:before="0" w:after="0"/>
        <w:jc w:val="left"/>
        <w:rPr/>
      </w:pPr>
      <w:r>
        <w:rPr/>
        <w:t>force and effect until the earlier of (i) July 2, 2027 and (ii) such time that</w:t>
      </w:r>
    </w:p>
    <w:p>
      <w:pPr>
        <w:pStyle w:val="PreformattedText"/>
        <w:bidi w:val="0"/>
        <w:spacing w:before="0" w:after="0"/>
        <w:jc w:val="left"/>
        <w:rPr/>
      </w:pPr>
      <w:r>
        <w:rPr/>
        <w:t>it is revoked in writing; provided that in the event an attorney-in-fact ceases</w:t>
      </w:r>
    </w:p>
    <w:p>
      <w:pPr>
        <w:pStyle w:val="PreformattedText"/>
        <w:bidi w:val="0"/>
        <w:spacing w:before="0" w:after="0"/>
        <w:jc w:val="left"/>
        <w:rPr/>
      </w:pPr>
      <w:r>
        <w:rPr/>
        <w:t>to be an employee of The Goldman Sachs Group, Inc. or one of its affiliates or</w:t>
      </w:r>
    </w:p>
    <w:p>
      <w:pPr>
        <w:pStyle w:val="PreformattedText"/>
        <w:bidi w:val="0"/>
        <w:spacing w:before="0" w:after="0"/>
        <w:jc w:val="left"/>
        <w:rPr/>
      </w:pPr>
      <w:r>
        <w:rPr/>
        <w:t>ceases to perform the function in connection with which he/she was appointed</w:t>
      </w:r>
    </w:p>
    <w:p>
      <w:pPr>
        <w:pStyle w:val="PreformattedText"/>
        <w:bidi w:val="0"/>
        <w:spacing w:before="0" w:after="0"/>
        <w:jc w:val="left"/>
        <w:rPr/>
      </w:pPr>
      <w:r>
        <w:rPr/>
        <w:t>attorney-in-fact prior to such time, this Power of Attorney shall cease to have</w:t>
      </w:r>
    </w:p>
    <w:p>
      <w:pPr>
        <w:pStyle w:val="PreformattedText"/>
        <w:bidi w:val="0"/>
        <w:spacing w:before="0" w:after="0"/>
        <w:jc w:val="left"/>
        <w:rPr/>
      </w:pPr>
      <w:r>
        <w:rPr/>
        <w:t>effect in relation to such Attorney-in-Fact upon such cessation but shall</w:t>
      </w:r>
    </w:p>
    <w:p>
      <w:pPr>
        <w:pStyle w:val="PreformattedText"/>
        <w:bidi w:val="0"/>
        <w:spacing w:before="0" w:after="0"/>
        <w:jc w:val="left"/>
        <w:rPr/>
      </w:pPr>
      <w:r>
        <w:rPr/>
        <w:t>continue in full force and effect in relation to any remaining attorneys-in-</w:t>
      </w:r>
    </w:p>
    <w:p>
      <w:pPr>
        <w:pStyle w:val="PreformattedText"/>
        <w:bidi w:val="0"/>
        <w:spacing w:before="0" w:after="0"/>
        <w:jc w:val="left"/>
        <w:rPr/>
      </w:pPr>
      <w:r>
        <w:rPr/>
        <w:t>fact. The Company has the unrestricted right unilaterally to revoke this Power</w:t>
      </w:r>
    </w:p>
    <w:p>
      <w:pPr>
        <w:pStyle w:val="PreformattedText"/>
        <w:bidi w:val="0"/>
        <w:spacing w:before="0" w:after="0"/>
        <w:jc w:val="left"/>
        <w:rPr/>
      </w:pPr>
      <w:r>
        <w:rPr/>
        <w:t>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ASSET MANAGEMENT, L.P.</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1460</Words>
  <Characters>7689</Characters>
  <CharactersWithSpaces>9110</CharactersWithSpaces>
  <Paragraphs>201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