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spacing w:after="0"/>
        <w:rPr>
          <w:sz w:val="24"/>
          <w:szCs w:val="24"/>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 w:lineRule="exact"/>
        <w:rPr>
          <w:sz w:val="24"/>
          <w:szCs w:val="24"/>
          <w:color w:val="auto"/>
        </w:rPr>
      </w:pPr>
    </w:p>
    <w:p>
      <w:pPr>
        <w:spacing w:after="0"/>
        <w:rPr>
          <w:sz w:val="24"/>
          <w:szCs w:val="24"/>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3" w:lineRule="exact"/>
        <w:rPr>
          <w:sz w:val="24"/>
          <w:szCs w:val="24"/>
          <w:color w:val="auto"/>
        </w:rPr>
      </w:pPr>
    </w:p>
    <w:p>
      <w:pPr>
        <w:ind w:left="4340"/>
        <w:spacing w:after="0"/>
        <w:tabs>
          <w:tab w:leader="none" w:pos="67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68"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Commission File Number: 1-7615</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KIRBY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0"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74-1884980</w:t>
            </w:r>
          </w:p>
        </w:tc>
        <w:tc>
          <w:tcPr>
            <w:tcW w:w="0" w:type="dxa"/>
            <w:vAlign w:val="bottom"/>
          </w:tcPr>
          <w:p>
            <w:pPr>
              <w:spacing w:after="0"/>
              <w:rPr>
                <w:sz w:val="1"/>
                <w:szCs w:val="1"/>
                <w:color w:val="auto"/>
              </w:rPr>
            </w:pPr>
          </w:p>
        </w:tc>
      </w:tr>
      <w:tr>
        <w:trPr>
          <w:trHeight w:val="261"/>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48"/>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55 Waugh Drive, Suite 1000</w:t>
            </w:r>
          </w:p>
        </w:tc>
        <w:tc>
          <w:tcPr>
            <w:tcW w:w="3760" w:type="dxa"/>
            <w:vAlign w:val="bottom"/>
            <w:vMerge w:val="restart"/>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7"/>
              </w:rPr>
              <w:t>77007</w:t>
            </w:r>
          </w:p>
        </w:tc>
        <w:tc>
          <w:tcPr>
            <w:tcW w:w="0" w:type="dxa"/>
            <w:vAlign w:val="bottom"/>
          </w:tcPr>
          <w:p>
            <w:pPr>
              <w:spacing w:after="0"/>
              <w:rPr>
                <w:sz w:val="1"/>
                <w:szCs w:val="1"/>
                <w:color w:val="auto"/>
              </w:rPr>
            </w:pPr>
          </w:p>
        </w:tc>
      </w:tr>
      <w:tr>
        <w:trPr>
          <w:trHeight w:val="220"/>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Houston, TX</w:t>
            </w:r>
          </w:p>
        </w:tc>
        <w:tc>
          <w:tcPr>
            <w:tcW w:w="3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713-435-1000</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Change</w:t>
      </w:r>
    </w:p>
    <w:p>
      <w:pPr>
        <w:spacing w:after="0" w:line="20"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3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35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KEX</w:t>
            </w:r>
          </w:p>
        </w:tc>
        <w:tc>
          <w:tcPr>
            <w:tcW w:w="43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63" w:lineRule="exact"/>
        <w:rPr>
          <w:sz w:val="24"/>
          <w:szCs w:val="24"/>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156" w:lineRule="exact"/>
        <w:rPr>
          <w:sz w:val="24"/>
          <w:szCs w:val="24"/>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No</w:t>
      </w:r>
    </w:p>
    <w:p>
      <w:pPr>
        <w:spacing w:after="0" w:line="156" w:lineRule="exact"/>
        <w:rPr>
          <w:sz w:val="24"/>
          <w:szCs w:val="24"/>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spacing w:after="0"/>
              <w:rPr>
                <w:sz w:val="18"/>
                <w:szCs w:val="18"/>
                <w:color w:val="auto"/>
              </w:rPr>
            </w:pP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spacing w:after="0"/>
              <w:rPr>
                <w:sz w:val="18"/>
                <w:szCs w:val="18"/>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spacing w:after="0"/>
              <w:rPr>
                <w:sz w:val="18"/>
                <w:szCs w:val="18"/>
                <w:color w:val="auto"/>
              </w:rPr>
            </w:pP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spacing w:after="0"/>
              <w:rPr>
                <w:sz w:val="20"/>
                <w:szCs w:val="20"/>
                <w:color w:val="auto"/>
              </w:rPr>
            </w:pPr>
          </w:p>
        </w:tc>
      </w:tr>
    </w:tbl>
    <w:p>
      <w:pPr>
        <w:spacing w:after="0" w:line="7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spacing w:after="0"/>
        <w:tabs>
          <w:tab w:leader="none" w:pos="87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w:t>
        <w:tab/>
        <w:t>No</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6, 2022, 60.3 million shares of the Registrant’s $0.10 par value per share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756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1.</w:t>
            </w: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560" w:type="dxa"/>
            <w:vAlign w:val="bottom"/>
          </w:tcPr>
          <w:p>
            <w:pPr>
              <w:spacing w:after="0"/>
              <w:rPr>
                <w:sz w:val="21"/>
                <w:szCs w:val="21"/>
                <w:color w:val="auto"/>
              </w:rPr>
            </w:pPr>
          </w:p>
        </w:tc>
        <w:tc>
          <w:tcPr>
            <w:tcW w:w="7820" w:type="dxa"/>
            <w:vAlign w:val="bottom"/>
            <w:gridSpan w:val="2"/>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KIRBY CORPORATION AND CONSOLIDATED SUBSIDIARIES</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3"/>
        </w:trPr>
        <w:tc>
          <w:tcPr>
            <w:tcW w:w="560" w:type="dxa"/>
            <w:vAlign w:val="bottom"/>
          </w:tcPr>
          <w:p>
            <w:pPr>
              <w:spacing w:after="0"/>
              <w:rPr>
                <w:sz w:val="17"/>
                <w:szCs w:val="17"/>
                <w:color w:val="auto"/>
              </w:rPr>
            </w:pPr>
          </w:p>
        </w:tc>
        <w:tc>
          <w:tcPr>
            <w:tcW w:w="7560" w:type="dxa"/>
            <w:vAlign w:val="bottom"/>
          </w:tcPr>
          <w:p>
            <w:pPr>
              <w:jc w:val="center"/>
              <w:ind w:left="24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560" w:type="dxa"/>
            <w:vAlign w:val="bottom"/>
          </w:tcPr>
          <w:p>
            <w:pPr>
              <w:spacing w:after="0"/>
              <w:rPr>
                <w:sz w:val="20"/>
                <w:szCs w:val="20"/>
                <w:color w:val="auto"/>
              </w:rPr>
            </w:pPr>
          </w:p>
        </w:tc>
        <w:tc>
          <w:tcPr>
            <w:tcW w:w="756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6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56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 in</w:t>
            </w:r>
          </w:p>
        </w:tc>
        <w:tc>
          <w:tcPr>
            <w:tcW w:w="1620" w:type="dxa"/>
            <w:vAlign w:val="bottom"/>
            <w:gridSpan w:val="3"/>
          </w:tcPr>
          <w:p>
            <w:pPr>
              <w:jc w:val="center"/>
              <w:ind w:right="931"/>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100" w:type="dxa"/>
            <w:vAlign w:val="bottom"/>
          </w:tcPr>
          <w:p>
            <w:pPr>
              <w:spacing w:after="0"/>
              <w:rPr>
                <w:sz w:val="14"/>
                <w:szCs w:val="14"/>
                <w:color w:val="auto"/>
              </w:rPr>
            </w:pPr>
          </w:p>
        </w:tc>
      </w:tr>
      <w:tr>
        <w:trPr>
          <w:trHeight w:val="216"/>
        </w:trPr>
        <w:tc>
          <w:tcPr>
            <w:tcW w:w="560" w:type="dxa"/>
            <w:vAlign w:val="bottom"/>
            <w:shd w:val="clear" w:color="auto" w:fill="CFF0FC"/>
          </w:tcPr>
          <w:p>
            <w:pPr>
              <w:spacing w:after="0"/>
              <w:rPr>
                <w:sz w:val="18"/>
                <w:szCs w:val="18"/>
                <w:color w:val="auto"/>
              </w:rPr>
            </w:pPr>
          </w:p>
        </w:tc>
        <w:tc>
          <w:tcPr>
            <w:tcW w:w="756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Trade – less allowance for doubtful accounts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420,823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417,958</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149,964</w:t>
            </w:r>
          </w:p>
        </w:tc>
        <w:tc>
          <w:tcPr>
            <w:tcW w:w="100" w:type="dxa"/>
            <w:vAlign w:val="bottom"/>
          </w:tcPr>
          <w:p>
            <w:pPr>
              <w:spacing w:after="0"/>
              <w:rPr>
                <w:sz w:val="18"/>
                <w:szCs w:val="18"/>
                <w:color w:val="auto"/>
              </w:rPr>
            </w:pPr>
          </w:p>
        </w:tc>
      </w:tr>
      <w:tr>
        <w:trPr>
          <w:trHeight w:val="216"/>
        </w:trPr>
        <w:tc>
          <w:tcPr>
            <w:tcW w:w="8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 net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360,457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331,350</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75,896</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69,780</w:t>
            </w:r>
          </w:p>
        </w:tc>
        <w:tc>
          <w:tcPr>
            <w:tcW w:w="100" w:type="dxa"/>
            <w:vAlign w:val="bottom"/>
          </w:tcPr>
          <w:p>
            <w:pPr>
              <w:spacing w:after="0"/>
              <w:rPr>
                <w:sz w:val="18"/>
                <w:szCs w:val="18"/>
                <w:color w:val="auto"/>
              </w:rPr>
            </w:pPr>
          </w:p>
        </w:tc>
      </w:tr>
      <w:tr>
        <w:trPr>
          <w:trHeight w:val="210"/>
        </w:trPr>
        <w:tc>
          <w:tcPr>
            <w:tcW w:w="560" w:type="dxa"/>
            <w:vAlign w:val="bottom"/>
            <w:tcBorders>
              <w:bottom w:val="single" w:sz="8" w:color="CFF0FC"/>
            </w:tcBorders>
            <w:shd w:val="clear" w:color="auto" w:fill="CFF0FC"/>
          </w:tcPr>
          <w:p>
            <w:pPr>
              <w:spacing w:after="0"/>
              <w:rPr>
                <w:sz w:val="18"/>
                <w:szCs w:val="18"/>
                <w:color w:val="auto"/>
              </w:rPr>
            </w:pPr>
          </w:p>
        </w:tc>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1,015,331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1,003,865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15"/>
        </w:trPr>
        <w:tc>
          <w:tcPr>
            <w:tcW w:w="812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5,391,988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5,392,851</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18"/>
                <w:szCs w:val="18"/>
                <w:color w:val="auto"/>
              </w:rPr>
            </w:pPr>
          </w:p>
        </w:tc>
        <w:tc>
          <w:tcPr>
            <w:tcW w:w="1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(1,731,674 )</w:t>
            </w: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(1,714,336 )</w:t>
            </w:r>
          </w:p>
        </w:tc>
      </w:tr>
      <w:tr>
        <w:trPr>
          <w:trHeight w:val="209"/>
        </w:trPr>
        <w:tc>
          <w:tcPr>
            <w:tcW w:w="812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3,660,314</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3,678,515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15"/>
        </w:trPr>
        <w:tc>
          <w:tcPr>
            <w:tcW w:w="812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164,986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167,730</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100" w:type="dxa"/>
            <w:vAlign w:val="bottom"/>
          </w:tcPr>
          <w:p>
            <w:pPr>
              <w:spacing w:after="0"/>
              <w:rPr>
                <w:sz w:val="18"/>
                <w:szCs w:val="18"/>
                <w:color w:val="auto"/>
              </w:rPr>
            </w:pPr>
          </w:p>
        </w:tc>
      </w:tr>
      <w:tr>
        <w:trPr>
          <w:trHeight w:val="216"/>
        </w:trPr>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57,934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60,070</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50,135</w:t>
            </w:r>
          </w:p>
        </w:tc>
        <w:tc>
          <w:tcPr>
            <w:tcW w:w="100" w:type="dxa"/>
            <w:vAlign w:val="bottom"/>
          </w:tcPr>
          <w:p>
            <w:pPr>
              <w:spacing w:after="0"/>
              <w:rPr>
                <w:sz w:val="18"/>
                <w:szCs w:val="18"/>
                <w:color w:val="auto"/>
              </w:rPr>
            </w:pPr>
          </w:p>
        </w:tc>
      </w:tr>
      <w:tr>
        <w:trPr>
          <w:trHeight w:val="249"/>
        </w:trPr>
        <w:tc>
          <w:tcPr>
            <w:tcW w:w="560" w:type="dxa"/>
            <w:vAlign w:val="bottom"/>
            <w:tcBorders>
              <w:bottom w:val="single" w:sz="8" w:color="CFF0FC"/>
            </w:tcBorders>
            <w:shd w:val="clear" w:color="auto" w:fill="CFF0FC"/>
          </w:tcPr>
          <w:p>
            <w:pPr>
              <w:spacing w:after="0"/>
              <w:rPr>
                <w:sz w:val="21"/>
                <w:szCs w:val="21"/>
                <w:color w:val="auto"/>
              </w:rPr>
            </w:pPr>
          </w:p>
        </w:tc>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5,382,792</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02"/>
        </w:trPr>
        <w:tc>
          <w:tcPr>
            <w:tcW w:w="560" w:type="dxa"/>
            <w:vAlign w:val="bottom"/>
          </w:tcPr>
          <w:p>
            <w:pPr>
              <w:spacing w:after="0"/>
              <w:rPr>
                <w:sz w:val="8"/>
                <w:szCs w:val="8"/>
                <w:color w:val="auto"/>
              </w:rPr>
            </w:pPr>
          </w:p>
        </w:tc>
        <w:tc>
          <w:tcPr>
            <w:tcW w:w="7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60" w:type="dxa"/>
            <w:vAlign w:val="bottom"/>
            <w:shd w:val="clear" w:color="auto" w:fill="CFF0FC"/>
          </w:tcPr>
          <w:p>
            <w:pPr>
              <w:spacing w:after="0"/>
              <w:rPr>
                <w:sz w:val="18"/>
                <w:szCs w:val="18"/>
                <w:color w:val="auto"/>
              </w:rPr>
            </w:pPr>
          </w:p>
        </w:tc>
        <w:tc>
          <w:tcPr>
            <w:tcW w:w="7560" w:type="dxa"/>
            <w:vAlign w:val="bottom"/>
            <w:shd w:val="clear" w:color="auto" w:fill="CFF0FC"/>
          </w:tcPr>
          <w:p>
            <w:pPr>
              <w:ind w:left="14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Bank notes payable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218,907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199,088</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236,078</w:t>
            </w:r>
          </w:p>
        </w:tc>
        <w:tc>
          <w:tcPr>
            <w:tcW w:w="100" w:type="dxa"/>
            <w:vAlign w:val="bottom"/>
          </w:tcPr>
          <w:p>
            <w:pPr>
              <w:spacing w:after="0"/>
              <w:rPr>
                <w:sz w:val="18"/>
                <w:szCs w:val="18"/>
                <w:color w:val="auto"/>
              </w:rPr>
            </w:pPr>
          </w:p>
        </w:tc>
      </w:tr>
      <w:tr>
        <w:trPr>
          <w:trHeight w:val="216"/>
        </w:trPr>
        <w:tc>
          <w:tcPr>
            <w:tcW w:w="8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33,902</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68,982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72,770</w:t>
            </w:r>
          </w:p>
        </w:tc>
        <w:tc>
          <w:tcPr>
            <w:tcW w:w="100" w:type="dxa"/>
            <w:vAlign w:val="bottom"/>
          </w:tcPr>
          <w:p>
            <w:pPr>
              <w:spacing w:after="0"/>
              <w:rPr>
                <w:sz w:val="18"/>
                <w:szCs w:val="18"/>
                <w:color w:val="auto"/>
              </w:rPr>
            </w:pPr>
          </w:p>
        </w:tc>
      </w:tr>
      <w:tr>
        <w:trPr>
          <w:trHeight w:val="209"/>
        </w:trPr>
        <w:tc>
          <w:tcPr>
            <w:tcW w:w="560" w:type="dxa"/>
            <w:vAlign w:val="bottom"/>
            <w:tcBorders>
              <w:bottom w:val="single" w:sz="8" w:color="CFF0FC"/>
            </w:tcBorders>
            <w:shd w:val="clear" w:color="auto" w:fill="CFF0FC"/>
          </w:tcPr>
          <w:p>
            <w:pPr>
              <w:spacing w:after="0"/>
              <w:rPr>
                <w:sz w:val="18"/>
                <w:szCs w:val="18"/>
                <w:color w:val="auto"/>
              </w:rPr>
            </w:pPr>
          </w:p>
        </w:tc>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513,835</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543,772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15"/>
        </w:trPr>
        <w:tc>
          <w:tcPr>
            <w:tcW w:w="812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1,151,638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1,161,433</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574,152</w:t>
            </w:r>
          </w:p>
        </w:tc>
        <w:tc>
          <w:tcPr>
            <w:tcW w:w="100" w:type="dxa"/>
            <w:vAlign w:val="bottom"/>
          </w:tcPr>
          <w:p>
            <w:pPr>
              <w:spacing w:after="0"/>
              <w:rPr>
                <w:sz w:val="18"/>
                <w:szCs w:val="18"/>
                <w:color w:val="auto"/>
              </w:rPr>
            </w:pPr>
          </w:p>
        </w:tc>
      </w:tr>
      <w:tr>
        <w:trPr>
          <w:trHeight w:val="216"/>
        </w:trPr>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156,271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159,672</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69,169</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100" w:type="dxa"/>
            <w:vAlign w:val="bottom"/>
          </w:tcPr>
          <w:p>
            <w:pPr>
              <w:spacing w:after="0"/>
              <w:rPr>
                <w:sz w:val="18"/>
                <w:szCs w:val="18"/>
                <w:color w:val="auto"/>
              </w:rPr>
            </w:pPr>
          </w:p>
        </w:tc>
      </w:tr>
      <w:tr>
        <w:trPr>
          <w:trHeight w:val="209"/>
        </w:trPr>
        <w:tc>
          <w:tcPr>
            <w:tcW w:w="560" w:type="dxa"/>
            <w:vAlign w:val="bottom"/>
            <w:tcBorders>
              <w:bottom w:val="single" w:sz="8" w:color="CFF0FC"/>
            </w:tcBorders>
            <w:shd w:val="clear" w:color="auto" w:fill="CFF0FC"/>
          </w:tcPr>
          <w:p>
            <w:pPr>
              <w:spacing w:after="0"/>
              <w:rPr>
                <w:sz w:val="18"/>
                <w:szCs w:val="18"/>
                <w:color w:val="auto"/>
              </w:rPr>
            </w:pPr>
          </w:p>
        </w:tc>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1,957,092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1,966,509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15"/>
        </w:trPr>
        <w:tc>
          <w:tcPr>
            <w:tcW w:w="812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spacing w:after="0"/>
              <w:rPr>
                <w:sz w:val="10"/>
                <w:szCs w:val="10"/>
                <w:color w:val="auto"/>
              </w:rPr>
            </w:pPr>
          </w:p>
        </w:tc>
      </w:tr>
      <w:tr>
        <w:trPr>
          <w:trHeight w:val="216"/>
        </w:trPr>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Contingencies and commitments</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21"/>
        </w:trPr>
        <w:tc>
          <w:tcPr>
            <w:tcW w:w="560" w:type="dxa"/>
            <w:vAlign w:val="bottom"/>
          </w:tcPr>
          <w:p>
            <w:pPr>
              <w:spacing w:after="0"/>
              <w:rPr>
                <w:sz w:val="10"/>
                <w:szCs w:val="10"/>
                <w:color w:val="auto"/>
              </w:rPr>
            </w:pPr>
          </w:p>
        </w:tc>
        <w:tc>
          <w:tcPr>
            <w:tcW w:w="7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Equity:</w:t>
            </w:r>
          </w:p>
        </w:tc>
        <w:tc>
          <w:tcPr>
            <w:tcW w:w="75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Kirby stockholders’ equity:</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$0.10 par value per share. Authorized 120 million shares, issued 65.5 million shares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854,512</w:t>
            </w:r>
          </w:p>
        </w:tc>
        <w:tc>
          <w:tcPr>
            <w:tcW w:w="100" w:type="dxa"/>
            <w:vAlign w:val="bottom"/>
          </w:tcPr>
          <w:p>
            <w:pPr>
              <w:spacing w:after="0"/>
              <w:rPr>
                <w:sz w:val="18"/>
                <w:szCs w:val="18"/>
                <w:color w:val="auto"/>
              </w:rPr>
            </w:pPr>
          </w:p>
        </w:tc>
      </w:tr>
      <w:tr>
        <w:trPr>
          <w:trHeight w:val="216"/>
        </w:trPr>
        <w:tc>
          <w:tcPr>
            <w:tcW w:w="8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 net</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(25,477 )</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(25,966 )</w:t>
            </w:r>
          </w:p>
        </w:tc>
      </w:tr>
      <w:tr>
        <w:trPr>
          <w:trHeight w:val="216"/>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2,363,873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2,346,439</w:t>
            </w:r>
          </w:p>
        </w:tc>
        <w:tc>
          <w:tcPr>
            <w:tcW w:w="100" w:type="dxa"/>
            <w:vAlign w:val="bottom"/>
          </w:tcPr>
          <w:p>
            <w:pPr>
              <w:spacing w:after="0"/>
              <w:rPr>
                <w:sz w:val="18"/>
                <w:szCs w:val="18"/>
                <w:color w:val="auto"/>
              </w:rPr>
            </w:pPr>
          </w:p>
        </w:tc>
      </w:tr>
      <w:tr>
        <w:trPr>
          <w:trHeight w:val="216"/>
        </w:trPr>
        <w:tc>
          <w:tcPr>
            <w:tcW w:w="81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stock – at cost, 5.2 million shares at March 31, 2022 and 5.4 million at December 31, 2021</w:t>
            </w:r>
          </w:p>
        </w:tc>
        <w:tc>
          <w:tcPr>
            <w:tcW w:w="2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(289,098 )</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(295,208 )</w:t>
            </w:r>
          </w:p>
        </w:tc>
      </w:tr>
      <w:tr>
        <w:trPr>
          <w:trHeight w:val="210"/>
        </w:trPr>
        <w:tc>
          <w:tcPr>
            <w:tcW w:w="8120" w:type="dxa"/>
            <w:vAlign w:val="bottom"/>
            <w:tcBorders>
              <w:top w:val="single" w:sz="8" w:color="CFF0FC"/>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Kirby stockholders’ equity</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2,909,455</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2,886,324</w:t>
            </w:r>
          </w:p>
        </w:tc>
        <w:tc>
          <w:tcPr>
            <w:tcW w:w="100" w:type="dxa"/>
            <w:vAlign w:val="bottom"/>
            <w:tcBorders>
              <w:top w:val="single" w:sz="8" w:color="CFF0FC"/>
            </w:tcBorders>
          </w:tcPr>
          <w:p>
            <w:pPr>
              <w:spacing w:after="0"/>
              <w:rPr>
                <w:sz w:val="18"/>
                <w:szCs w:val="18"/>
                <w:color w:val="auto"/>
              </w:rPr>
            </w:pPr>
          </w:p>
        </w:tc>
      </w:tr>
      <w:tr>
        <w:trPr>
          <w:trHeight w:val="216"/>
        </w:trPr>
        <w:tc>
          <w:tcPr>
            <w:tcW w:w="81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2,911,865</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2,888,782</w:t>
            </w:r>
          </w:p>
        </w:tc>
        <w:tc>
          <w:tcPr>
            <w:tcW w:w="100" w:type="dxa"/>
            <w:vAlign w:val="bottom"/>
          </w:tcPr>
          <w:p>
            <w:pPr>
              <w:spacing w:after="0"/>
              <w:rPr>
                <w:sz w:val="18"/>
                <w:szCs w:val="18"/>
                <w:color w:val="auto"/>
              </w:rPr>
            </w:pPr>
          </w:p>
        </w:tc>
      </w:tr>
      <w:tr>
        <w:trPr>
          <w:trHeight w:val="249"/>
        </w:trPr>
        <w:tc>
          <w:tcPr>
            <w:tcW w:w="560" w:type="dxa"/>
            <w:vAlign w:val="bottom"/>
            <w:tcBorders>
              <w:bottom w:val="single" w:sz="8" w:color="CFF0FC"/>
            </w:tcBorders>
            <w:shd w:val="clear" w:color="auto" w:fill="CFF0FC"/>
          </w:tcPr>
          <w:p>
            <w:pPr>
              <w:spacing w:after="0"/>
              <w:rPr>
                <w:sz w:val="21"/>
                <w:szCs w:val="21"/>
                <w:color w:val="auto"/>
              </w:rPr>
            </w:pPr>
          </w:p>
        </w:tc>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5,382,792</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-5271135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-5271135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-4765675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-4765675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-3985895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-3968115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-3985895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-2639695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-1859280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-599440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-316230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ind w:left="3000"/>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STATEMENTS OF EARNINGS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8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8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tc>
      </w:tr>
      <w:tr>
        <w:trPr>
          <w:trHeight w:val="21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355,536</w:t>
            </w:r>
          </w:p>
        </w:tc>
        <w:tc>
          <w:tcPr>
            <w:tcW w:w="2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300,951</w:t>
            </w:r>
          </w:p>
        </w:tc>
        <w:tc>
          <w:tcPr>
            <w:tcW w:w="80" w:type="dxa"/>
            <w:vAlign w:val="bottom"/>
          </w:tcPr>
          <w:p>
            <w:pPr>
              <w:spacing w:after="0"/>
              <w:rPr>
                <w:sz w:val="18"/>
                <w:szCs w:val="18"/>
                <w:color w:val="auto"/>
              </w:rPr>
            </w:pPr>
          </w:p>
        </w:tc>
      </w:tr>
      <w:tr>
        <w:trPr>
          <w:trHeight w:val="216"/>
        </w:trPr>
        <w:tc>
          <w:tcPr>
            <w:tcW w:w="8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255,246</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195,899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610,782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496,850</w:t>
            </w:r>
          </w:p>
        </w:tc>
        <w:tc>
          <w:tcPr>
            <w:tcW w:w="80" w:type="dxa"/>
            <w:vAlign w:val="bottom"/>
          </w:tcPr>
          <w:p>
            <w:pPr>
              <w:spacing w:after="0"/>
              <w:rPr>
                <w:sz w:val="18"/>
                <w:szCs w:val="18"/>
                <w:color w:val="auto"/>
              </w:rPr>
            </w:pPr>
          </w:p>
        </w:tc>
      </w:tr>
      <w:tr>
        <w:trPr>
          <w:trHeight w:val="209"/>
        </w:trPr>
        <w:tc>
          <w:tcPr>
            <w:tcW w:w="8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450,618</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363,040</w:t>
            </w:r>
          </w:p>
        </w:tc>
        <w:tc>
          <w:tcPr>
            <w:tcW w:w="80" w:type="dxa"/>
            <w:vAlign w:val="bottom"/>
            <w:shd w:val="clear" w:color="auto" w:fill="CFF0FC"/>
          </w:tcPr>
          <w:p>
            <w:pPr>
              <w:spacing w:after="0"/>
              <w:rPr>
                <w:sz w:val="18"/>
                <w:szCs w:val="18"/>
                <w:color w:val="auto"/>
              </w:rPr>
            </w:pPr>
          </w:p>
        </w:tc>
      </w:tr>
      <w:tr>
        <w:trPr>
          <w:trHeight w:val="216"/>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69,629</w:t>
            </w:r>
          </w:p>
        </w:tc>
        <w:tc>
          <w:tcPr>
            <w:tcW w:w="80" w:type="dxa"/>
            <w:vAlign w:val="bottom"/>
          </w:tcPr>
          <w:p>
            <w:pPr>
              <w:spacing w:after="0"/>
              <w:rPr>
                <w:sz w:val="18"/>
                <w:szCs w:val="18"/>
                <w:color w:val="auto"/>
              </w:rPr>
            </w:pPr>
          </w:p>
        </w:tc>
      </w:tr>
      <w:tr>
        <w:trPr>
          <w:trHeight w:val="216"/>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9,590</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80" w:type="dxa"/>
            <w:vAlign w:val="bottom"/>
            <w:shd w:val="clear" w:color="auto" w:fill="CFF0FC"/>
          </w:tcPr>
          <w:p>
            <w:pPr>
              <w:spacing w:after="0"/>
              <w:rPr>
                <w:sz w:val="18"/>
                <w:szCs w:val="18"/>
                <w:color w:val="auto"/>
              </w:rPr>
            </w:pPr>
          </w:p>
        </w:tc>
      </w:tr>
      <w:tr>
        <w:trPr>
          <w:trHeight w:val="216"/>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54,890</w:t>
            </w:r>
          </w:p>
        </w:tc>
        <w:tc>
          <w:tcPr>
            <w:tcW w:w="80" w:type="dxa"/>
            <w:vAlign w:val="bottom"/>
          </w:tcPr>
          <w:p>
            <w:pPr>
              <w:spacing w:after="0"/>
              <w:rPr>
                <w:sz w:val="18"/>
                <w:szCs w:val="18"/>
                <w:color w:val="auto"/>
              </w:rPr>
            </w:pPr>
          </w:p>
        </w:tc>
      </w:tr>
      <w:tr>
        <w:trPr>
          <w:trHeight w:val="216"/>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(4,849 )</w:t>
            </w: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(2,133 )</w:t>
            </w:r>
          </w:p>
        </w:tc>
      </w:tr>
      <w:tr>
        <w:trPr>
          <w:trHeight w:val="210"/>
        </w:trPr>
        <w:tc>
          <w:tcPr>
            <w:tcW w:w="81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581,088</w:t>
            </w:r>
          </w:p>
        </w:tc>
        <w:tc>
          <w:tcPr>
            <w:tcW w:w="2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493,686</w:t>
            </w:r>
          </w:p>
        </w:tc>
        <w:tc>
          <w:tcPr>
            <w:tcW w:w="80" w:type="dxa"/>
            <w:vAlign w:val="bottom"/>
            <w:tcBorders>
              <w:top w:val="single" w:sz="8" w:color="CFF0FC"/>
            </w:tcBorders>
          </w:tcPr>
          <w:p>
            <w:pPr>
              <w:spacing w:after="0"/>
              <w:rPr>
                <w:sz w:val="18"/>
                <w:szCs w:val="18"/>
                <w:color w:val="auto"/>
              </w:rPr>
            </w:pPr>
          </w:p>
        </w:tc>
      </w:tr>
      <w:tr>
        <w:trPr>
          <w:trHeight w:val="209"/>
        </w:trPr>
        <w:tc>
          <w:tcPr>
            <w:tcW w:w="8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80" w:type="dxa"/>
            <w:vAlign w:val="bottom"/>
          </w:tcPr>
          <w:p>
            <w:pPr>
              <w:spacing w:after="0"/>
              <w:rPr>
                <w:sz w:val="18"/>
                <w:szCs w:val="18"/>
                <w:color w:val="auto"/>
              </w:rPr>
            </w:pPr>
          </w:p>
        </w:tc>
      </w:tr>
      <w:tr>
        <w:trPr>
          <w:trHeight w:val="21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80" w:type="dxa"/>
            <w:vAlign w:val="bottom"/>
            <w:shd w:val="clear" w:color="auto" w:fill="CFF0FC"/>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(10,203 )</w:t>
            </w:r>
          </w:p>
        </w:tc>
        <w:tc>
          <w:tcPr>
            <w:tcW w:w="3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(10,966 )</w:t>
            </w:r>
          </w:p>
        </w:tc>
      </w:tr>
      <w:tr>
        <w:trPr>
          <w:trHeight w:val="209"/>
        </w:trPr>
        <w:tc>
          <w:tcPr>
            <w:tcW w:w="8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(4,011 )</w:t>
            </w:r>
          </w:p>
        </w:tc>
      </w:tr>
      <w:tr>
        <w:trPr>
          <w:trHeight w:val="21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taxes on income</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(6,213 )</w:t>
            </w: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shd w:val="clear" w:color="auto" w:fill="CFF0FC"/>
          </w:tcPr>
          <w:p>
            <w:pPr>
              <w:spacing w:after="0"/>
              <w:rPr>
                <w:sz w:val="18"/>
                <w:szCs w:val="18"/>
                <w:color w:val="auto"/>
              </w:rPr>
            </w:pPr>
          </w:p>
        </w:tc>
      </w:tr>
      <w:tr>
        <w:trPr>
          <w:trHeight w:val="210"/>
        </w:trPr>
        <w:tc>
          <w:tcPr>
            <w:tcW w:w="8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r>
      <w:tr>
        <w:trPr>
          <w:trHeight w:val="216"/>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earnings (loss)</w:t>
            </w: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(3,120 )</w:t>
            </w: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(152 )</w:t>
            </w:r>
          </w:p>
        </w:tc>
        <w:tc>
          <w:tcPr>
            <w:tcW w:w="3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210"/>
        </w:trPr>
        <w:tc>
          <w:tcPr>
            <w:tcW w:w="8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earnings (loss) attributable to Kirby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2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(3,375 )</w:t>
            </w:r>
          </w:p>
        </w:tc>
      </w:tr>
      <w:tr>
        <w:trPr>
          <w:trHeight w:val="20"/>
        </w:trPr>
        <w:tc>
          <w:tcPr>
            <w:tcW w:w="8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per share attributable to Kirby common stockholders: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20"/>
        </w:trPr>
        <w:tc>
          <w:tcPr>
            <w:tcW w:w="8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810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220" w:type="dxa"/>
            <w:vAlign w:val="bottom"/>
          </w:tcPr>
          <w:p>
            <w:pPr>
              <w:spacing w:after="0"/>
              <w:rPr>
                <w:sz w:val="17"/>
                <w:szCs w:val="17"/>
                <w:color w:val="auto"/>
              </w:rPr>
            </w:pPr>
          </w:p>
        </w:tc>
        <w:tc>
          <w:tcPr>
            <w:tcW w:w="34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(0.06 )</w:t>
            </w:r>
          </w:p>
        </w:tc>
      </w:tr>
      <w:tr>
        <w:trPr>
          <w:trHeight w:val="20"/>
        </w:trPr>
        <w:tc>
          <w:tcPr>
            <w:tcW w:w="8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-3565525</wp:posOffset>
            </wp:positionV>
            <wp:extent cx="514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-3565525</wp:posOffset>
            </wp:positionV>
            <wp:extent cx="51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-2451100</wp:posOffset>
            </wp:positionV>
            <wp:extent cx="51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-2451100</wp:posOffset>
            </wp:positionV>
            <wp:extent cx="514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-1328420</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-1328420</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514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-187960</wp:posOffset>
            </wp:positionV>
            <wp:extent cx="51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2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81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8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in</w:t>
            </w:r>
          </w:p>
        </w:tc>
        <w:tc>
          <w:tcPr>
            <w:tcW w:w="1120" w:type="dxa"/>
            <w:vAlign w:val="bottom"/>
            <w:gridSpan w:val="2"/>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(3,120 )</w:t>
            </w:r>
          </w:p>
        </w:tc>
      </w:tr>
      <w:tr>
        <w:trPr>
          <w:trHeight w:val="209"/>
        </w:trPr>
        <w:tc>
          <w:tcPr>
            <w:tcW w:w="8120" w:type="dxa"/>
            <w:vAlign w:val="bottom"/>
            <w:tcBorders>
              <w:top w:val="single" w:sz="8" w:color="CFF0F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r>
      <w:tr>
        <w:trPr>
          <w:trHeight w:val="216"/>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8"/>
                <w:szCs w:val="18"/>
                <w:color w:val="auto"/>
              </w:rPr>
            </w:pPr>
          </w:p>
        </w:tc>
      </w:tr>
      <w:tr>
        <w:trPr>
          <w:trHeight w:val="216"/>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(497 )</w:t>
            </w:r>
          </w:p>
        </w:tc>
      </w:tr>
      <w:tr>
        <w:trPr>
          <w:trHeight w:val="209"/>
        </w:trPr>
        <w:tc>
          <w:tcPr>
            <w:tcW w:w="81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8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Borders>
              <w:top w:val="single" w:sz="8" w:color="CFF0FC"/>
            </w:tcBorders>
          </w:tcPr>
          <w:p>
            <w:pPr>
              <w:spacing w:after="0"/>
              <w:rPr>
                <w:sz w:val="18"/>
                <w:szCs w:val="18"/>
                <w:color w:val="auto"/>
              </w:rPr>
            </w:pPr>
          </w:p>
        </w:tc>
      </w:tr>
      <w:tr>
        <w:trPr>
          <w:trHeight w:val="210"/>
        </w:trPr>
        <w:tc>
          <w:tcPr>
            <w:tcW w:w="8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spacing w:after="0"/>
              <w:rPr>
                <w:sz w:val="18"/>
                <w:szCs w:val="18"/>
                <w:color w:val="auto"/>
              </w:rPr>
            </w:pPr>
          </w:p>
        </w:tc>
      </w:tr>
      <w:tr>
        <w:trPr>
          <w:trHeight w:val="21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 net of taxes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(2,872 )</w:t>
            </w:r>
          </w:p>
        </w:tc>
      </w:tr>
      <w:tr>
        <w:trPr>
          <w:trHeight w:val="216"/>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(152 )</w:t>
            </w:r>
          </w:p>
        </w:tc>
        <w:tc>
          <w:tcPr>
            <w:tcW w:w="9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(255 )</w:t>
            </w:r>
          </w:p>
        </w:tc>
      </w:tr>
      <w:tr>
        <w:trPr>
          <w:trHeight w:val="209"/>
        </w:trPr>
        <w:tc>
          <w:tcPr>
            <w:tcW w:w="8120" w:type="dxa"/>
            <w:vAlign w:val="bottom"/>
            <w:tcBorders>
              <w:top w:val="single" w:sz="8" w:color="CFF0F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r>
      <w:tr>
        <w:trPr>
          <w:trHeight w:val="256"/>
        </w:trPr>
        <w:tc>
          <w:tcPr>
            <w:tcW w:w="8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income (loss) attributable to Kirby</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(3,127 )</w:t>
            </w:r>
          </w:p>
        </w:tc>
      </w:tr>
      <w:tr>
        <w:trPr>
          <w:trHeight w:val="399"/>
        </w:trPr>
        <w:tc>
          <w:tcPr>
            <w:tcW w:w="8120" w:type="dxa"/>
            <w:vAlign w:val="bottom"/>
            <w:tcBorders>
              <w:top w:val="single" w:sz="8" w:color="CFF0FC"/>
            </w:tcBorders>
          </w:tcPr>
          <w:p>
            <w:pPr>
              <w:ind w:left="3480"/>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tc>
        <w:tc>
          <w:tcPr>
            <w:tcW w:w="8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418"/>
        </w:trPr>
        <w:tc>
          <w:tcPr>
            <w:tcW w:w="81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1"/>
        </w:trPr>
        <w:tc>
          <w:tcPr>
            <w:tcW w:w="81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-2039620</wp:posOffset>
            </wp:positionV>
            <wp:extent cx="514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-2039620</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-1482090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-1482090</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-916305</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-916305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-633730</wp:posOffset>
            </wp:positionV>
            <wp:extent cx="514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-616585</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-633730</wp:posOffset>
            </wp:positionV>
            <wp:extent cx="514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-616585</wp:posOffset>
            </wp:positionV>
            <wp:extent cx="514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ind w:left="3000"/>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81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8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17,586</w:t>
            </w:r>
          </w:p>
        </w:tc>
        <w:tc>
          <w:tcPr>
            <w:tcW w:w="220" w:type="dxa"/>
            <w:vAlign w:val="bottom"/>
          </w:tcPr>
          <w:p>
            <w:pPr>
              <w:spacing w:after="0"/>
              <w:rPr>
                <w:sz w:val="18"/>
                <w:szCs w:val="18"/>
                <w:color w:val="auto"/>
              </w:rPr>
            </w:pPr>
          </w:p>
        </w:tc>
        <w:tc>
          <w:tcPr>
            <w:tcW w:w="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(3,120 )</w:t>
            </w:r>
          </w:p>
        </w:tc>
      </w:tr>
      <w:tr>
        <w:trPr>
          <w:trHeight w:val="216"/>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earnings (loss) to net cash provided by operations: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54,890</w:t>
            </w:r>
          </w:p>
        </w:tc>
        <w:tc>
          <w:tcPr>
            <w:tcW w:w="80" w:type="dxa"/>
            <w:vAlign w:val="bottom"/>
          </w:tcPr>
          <w:p>
            <w:pPr>
              <w:spacing w:after="0"/>
              <w:rPr>
                <w:sz w:val="18"/>
                <w:szCs w:val="18"/>
                <w:color w:val="auto"/>
              </w:rPr>
            </w:pPr>
          </w:p>
        </w:tc>
      </w:tr>
      <w:tr>
        <w:trPr>
          <w:trHeight w:val="216"/>
        </w:trPr>
        <w:tc>
          <w:tcPr>
            <w:tcW w:w="8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(benefit) for deferred income taxes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(533 )</w:t>
            </w:r>
          </w:p>
        </w:tc>
      </w:tr>
      <w:tr>
        <w:trPr>
          <w:trHeight w:val="216"/>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share-based compensation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80" w:type="dxa"/>
            <w:vAlign w:val="bottom"/>
          </w:tcPr>
          <w:p>
            <w:pPr>
              <w:spacing w:after="0"/>
              <w:rPr>
                <w:sz w:val="18"/>
                <w:szCs w:val="18"/>
                <w:color w:val="auto"/>
              </w:rPr>
            </w:pPr>
          </w:p>
        </w:tc>
      </w:tr>
      <w:tr>
        <w:trPr>
          <w:trHeight w:val="216"/>
        </w:trPr>
        <w:tc>
          <w:tcPr>
            <w:tcW w:w="8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major maintenance costs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80" w:type="dxa"/>
            <w:vAlign w:val="bottom"/>
            <w:shd w:val="clear" w:color="auto" w:fill="CFF0FC"/>
          </w:tcPr>
          <w:p>
            <w:pPr>
              <w:spacing w:after="0"/>
              <w:rPr>
                <w:sz w:val="18"/>
                <w:szCs w:val="18"/>
                <w:color w:val="auto"/>
              </w:rPr>
            </w:pPr>
          </w:p>
        </w:tc>
      </w:tr>
      <w:tr>
        <w:trPr>
          <w:trHeight w:val="216"/>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(3,480 )</w:t>
            </w: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(1,138 )</w:t>
            </w:r>
          </w:p>
        </w:tc>
      </w:tr>
      <w:tr>
        <w:trPr>
          <w:trHeight w:val="216"/>
        </w:trPr>
        <w:tc>
          <w:tcPr>
            <w:tcW w:w="8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Increase (decrease) in cash flows resulting from changes in operating assets and liabilities, net</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(50,782 )</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38,377</w:t>
            </w:r>
          </w:p>
        </w:tc>
        <w:tc>
          <w:tcPr>
            <w:tcW w:w="80" w:type="dxa"/>
            <w:vAlign w:val="bottom"/>
            <w:shd w:val="clear" w:color="auto" w:fill="CFF0FC"/>
          </w:tcPr>
          <w:p>
            <w:pPr>
              <w:spacing w:after="0"/>
              <w:rPr>
                <w:sz w:val="18"/>
                <w:szCs w:val="18"/>
                <w:color w:val="auto"/>
              </w:rPr>
            </w:pPr>
          </w:p>
        </w:tc>
      </w:tr>
      <w:tr>
        <w:trPr>
          <w:trHeight w:val="210"/>
        </w:trPr>
        <w:tc>
          <w:tcPr>
            <w:tcW w:w="812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32,222</w:t>
            </w:r>
          </w:p>
        </w:tc>
        <w:tc>
          <w:tcPr>
            <w:tcW w:w="220" w:type="dxa"/>
            <w:vAlign w:val="bottom"/>
            <w:tcBorders>
              <w:top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102,558</w:t>
            </w:r>
          </w:p>
        </w:tc>
        <w:tc>
          <w:tcPr>
            <w:tcW w:w="80" w:type="dxa"/>
            <w:vAlign w:val="bottom"/>
            <w:tcBorders>
              <w:top w:val="single" w:sz="8" w:color="CFF0FC"/>
            </w:tcBorders>
          </w:tcPr>
          <w:p>
            <w:pPr>
              <w:spacing w:after="0"/>
              <w:rPr>
                <w:sz w:val="18"/>
                <w:szCs w:val="18"/>
                <w:color w:val="auto"/>
              </w:rPr>
            </w:pPr>
          </w:p>
        </w:tc>
      </w:tr>
      <w:tr>
        <w:trPr>
          <w:trHeight w:val="209"/>
        </w:trPr>
        <w:tc>
          <w:tcPr>
            <w:tcW w:w="8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(35,075 )</w:t>
            </w: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(14,052 )</w:t>
            </w:r>
          </w:p>
        </w:tc>
      </w:tr>
      <w:tr>
        <w:trPr>
          <w:trHeight w:val="216"/>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businesses</w:t>
            </w:r>
          </w:p>
        </w:tc>
        <w:tc>
          <w:tcPr>
            <w:tcW w:w="320" w:type="dxa"/>
            <w:vAlign w:val="bottom"/>
          </w:tcPr>
          <w:p>
            <w:pPr>
              <w:spacing w:after="0"/>
              <w:rPr>
                <w:sz w:val="18"/>
                <w:szCs w:val="18"/>
                <w:color w:val="auto"/>
              </w:rPr>
            </w:pP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(3,900 )</w:t>
            </w:r>
          </w:p>
        </w:tc>
        <w:tc>
          <w:tcPr>
            <w:tcW w:w="46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(24,695 )</w:t>
            </w: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(9,298 )</w:t>
            </w:r>
          </w:p>
        </w:tc>
      </w:tr>
      <w:tr>
        <w:trPr>
          <w:trHeight w:val="210"/>
        </w:trPr>
        <w:tc>
          <w:tcPr>
            <w:tcW w:w="8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Borrowings (payments) on bank credit facilities, net</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(119,606 )</w:t>
            </w:r>
          </w:p>
        </w:tc>
      </w:tr>
      <w:tr>
        <w:trPr>
          <w:trHeight w:val="216"/>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20" w:type="dxa"/>
            <w:vAlign w:val="bottom"/>
          </w:tcPr>
          <w:p>
            <w:pPr>
              <w:spacing w:after="0"/>
              <w:rPr>
                <w:sz w:val="18"/>
                <w:szCs w:val="18"/>
                <w:color w:val="auto"/>
              </w:rPr>
            </w:pP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(10,000 )</w:t>
            </w:r>
          </w:p>
        </w:tc>
        <w:tc>
          <w:tcPr>
            <w:tcW w:w="460" w:type="dxa"/>
            <w:vAlign w:val="bottom"/>
          </w:tcPr>
          <w:p>
            <w:pPr>
              <w:spacing w:after="0"/>
              <w:rPr>
                <w:sz w:val="18"/>
                <w:szCs w:val="18"/>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FF0FC"/>
          </w:tcPr>
          <w:p>
            <w:pPr>
              <w:spacing w:after="0"/>
              <w:rPr>
                <w:sz w:val="18"/>
                <w:szCs w:val="18"/>
                <w:color w:val="auto"/>
              </w:rPr>
            </w:pPr>
          </w:p>
        </w:tc>
      </w:tr>
      <w:tr>
        <w:trPr>
          <w:trHeight w:val="216"/>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related to tax withholding for share-based compensation</w:t>
            </w:r>
          </w:p>
        </w:tc>
        <w:tc>
          <w:tcPr>
            <w:tcW w:w="320" w:type="dxa"/>
            <w:vAlign w:val="bottom"/>
          </w:tcPr>
          <w:p>
            <w:pPr>
              <w:spacing w:after="0"/>
              <w:rPr>
                <w:sz w:val="18"/>
                <w:szCs w:val="18"/>
                <w:color w:val="auto"/>
              </w:rPr>
            </w:pP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(3,093 )</w:t>
            </w: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(2,045 )</w:t>
            </w:r>
          </w:p>
        </w:tc>
      </w:tr>
      <w:tr>
        <w:trPr>
          <w:trHeight w:val="216"/>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Return of investment to noncontrolling interest and other</w:t>
            </w: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(348 )</w:t>
            </w: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0"/>
        </w:trPr>
        <w:tc>
          <w:tcPr>
            <w:tcW w:w="8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Pr>
          <w:p>
            <w:pPr>
              <w:spacing w:after="0"/>
              <w:rPr>
                <w:sz w:val="18"/>
                <w:szCs w:val="18"/>
                <w:color w:val="auto"/>
              </w:rPr>
            </w:pP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(9,942 )</w:t>
            </w:r>
          </w:p>
        </w:tc>
        <w:tc>
          <w:tcPr>
            <w:tcW w:w="4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(121,265 )</w:t>
            </w:r>
          </w:p>
        </w:tc>
      </w:tr>
      <w:tr>
        <w:trPr>
          <w:trHeight w:val="210"/>
        </w:trPr>
        <w:tc>
          <w:tcPr>
            <w:tcW w:w="8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80,338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32,398</w:t>
            </w:r>
          </w:p>
        </w:tc>
        <w:tc>
          <w:tcPr>
            <w:tcW w:w="220" w:type="dxa"/>
            <w:vAlign w:val="bottom"/>
          </w:tcPr>
          <w:p>
            <w:pPr>
              <w:spacing w:after="0"/>
              <w:rPr>
                <w:sz w:val="18"/>
                <w:szCs w:val="18"/>
                <w:color w:val="auto"/>
              </w:rPr>
            </w:pPr>
          </w:p>
        </w:tc>
        <w:tc>
          <w:tcPr>
            <w:tcW w:w="4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52,333</w:t>
            </w:r>
          </w:p>
        </w:tc>
        <w:tc>
          <w:tcPr>
            <w:tcW w:w="80" w:type="dxa"/>
            <w:vAlign w:val="bottom"/>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(received) during the period:</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18,022</w:t>
            </w:r>
          </w:p>
        </w:tc>
        <w:tc>
          <w:tcPr>
            <w:tcW w:w="220" w:type="dxa"/>
            <w:vAlign w:val="bottom"/>
          </w:tcPr>
          <w:p>
            <w:pPr>
              <w:spacing w:after="0"/>
              <w:rPr>
                <w:sz w:val="18"/>
                <w:szCs w:val="18"/>
                <w:color w:val="auto"/>
              </w:rPr>
            </w:pPr>
          </w:p>
        </w:tc>
        <w:tc>
          <w:tcPr>
            <w:tcW w:w="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18,732</w:t>
            </w:r>
          </w:p>
        </w:tc>
        <w:tc>
          <w:tcPr>
            <w:tcW w:w="80" w:type="dxa"/>
            <w:vAlign w:val="bottom"/>
          </w:tcPr>
          <w:p>
            <w:pPr>
              <w:spacing w:after="0"/>
              <w:rPr>
                <w:sz w:val="18"/>
                <w:szCs w:val="18"/>
                <w:color w:val="auto"/>
              </w:rPr>
            </w:pPr>
          </w:p>
        </w:tc>
      </w:tr>
      <w:tr>
        <w:trPr>
          <w:trHeight w:val="216"/>
        </w:trPr>
        <w:tc>
          <w:tcPr>
            <w:tcW w:w="8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taxes refunded, net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(24 )</w:t>
            </w:r>
          </w:p>
        </w:tc>
        <w:tc>
          <w:tcPr>
            <w:tcW w:w="46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(117,659 )</w:t>
            </w:r>
          </w:p>
        </w:tc>
      </w:tr>
      <w:tr>
        <w:trPr>
          <w:trHeight w:val="216"/>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220" w:type="dxa"/>
            <w:vAlign w:val="bottom"/>
          </w:tcPr>
          <w:p>
            <w:pPr>
              <w:spacing w:after="0"/>
              <w:rPr>
                <w:sz w:val="18"/>
                <w:szCs w:val="18"/>
                <w:color w:val="auto"/>
              </w:rPr>
            </w:pPr>
          </w:p>
        </w:tc>
        <w:tc>
          <w:tcPr>
            <w:tcW w:w="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80" w:type="dxa"/>
            <w:vAlign w:val="bottom"/>
          </w:tcPr>
          <w:p>
            <w:pPr>
              <w:spacing w:after="0"/>
              <w:rPr>
                <w:sz w:val="18"/>
                <w:szCs w:val="18"/>
                <w:color w:val="auto"/>
              </w:rPr>
            </w:pPr>
          </w:p>
        </w:tc>
      </w:tr>
      <w:tr>
        <w:trPr>
          <w:trHeight w:val="216"/>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investing activity:</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(487 )</w:t>
            </w:r>
          </w:p>
        </w:tc>
        <w:tc>
          <w:tcPr>
            <w:tcW w:w="4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(7,207 )</w:t>
            </w:r>
          </w:p>
        </w:tc>
      </w:tr>
      <w:tr>
        <w:trPr>
          <w:trHeight w:val="216"/>
        </w:trPr>
        <w:tc>
          <w:tcPr>
            <w:tcW w:w="8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-3925570</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-3925570</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-3085465</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-3085465</wp:posOffset>
            </wp:positionV>
            <wp:extent cx="514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-1971040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-1971040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-1405255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-1405255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480" w:type="dxa"/>
            <w:vAlign w:val="bottom"/>
            <w:gridSpan w:val="4"/>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780" w:type="dxa"/>
            <w:vAlign w:val="bottom"/>
            <w:gridSpan w:val="5"/>
            <w:vMerge w:val="continue"/>
          </w:tcPr>
          <w:p>
            <w:pPr>
              <w:spacing w:after="0"/>
              <w:rPr>
                <w:sz w:val="15"/>
                <w:szCs w:val="15"/>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70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Balance at December 31,</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2,346,43</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(295,20</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2,888,78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854,512</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(25,966 )</w:t>
            </w: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(5,361 )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8 )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exercises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stock for</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equity awards, net of</w:t>
            </w: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(7,305 )</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7,305</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08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Tax withholdings on</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 vesting</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(3,093 )</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(3,093 )</w:t>
            </w: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Amortization of share-</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based compensation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Total comprehensive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net of taxes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Return of investment to</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4"/>
                <w:szCs w:val="14"/>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(200 )</w:t>
            </w:r>
          </w:p>
        </w:tc>
        <w:tc>
          <w:tcPr>
            <w:tcW w:w="16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21"/>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80" w:type="dxa"/>
            <w:vAlign w:val="bottom"/>
            <w:tcBorders>
              <w:top w:val="single" w:sz="8" w:color="CFF0FC"/>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March 31, 2022</w:t>
            </w: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2,363,87</w:t>
            </w:r>
          </w:p>
        </w:tc>
        <w:tc>
          <w:tcPr>
            <w:tcW w:w="18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(289,09</w:t>
            </w:r>
          </w:p>
        </w:tc>
        <w:tc>
          <w:tcPr>
            <w:tcW w:w="1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2,911,86</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853,610</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(25,477 )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8 )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1480" w:type="dxa"/>
            <w:vAlign w:val="bottom"/>
            <w:gridSpan w:val="4"/>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780" w:type="dxa"/>
            <w:vAlign w:val="bottom"/>
            <w:gridSpan w:val="5"/>
            <w:vMerge w:val="continue"/>
          </w:tcPr>
          <w:p>
            <w:pPr>
              <w:spacing w:after="0"/>
              <w:rPr>
                <w:sz w:val="15"/>
                <w:szCs w:val="15"/>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70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Net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6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Balance at December 31,</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2,593,39</w:t>
            </w: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(299,16</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3,087,55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844,979</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(61,452 )</w:t>
            </w: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(5,434 )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1 ) $</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 exercises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Issuance of stock for</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equity awards, net of</w:t>
            </w: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forfeitures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(4,461 )</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208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Tax withholdings on</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award vesting</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(2,045 )</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(2,045 )</w:t>
            </w: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Amortization of share-</w:t>
            </w: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based compensation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8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w w:val="98"/>
              </w:rPr>
              <w:t>Total comprehensive loss,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taxes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(3,375 )</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(2,872 )</w:t>
            </w:r>
          </w:p>
        </w:tc>
        <w:tc>
          <w:tcPr>
            <w:tcW w:w="0" w:type="dxa"/>
            <w:vAlign w:val="bottom"/>
          </w:tcPr>
          <w:p>
            <w:pPr>
              <w:spacing w:after="0"/>
              <w:rPr>
                <w:sz w:val="1"/>
                <w:szCs w:val="1"/>
                <w:color w:val="auto"/>
              </w:rPr>
            </w:pPr>
          </w:p>
        </w:tc>
      </w:tr>
      <w:tr>
        <w:trPr>
          <w:trHeight w:val="171"/>
        </w:trPr>
        <w:tc>
          <w:tcPr>
            <w:tcW w:w="20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Return of investment to</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4"/>
                <w:szCs w:val="14"/>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4"/>
                <w:szCs w:val="14"/>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1"/>
        </w:trPr>
        <w:tc>
          <w:tcPr>
            <w:tcW w:w="2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vMerge w:val="continue"/>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86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gridSpan w:val="2"/>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80" w:type="dxa"/>
            <w:vAlign w:val="bottom"/>
            <w:tcBorders>
              <w:top w:val="single" w:sz="8" w:color="CFF0FC"/>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March 31, 2021</w:t>
            </w: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6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2,590,01</w:t>
            </w:r>
          </w:p>
        </w:tc>
        <w:tc>
          <w:tcPr>
            <w:tcW w:w="180" w:type="dxa"/>
            <w:vAlign w:val="bottom"/>
            <w:tcBorders>
              <w:top w:val="single" w:sz="8" w:color="CFF0FC"/>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(296,35</w:t>
            </w:r>
          </w:p>
        </w:tc>
        <w:tc>
          <w:tcPr>
            <w:tcW w:w="1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3,088,74</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846,259</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(61,204 )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3 )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-3076575</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-3076575</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-3076575</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-3076575</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-3076575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-3076575</wp:posOffset>
            </wp:positionV>
            <wp:extent cx="59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-3076575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-3076575</wp:posOffset>
            </wp:positionV>
            <wp:extent cx="514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-3076575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-290830</wp:posOffset>
            </wp:positionV>
            <wp:extent cx="51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-290830</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-290830</wp:posOffset>
            </wp:positionV>
            <wp:extent cx="59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-290830</wp:posOffset>
            </wp:positionV>
            <wp:extent cx="603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-290830</wp:posOffset>
            </wp:positionV>
            <wp:extent cx="60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-290830</wp:posOffset>
            </wp:positionV>
            <wp:extent cx="59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-290830</wp:posOffset>
            </wp:positionV>
            <wp:extent cx="51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-290830</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-290830</wp:posOffset>
            </wp:positionV>
            <wp:extent cx="514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3000"/>
        <w:spacing w:after="0"/>
        <w:rPr>
          <w:sz w:val="20"/>
          <w:szCs w:val="20"/>
          <w:color w:val="auto"/>
        </w:rPr>
      </w:pPr>
      <w:r>
        <w:rPr>
          <w:rFonts w:ascii="Times New Roman" w:cs="Times New Roman" w:eastAsia="Times New Roman" w:hAnsi="Times New Roman"/>
          <w:sz w:val="18"/>
          <w:szCs w:val="18"/>
          <w:b w:val="1"/>
          <w:bCs w:val="1"/>
          <w:color w:val="auto"/>
        </w:rPr>
        <w:t>KIRBY CORPORATION AND CONSOLIDATED SUBSIDIARIES</w:t>
      </w:r>
    </w:p>
    <w:p>
      <w:pPr>
        <w:spacing w:after="0" w:line="2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ind w:left="500" w:hanging="485"/>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for Preparation of the Condensed Financial Statements</w:t>
      </w:r>
    </w:p>
    <w:p>
      <w:pPr>
        <w:spacing w:after="0" w:line="175" w:lineRule="exact"/>
        <w:rPr>
          <w:sz w:val="20"/>
          <w:szCs w:val="20"/>
          <w:color w:val="auto"/>
        </w:rPr>
      </w:pPr>
    </w:p>
    <w:p>
      <w:pPr>
        <w:jc w:val="both"/>
        <w:ind w:firstLine="569"/>
        <w:spacing w:after="0" w:line="247" w:lineRule="auto"/>
        <w:rPr>
          <w:sz w:val="20"/>
          <w:szCs w:val="20"/>
          <w:color w:val="auto"/>
        </w:rPr>
      </w:pPr>
      <w:r>
        <w:rPr>
          <w:rFonts w:ascii="Times New Roman" w:cs="Times New Roman" w:eastAsia="Times New Roman" w:hAnsi="Times New Roman"/>
          <w:sz w:val="18"/>
          <w:szCs w:val="18"/>
          <w:color w:val="auto"/>
        </w:rPr>
        <w:t>The condensed financial statements included herein have been prepared by Kirby Corporation and its consolidated subsidiaries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2021. Certain reclassifications have been made to reflect the current presentation of financial information.</w:t>
      </w:r>
    </w:p>
    <w:p>
      <w:pPr>
        <w:spacing w:after="0" w:line="135" w:lineRule="exact"/>
        <w:rPr>
          <w:sz w:val="20"/>
          <w:szCs w:val="20"/>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189"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On March 31, 2022, the Company paid $3.9 million in cash to purchase assets of a gearbox repair company in the distribution and services segment. Assets acquired consisted primarily of property and equipment.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2"/>
        </w:trPr>
        <w:tc>
          <w:tcPr>
            <w:tcW w:w="360" w:type="dxa"/>
            <w:vAlign w:val="bottom"/>
          </w:tcPr>
          <w:p>
            <w:pPr>
              <w:spacing w:after="0"/>
              <w:rPr>
                <w:sz w:val="24"/>
                <w:szCs w:val="24"/>
                <w:color w:val="auto"/>
              </w:rPr>
            </w:pPr>
          </w:p>
        </w:tc>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following table sets forth the Company’s revenues by major source (in thousands):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3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 w:type="dxa"/>
            <w:vAlign w:val="bottom"/>
          </w:tcPr>
          <w:p>
            <w:pPr>
              <w:spacing w:after="0"/>
              <w:rPr>
                <w:sz w:val="24"/>
                <w:szCs w:val="24"/>
                <w:color w:val="auto"/>
              </w:rPr>
            </w:pPr>
          </w:p>
        </w:tc>
      </w:tr>
      <w:tr>
        <w:trPr>
          <w:trHeight w:val="169"/>
        </w:trPr>
        <w:tc>
          <w:tcPr>
            <w:tcW w:w="3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Marine transportation segment:</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Inland transportation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277,910</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224,451</w:t>
            </w:r>
          </w:p>
        </w:tc>
        <w:tc>
          <w:tcPr>
            <w:tcW w:w="60" w:type="dxa"/>
            <w:vAlign w:val="bottom"/>
          </w:tcPr>
          <w:p>
            <w:pPr>
              <w:spacing w:after="0"/>
              <w:rPr>
                <w:sz w:val="18"/>
                <w:szCs w:val="18"/>
                <w:color w:val="auto"/>
              </w:rPr>
            </w:pPr>
          </w:p>
        </w:tc>
      </w:tr>
      <w:tr>
        <w:trPr>
          <w:trHeight w:val="216"/>
        </w:trPr>
        <w:tc>
          <w:tcPr>
            <w:tcW w:w="81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Coastal transportation</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77,626</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76,500</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09"/>
        </w:trPr>
        <w:tc>
          <w:tcPr>
            <w:tcW w:w="3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355,536</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300,951</w:t>
            </w:r>
          </w:p>
        </w:tc>
        <w:tc>
          <w:tcPr>
            <w:tcW w:w="60" w:type="dxa"/>
            <w:vAlign w:val="bottom"/>
          </w:tcPr>
          <w:p>
            <w:pPr>
              <w:spacing w:after="0"/>
              <w:rPr>
                <w:sz w:val="18"/>
                <w:szCs w:val="18"/>
                <w:color w:val="auto"/>
              </w:rPr>
            </w:pPr>
          </w:p>
        </w:tc>
      </w:tr>
      <w:tr>
        <w:trPr>
          <w:trHeight w:val="20"/>
        </w:trPr>
        <w:tc>
          <w:tcPr>
            <w:tcW w:w="81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8120" w:type="dxa"/>
            <w:vAlign w:val="bottom"/>
            <w:gridSpan w:val="2"/>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Distribution and services segment:</w:t>
            </w: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16"/>
        </w:trPr>
        <w:tc>
          <w:tcPr>
            <w:tcW w:w="8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147,533</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132,908</w:t>
            </w:r>
          </w:p>
        </w:tc>
        <w:tc>
          <w:tcPr>
            <w:tcW w:w="60" w:type="dxa"/>
            <w:vAlign w:val="bottom"/>
          </w:tcPr>
          <w:p>
            <w:pPr>
              <w:spacing w:after="0"/>
              <w:rPr>
                <w:sz w:val="18"/>
                <w:szCs w:val="18"/>
                <w:color w:val="auto"/>
              </w:rPr>
            </w:pPr>
          </w:p>
        </w:tc>
      </w:tr>
      <w:tr>
        <w:trPr>
          <w:trHeight w:val="216"/>
        </w:trPr>
        <w:tc>
          <w:tcPr>
            <w:tcW w:w="81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Oil and gas</w:t>
            </w: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107,713</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62,991</w:t>
            </w:r>
          </w:p>
        </w:tc>
        <w:tc>
          <w:tcPr>
            <w:tcW w:w="60" w:type="dxa"/>
            <w:vAlign w:val="bottom"/>
            <w:tcBorders>
              <w:bottom w:val="single" w:sz="8" w:color="CFF0FC"/>
            </w:tcBorders>
            <w:shd w:val="clear" w:color="auto" w:fill="CFF0FC"/>
          </w:tcPr>
          <w:p>
            <w:pPr>
              <w:spacing w:after="0"/>
              <w:rPr>
                <w:sz w:val="18"/>
                <w:szCs w:val="18"/>
                <w:color w:val="auto"/>
              </w:rPr>
            </w:pPr>
          </w:p>
        </w:tc>
      </w:tr>
      <w:tr>
        <w:trPr>
          <w:trHeight w:val="210"/>
        </w:trPr>
        <w:tc>
          <w:tcPr>
            <w:tcW w:w="3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255,246</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195,899</w:t>
            </w:r>
          </w:p>
        </w:tc>
        <w:tc>
          <w:tcPr>
            <w:tcW w:w="6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-753745</wp:posOffset>
            </wp:positionV>
            <wp:extent cx="431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-753745</wp:posOffset>
            </wp:positionV>
            <wp:extent cx="431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431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-170815</wp:posOffset>
            </wp:positionV>
            <wp:extent cx="431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1"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Contract liabilities represent advance consideration received from customers, and are recognized as revenue over time as the related performance obligation is satisfied. Revenues recognized during the three months ended March 31, 2022 and 2021 that were included in the opening contract liability balances were $28.6 million and $30.8 million, respectively. The Company presents all contract liabilities within the deferred revenues financial statement caption on the balance sheets. The Company did not have any contract assets at March 31, 2022 or December 31, 2021. The Company applies the practical expedient that allows non-disclosure of information about remaining performance obligations that have original expected durations of one year or less.</w:t>
      </w:r>
    </w:p>
    <w:p>
      <w:pPr>
        <w:spacing w:after="0" w:line="164" w:lineRule="exact"/>
        <w:rPr>
          <w:sz w:val="20"/>
          <w:szCs w:val="20"/>
          <w:color w:val="auto"/>
        </w:rPr>
      </w:pPr>
    </w:p>
    <w:p>
      <w:pPr>
        <w:ind w:left="480" w:hanging="472"/>
        <w:spacing w:after="0"/>
        <w:tabs>
          <w:tab w:leader="none" w:pos="4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Data</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operations are aggregated into two reportable business segments as follows:</w:t>
      </w:r>
    </w:p>
    <w:p>
      <w:pPr>
        <w:spacing w:after="0" w:line="183" w:lineRule="exact"/>
        <w:rPr>
          <w:sz w:val="20"/>
          <w:szCs w:val="20"/>
          <w:color w:val="auto"/>
        </w:rPr>
      </w:pPr>
    </w:p>
    <w:p>
      <w:pPr>
        <w:jc w:val="both"/>
        <w:ind w:firstLine="562"/>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Marine Transportation Segment ("KMT") </w:t>
      </w:r>
      <w:r>
        <w:rPr>
          <w:rFonts w:ascii="Times New Roman" w:cs="Times New Roman" w:eastAsia="Times New Roman" w:hAnsi="Times New Roman"/>
          <w:sz w:val="18"/>
          <w:szCs w:val="18"/>
          <w:color w:val="auto"/>
        </w:rPr>
        <w:t>— Provides marine transportation by United States flagged vessels principally of liquid cargoes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United States inland waterway system, along all three United States coasts, and, to a lesser extent, in United States coastal transportation of dry-bulk cargoes. The principal products transported include petrochemicals, black oil, refined petroleum products, and agricultural chemicals.</w:t>
      </w:r>
    </w:p>
    <w:p>
      <w:pPr>
        <w:spacing w:after="0" w:line="147" w:lineRule="exact"/>
        <w:rPr>
          <w:sz w:val="20"/>
          <w:szCs w:val="20"/>
          <w:color w:val="auto"/>
        </w:rPr>
      </w:pPr>
    </w:p>
    <w:p>
      <w:pPr>
        <w:jc w:val="both"/>
        <w:ind w:firstLine="569"/>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Distribution and Services Segment ("KDS") </w:t>
      </w:r>
      <w:r>
        <w:rPr>
          <w:rFonts w:ascii="Times New Roman" w:cs="Times New Roman" w:eastAsia="Times New Roman" w:hAnsi="Times New Roman"/>
          <w:sz w:val="18"/>
          <w:szCs w:val="18"/>
          <w:color w:val="auto"/>
        </w:rPr>
        <w:t>— Provides after-market services and genuine replacement parts for engines, transmissions, reduction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electric power generation equipment, specialized electrical distribution and control equipment, and high capacity energy storage/battery systems for oilfield service and railroad customers.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both"/>
        <w:ind w:firstLine="562"/>
        <w:spacing w:after="0" w:line="244" w:lineRule="auto"/>
        <w:rPr>
          <w:sz w:val="20"/>
          <w:szCs w:val="20"/>
          <w:color w:val="auto"/>
        </w:rPr>
      </w:pPr>
      <w:r>
        <w:rPr>
          <w:rFonts w:ascii="Times New Roman" w:cs="Times New Roman" w:eastAsia="Times New Roman" w:hAnsi="Times New Roman"/>
          <w:sz w:val="18"/>
          <w:szCs w:val="18"/>
          <w:color w:val="auto"/>
        </w:rPr>
        <w:t>The Company’s two reportable business segments are managed separately based on fundamental differences in their operations. The Company evaluates the performance of its segments based on the contributions to operating income of the respective segments, before income taxes, interest, gains or losses on disposition of assets, other nonoperating income, noncontrolling interests, accounting changes, and nonrecurring items. Intersegment revenues, based on market-based pricing, of KDS from KMT of $7.6 million and $4.9 million for the three months ended March 31, 2022 and 2021, respectively, as well as the related intersegment profit of $0.8 million and $0.5 million for the three months ended March 31, 2022 and 2021, respectively, have been eliminated from the tables below.</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set forth the Company’s revenues and profit or loss by reportable segment and total assets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8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355,536</w:t>
            </w:r>
          </w:p>
        </w:tc>
        <w:tc>
          <w:tcPr>
            <w:tcW w:w="2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300,951</w:t>
            </w:r>
          </w:p>
        </w:tc>
        <w:tc>
          <w:tcPr>
            <w:tcW w:w="80" w:type="dxa"/>
            <w:vAlign w:val="bottom"/>
          </w:tcPr>
          <w:p>
            <w:pPr>
              <w:spacing w:after="0"/>
              <w:rPr>
                <w:sz w:val="18"/>
                <w:szCs w:val="18"/>
                <w:color w:val="auto"/>
              </w:rPr>
            </w:pPr>
          </w:p>
        </w:tc>
      </w:tr>
      <w:tr>
        <w:trPr>
          <w:trHeight w:val="216"/>
        </w:trPr>
        <w:tc>
          <w:tcPr>
            <w:tcW w:w="8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255,246</w:t>
            </w:r>
          </w:p>
        </w:tc>
        <w:tc>
          <w:tcPr>
            <w:tcW w:w="2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195,899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814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610,782</w:t>
            </w:r>
          </w:p>
        </w:tc>
        <w:tc>
          <w:tcPr>
            <w:tcW w:w="22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496,850</w:t>
            </w:r>
          </w:p>
        </w:tc>
        <w:tc>
          <w:tcPr>
            <w:tcW w:w="80" w:type="dxa"/>
            <w:vAlign w:val="bottom"/>
          </w:tcPr>
          <w:p>
            <w:pPr>
              <w:spacing w:after="0"/>
              <w:rPr>
                <w:sz w:val="18"/>
                <w:szCs w:val="18"/>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1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profit:</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2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80" w:type="dxa"/>
            <w:vAlign w:val="bottom"/>
          </w:tcPr>
          <w:p>
            <w:pPr>
              <w:spacing w:after="0"/>
              <w:rPr>
                <w:sz w:val="18"/>
                <w:szCs w:val="18"/>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8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(4,107 )</w:t>
            </w:r>
          </w:p>
        </w:tc>
        <w:tc>
          <w:tcPr>
            <w:tcW w:w="3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(8,862 )</w:t>
            </w:r>
          </w:p>
        </w:tc>
      </w:tr>
      <w:tr>
        <w:trPr>
          <w:trHeight w:val="249"/>
        </w:trPr>
        <w:tc>
          <w:tcPr>
            <w:tcW w:w="8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-890905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-890905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205"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8" w:lineRule="exact"/>
        <w:rPr>
          <w:sz w:val="20"/>
          <w:szCs w:val="20"/>
          <w:color w:val="auto"/>
        </w:rPr>
      </w:pPr>
    </w:p>
    <w:p>
      <w:pPr>
        <w:sectPr>
          <w:pgSz w:w="11900" w:h="16838" w:orient="portrait"/>
          <w:cols w:equalWidth="0" w:num="2">
            <w:col w:w="9320" w:space="720"/>
            <w:col w:w="120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8140" w:type="dxa"/>
            <w:vAlign w:val="bottom"/>
            <w:tcBorders>
              <w:top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Marine transportation</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4,280,135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4,319,080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922,905</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892,603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8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5,382,792</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r>
      <w:tr>
        <w:trPr>
          <w:trHeight w:val="372"/>
        </w:trPr>
        <w:tc>
          <w:tcPr>
            <w:tcW w:w="8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The following table presents the details of “Other” segment loss (in thousands):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7"/>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812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expenses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(3,061</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2,133</w:t>
            </w:r>
          </w:p>
        </w:tc>
        <w:tc>
          <w:tcPr>
            <w:tcW w:w="80" w:type="dxa"/>
            <w:vAlign w:val="bottom"/>
          </w:tcPr>
          <w:p>
            <w:pPr>
              <w:spacing w:after="0"/>
              <w:rPr>
                <w:sz w:val="18"/>
                <w:szCs w:val="18"/>
                <w:color w:val="auto"/>
              </w:rPr>
            </w:pPr>
          </w:p>
        </w:tc>
      </w:tr>
      <w:tr>
        <w:trPr>
          <w:trHeight w:val="216"/>
        </w:trPr>
        <w:tc>
          <w:tcPr>
            <w:tcW w:w="8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(10,203 )</w:t>
            </w:r>
          </w:p>
        </w:tc>
        <w:tc>
          <w:tcPr>
            <w:tcW w:w="20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(10,966 )</w:t>
            </w:r>
          </w:p>
        </w:tc>
      </w:tr>
      <w:tr>
        <w:trPr>
          <w:trHeight w:val="21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3,791</w:t>
            </w:r>
          </w:p>
        </w:tc>
        <w:tc>
          <w:tcPr>
            <w:tcW w:w="80" w:type="dxa"/>
            <w:vAlign w:val="bottom"/>
          </w:tcPr>
          <w:p>
            <w:pPr>
              <w:spacing w:after="0"/>
              <w:rPr>
                <w:sz w:val="18"/>
                <w:szCs w:val="18"/>
                <w:color w:val="auto"/>
              </w:rPr>
            </w:pPr>
          </w:p>
        </w:tc>
      </w:tr>
      <w:tr>
        <w:trPr>
          <w:trHeight w:val="249"/>
        </w:trPr>
        <w:tc>
          <w:tcPr>
            <w:tcW w:w="8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(4,107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(8,862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372"/>
        </w:trPr>
        <w:tc>
          <w:tcPr>
            <w:tcW w:w="8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The following table presents the details of “Other” total assets (in thousands):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0"/>
        </w:trPr>
        <w:tc>
          <w:tcPr>
            <w:tcW w:w="8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128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8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corporate assets</w:t>
            </w:r>
          </w:p>
        </w:tc>
        <w:tc>
          <w:tcPr>
            <w:tcW w:w="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178,199</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185,246</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in affiliates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8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179,752</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187,380</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r>
      <w:tr>
        <w:trPr>
          <w:trHeight w:val="548"/>
        </w:trPr>
        <w:tc>
          <w:tcPr>
            <w:tcW w:w="81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1"/>
        </w:trPr>
        <w:tc>
          <w:tcPr>
            <w:tcW w:w="8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-2836545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-2819400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-1499870</wp:posOffset>
            </wp:positionV>
            <wp:extent cx="51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-1482090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-1499870</wp:posOffset>
            </wp:positionV>
            <wp:extent cx="514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-1482090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-462280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-445135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 w:name="page9"/>
    <w:bookmarkEnd w:id="8"/>
    <w:p>
      <w:pPr>
        <w:ind w:left="480" w:hanging="472"/>
        <w:spacing w:after="0"/>
        <w:tabs>
          <w:tab w:leader="none" w:pos="4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89" w:lineRule="exact"/>
        <w:rPr>
          <w:sz w:val="20"/>
          <w:szCs w:val="20"/>
          <w:color w:val="auto"/>
        </w:rPr>
      </w:pPr>
    </w:p>
    <w:p>
      <w:pPr>
        <w:ind w:right="140" w:firstLine="562"/>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(determined using inputs characteristic of a Level 2 fair value measurement) of debt outstanding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60" w:type="dxa"/>
            <w:vAlign w:val="bottom"/>
          </w:tcPr>
          <w:p>
            <w:pPr>
              <w:spacing w:after="0"/>
              <w:rPr>
                <w:sz w:val="14"/>
                <w:szCs w:val="14"/>
                <w:color w:val="auto"/>
              </w:rPr>
            </w:pP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4"/>
                <w:szCs w:val="14"/>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 due March 27, 2024 (a)</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March 27, 2024 (a)</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3.29% senior notes due February 27, 2023</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351,078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358,390</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549,239</w:t>
            </w:r>
          </w:p>
        </w:tc>
        <w:tc>
          <w:tcPr>
            <w:tcW w:w="100" w:type="dxa"/>
            <w:vAlign w:val="bottom"/>
          </w:tcPr>
          <w:p>
            <w:pPr>
              <w:spacing w:after="0"/>
              <w:rPr>
                <w:sz w:val="18"/>
                <w:szCs w:val="18"/>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line due June 30, 2022</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notes payable</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18"/>
                <w:szCs w:val="18"/>
                <w:color w:val="auto"/>
              </w:rPr>
            </w:pPr>
          </w:p>
        </w:tc>
      </w:tr>
      <w:tr>
        <w:trPr>
          <w:trHeight w:val="209"/>
        </w:trPr>
        <w:tc>
          <w:tcPr>
            <w:tcW w:w="4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1,158,097</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1,171,899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1,166,934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1,224,563</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discounts and issuance costs (b)</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(3,362 )</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(3,567 )</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48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1,154,735</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1,171,899</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1,163,367</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1,224,563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-25400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940" w:hanging="370"/>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1.8% and 1.5% at March 31, 2022 and December 31, 2021, respectively.</w:t>
      </w:r>
    </w:p>
    <w:p>
      <w:pPr>
        <w:spacing w:after="0" w:line="27" w:lineRule="exact"/>
        <w:rPr>
          <w:rFonts w:ascii="Times New Roman" w:cs="Times New Roman" w:eastAsia="Times New Roman" w:hAnsi="Times New Roman"/>
          <w:sz w:val="18"/>
          <w:szCs w:val="18"/>
          <w:color w:val="auto"/>
        </w:rPr>
      </w:pPr>
    </w:p>
    <w:p>
      <w:pPr>
        <w:ind w:left="940" w:hanging="370"/>
        <w:spacing w:after="0" w:line="245"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$1.2 million and $1.4 million attributable to the Revolving Credit Facility included in other assets at March 31, 2022 and December 31, 2021, respectively.</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borrowings and payments under the bank credit facilities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81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 on bank credit facilities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89,740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bank credit facilities</w:t>
            </w: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(88,577 )</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(120,713 )</w:t>
            </w:r>
          </w:p>
        </w:tc>
      </w:tr>
      <w:tr>
        <w:trPr>
          <w:trHeight w:val="249"/>
        </w:trPr>
        <w:tc>
          <w:tcPr>
            <w:tcW w:w="8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(119,606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45" w:lineRule="auto"/>
        <w:rPr>
          <w:sz w:val="20"/>
          <w:szCs w:val="20"/>
          <w:color w:val="auto"/>
        </w:rPr>
      </w:pPr>
      <w:r>
        <w:rPr>
          <w:rFonts w:ascii="Times New Roman" w:cs="Times New Roman" w:eastAsia="Times New Roman" w:hAnsi="Times New Roman"/>
          <w:sz w:val="18"/>
          <w:szCs w:val="18"/>
          <w:color w:val="auto"/>
        </w:rPr>
        <w:t>The Company has an amended and restated credit agreement (the “Credit Agreement”) with a group of commercial banks, with JPMorgan Chase Bank, N.A. as the administrative agent bank, allowing for an $850 million unsecured revolving credit facility (“Revolving Credit Facility”) and an unsecured term loan (“Term Loan”) with a maturity date of March 27, 2024. The Term Loan is prepayable, in whole or in part, without penalty. During the three months ended March 31, 2022, the Company repaid $10.0 million under the Term Loan. During April 2022, the Company repaid $5.0 million under the Term Loan. Outstanding letters of credit under the Revolving Credit Facility were $5.1 million and available borrowing capacity was $844.9 million as of March 31, 2022. Outstanding letters of credit under the $10 million credit line were $1.3 million and available borrowing capacity was $8.7 million as of March 31, 2022.</w:t>
      </w:r>
    </w:p>
    <w:p>
      <w:pPr>
        <w:spacing w:after="0" w:line="154" w:lineRule="exact"/>
        <w:rPr>
          <w:sz w:val="20"/>
          <w:szCs w:val="20"/>
          <w:color w:val="auto"/>
        </w:rPr>
      </w:pPr>
    </w:p>
    <w:p>
      <w:pPr>
        <w:jc w:val="both"/>
        <w:ind w:firstLine="562"/>
        <w:spacing w:after="0" w:line="242"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unsecured senior notes with a group of institutional investors, consisting of $60 million of 3.46% series A notes ("Series A Notes") and $240 million of 3.51% series B notes ("Series B Notes"), each due January 19, 2033 (collectively, the "2033 Notes"). The Series A Notes are scheduled to be issued on October 20, 2022, and the Series B Notes are scheduled to be issued on January 19, 2023. No principal payments will be required until maturity. Beginning in 2023, interest payments of $5.3 million will be due semi-annually on January 19 and July 19 of each year, with the exception of the first payment on January 19, 2023, which will be $0.5 million. The 2033 Notes will be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3.29% unsecured senior notes due February 27, 2023 (the "2023 Notes") are excluded from short term liabilities because the Company intends to use the proceeds from the issuance of the 2033 Notes and availability under the Revolving Credit Facility to repay the 2023 Notes upon maturity.</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ind w:left="480" w:hanging="472"/>
        <w:spacing w:after="0"/>
        <w:tabs>
          <w:tab w:leader="none" w:pos="4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jc w:val="both"/>
        <w:ind w:firstLine="562"/>
        <w:spacing w:after="0" w:line="245" w:lineRule="auto"/>
        <w:rPr>
          <w:sz w:val="20"/>
          <w:szCs w:val="20"/>
          <w:color w:val="auto"/>
        </w:rPr>
      </w:pPr>
      <w:r>
        <w:rPr>
          <w:rFonts w:ascii="Times New Roman" w:cs="Times New Roman" w:eastAsia="Times New Roman" w:hAnsi="Times New Roman"/>
          <w:sz w:val="18"/>
          <w:szCs w:val="18"/>
          <w:color w:val="auto"/>
        </w:rPr>
        <w:t>The Company currently leases various facilities and equipment under cancelable and noncancelable operating leases. The accounting for the Company’s leases may require judgments, which include determining whether a contract contains a lease, allocating the consideration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14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operating leases that have initial noncancelable lease terms in excess of one year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9"/>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41,685</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36,235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29,270</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28,837</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18,888</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18,361</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91,621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91,237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81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231,342</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239,747</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(40,617 )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(46,173 )</w:t>
            </w:r>
          </w:p>
        </w:tc>
      </w:tr>
      <w:tr>
        <w:trPr>
          <w:trHeight w:val="249"/>
        </w:trPr>
        <w:tc>
          <w:tcPr>
            <w:tcW w:w="81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190,725</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193,574</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r>
      <w:tr>
        <w:trPr>
          <w:trHeight w:val="386"/>
        </w:trPr>
        <w:tc>
          <w:tcPr>
            <w:tcW w:w="8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lease costs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4"/>
        </w:trPr>
        <w:tc>
          <w:tcPr>
            <w:tcW w:w="8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10"/>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812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10,850</w:t>
            </w:r>
          </w:p>
        </w:tc>
        <w:tc>
          <w:tcPr>
            <w:tcW w:w="2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10,392</w:t>
            </w:r>
          </w:p>
        </w:tc>
        <w:tc>
          <w:tcPr>
            <w:tcW w:w="80" w:type="dxa"/>
            <w:vAlign w:val="bottom"/>
            <w:shd w:val="clear" w:color="auto" w:fill="CFF0FC"/>
          </w:tcPr>
          <w:p>
            <w:pPr>
              <w:spacing w:after="0"/>
              <w:rPr>
                <w:sz w:val="18"/>
                <w:szCs w:val="18"/>
                <w:color w:val="auto"/>
              </w:rPr>
            </w:pPr>
          </w:p>
        </w:tc>
      </w:tr>
      <w:tr>
        <w:trPr>
          <w:trHeight w:val="21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8"/>
                <w:szCs w:val="18"/>
                <w:color w:val="auto"/>
              </w:rPr>
            </w:pPr>
          </w:p>
        </w:tc>
      </w:tr>
      <w:tr>
        <w:trPr>
          <w:trHeight w:val="216"/>
        </w:trPr>
        <w:tc>
          <w:tcPr>
            <w:tcW w:w="8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5,481</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3,053</w:t>
            </w:r>
          </w:p>
        </w:tc>
        <w:tc>
          <w:tcPr>
            <w:tcW w:w="80" w:type="dxa"/>
            <w:vAlign w:val="bottom"/>
            <w:shd w:val="clear" w:color="auto" w:fill="CFF0FC"/>
          </w:tcPr>
          <w:p>
            <w:pPr>
              <w:spacing w:after="0"/>
              <w:rPr>
                <w:sz w:val="18"/>
                <w:szCs w:val="18"/>
                <w:color w:val="auto"/>
              </w:rPr>
            </w:pPr>
          </w:p>
        </w:tc>
      </w:tr>
      <w:tr>
        <w:trPr>
          <w:trHeight w:val="21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(69 )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(274 )</w:t>
            </w:r>
          </w:p>
        </w:tc>
      </w:tr>
      <w:tr>
        <w:trPr>
          <w:trHeight w:val="250"/>
        </w:trPr>
        <w:tc>
          <w:tcPr>
            <w:tcW w:w="8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16,681</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13,880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385"/>
        </w:trPr>
        <w:tc>
          <w:tcPr>
            <w:tcW w:w="81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The following table summarizes other supplemental information about the Company’s operating leases: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0"/>
        </w:trPr>
        <w:tc>
          <w:tcPr>
            <w:tcW w:w="8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8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9 years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-2239645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-2222500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-2239645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-902335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-885190</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-902335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-885190</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5" w:lineRule="exact"/>
        <w:rPr>
          <w:sz w:val="20"/>
          <w:szCs w:val="20"/>
          <w:color w:val="auto"/>
        </w:rPr>
      </w:pPr>
    </w:p>
    <w:p>
      <w:pPr>
        <w:ind w:left="480" w:hanging="472"/>
        <w:spacing w:after="0"/>
        <w:tabs>
          <w:tab w:leader="none" w:pos="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Award Plans</w:t>
      </w:r>
    </w:p>
    <w:p>
      <w:pPr>
        <w:spacing w:after="0" w:line="175" w:lineRule="exact"/>
        <w:rPr>
          <w:sz w:val="20"/>
          <w:szCs w:val="20"/>
          <w:color w:val="auto"/>
        </w:rPr>
      </w:pPr>
    </w:p>
    <w:p>
      <w:pPr>
        <w:ind w:firstLine="562"/>
        <w:spacing w:after="0" w:line="282" w:lineRule="auto"/>
        <w:rPr>
          <w:sz w:val="20"/>
          <w:szCs w:val="20"/>
          <w:color w:val="auto"/>
        </w:rPr>
      </w:pPr>
      <w:r>
        <w:rPr>
          <w:rFonts w:ascii="Times New Roman" w:cs="Times New Roman" w:eastAsia="Times New Roman" w:hAnsi="Times New Roman"/>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2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8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4"/>
                <w:szCs w:val="14"/>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cost</w:t>
            </w:r>
          </w:p>
        </w:tc>
        <w:tc>
          <w:tcPr>
            <w:tcW w:w="920" w:type="dxa"/>
            <w:vAlign w:val="bottom"/>
            <w:tcBorders>
              <w:top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2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60" w:type="dxa"/>
            <w:vAlign w:val="bottom"/>
            <w:shd w:val="clear" w:color="auto" w:fill="CFF0FC"/>
          </w:tcPr>
          <w:p>
            <w:pPr>
              <w:spacing w:after="0"/>
              <w:rPr>
                <w:sz w:val="18"/>
                <w:szCs w:val="18"/>
                <w:color w:val="auto"/>
              </w:rPr>
            </w:pPr>
          </w:p>
        </w:tc>
      </w:tr>
      <w:tr>
        <w:trPr>
          <w:trHeight w:val="234"/>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16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60" w:type="dxa"/>
            <w:vAlign w:val="bottom"/>
          </w:tcPr>
          <w:p>
            <w:pPr>
              <w:spacing w:after="0"/>
              <w:rPr>
                <w:sz w:val="20"/>
                <w:szCs w:val="20"/>
                <w:color w:val="auto"/>
              </w:rPr>
            </w:pPr>
          </w:p>
        </w:tc>
      </w:tr>
    </w:tbl>
    <w:p>
      <w:pPr>
        <w:spacing w:after="0" w:line="179"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granted 197,850 restricted stock units (“RSUs”) to selected officers and other key employees under the employee stock award plan which vest ratably over five years.</w:t>
      </w:r>
    </w:p>
    <w:p>
      <w:pPr>
        <w:spacing w:after="0" w:line="149"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During May 2022, the Company granted 27,696 shares of restricted stock to nonemployee directors of the Company under the director stock plan, the majority of which vest six months after the date of grant.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 w:name="page11"/>
    <w:bookmarkEnd w:id="10"/>
    <w:p>
      <w:pPr>
        <w:ind w:left="480" w:hanging="472"/>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 on Income</w:t>
      </w:r>
    </w:p>
    <w:p>
      <w:pPr>
        <w:spacing w:after="0" w:line="17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At both March 31, 2022 and December 31, 2021, the Company had a federal income tax receivable of $71.0 million included in Accounts Receivable – Other on the balance sheets. During the three months ended March 31, 2021, the Company received a tax refund of $119.5 million, including accrued interest, for its 2019 federal tax return related to net operating losses being carried back to offset taxable income generated between 2014 and 2017.</w:t>
      </w:r>
    </w:p>
    <w:p>
      <w:pPr>
        <w:spacing w:after="0" w:line="14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Earnings (loss) before taxes on income and details of the provision (benefit) for taxes on income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4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8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(loss) before taxes on income:</w:t>
            </w:r>
          </w:p>
        </w:tc>
        <w:tc>
          <w:tcPr>
            <w:tcW w:w="88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23,654</w:t>
            </w:r>
          </w:p>
        </w:tc>
        <w:tc>
          <w:tcPr>
            <w:tcW w:w="11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(3,619 )</w:t>
            </w: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(392 )</w:t>
            </w:r>
          </w:p>
        </w:tc>
      </w:tr>
      <w:tr>
        <w:trPr>
          <w:trHeight w:val="20"/>
        </w:trPr>
        <w:tc>
          <w:tcPr>
            <w:tcW w:w="81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8140" w:type="dxa"/>
            <w:vAlign w:val="bottom"/>
          </w:tcPr>
          <w:p>
            <w:pPr>
              <w:spacing w:after="0"/>
              <w:rPr>
                <w:sz w:val="18"/>
                <w:szCs w:val="18"/>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200" w:type="dxa"/>
            <w:vAlign w:val="bottom"/>
          </w:tcPr>
          <w:p>
            <w:pPr>
              <w:spacing w:after="0"/>
              <w:rPr>
                <w:sz w:val="18"/>
                <w:szCs w:val="18"/>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(4,011 )</w:t>
            </w:r>
          </w:p>
        </w:tc>
      </w:tr>
      <w:tr>
        <w:trPr>
          <w:trHeight w:val="20"/>
        </w:trPr>
        <w:tc>
          <w:tcPr>
            <w:tcW w:w="8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1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Provision (benefit) for taxes on income:</w:t>
            </w:r>
          </w:p>
        </w:tc>
        <w:tc>
          <w:tcPr>
            <w:tcW w:w="8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(603 )</w:t>
            </w: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 and local:</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16"/>
        </w:trPr>
        <w:tc>
          <w:tcPr>
            <w:tcW w:w="81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 current</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2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-1439545</wp:posOffset>
            </wp:positionV>
            <wp:extent cx="431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-1439545</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431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components of basic and diluted earnings (loss) per share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2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81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Kirby</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8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88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Earnings (loss) available to Kirby common stockholders – basic</w:t>
            </w:r>
          </w:p>
        </w:tc>
        <w:tc>
          <w:tcPr>
            <w:tcW w:w="88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17,431</w:t>
            </w:r>
          </w:p>
        </w:tc>
        <w:tc>
          <w:tcPr>
            <w:tcW w:w="2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Undistributed earnings allocated to restricted shares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Undistributed earnings reallocated to restricted shares</w:t>
            </w:r>
          </w:p>
        </w:tc>
        <w:tc>
          <w:tcPr>
            <w:tcW w:w="8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8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(loss) available to Kirby common stockholders – diluted</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17,431</w:t>
            </w:r>
          </w:p>
        </w:tc>
        <w:tc>
          <w:tcPr>
            <w:tcW w:w="220" w:type="dxa"/>
            <w:vAlign w:val="bottom"/>
          </w:tcPr>
          <w:p>
            <w:pPr>
              <w:spacing w:after="0"/>
              <w:rPr>
                <w:sz w:val="18"/>
                <w:szCs w:val="18"/>
                <w:color w:val="auto"/>
              </w:rPr>
            </w:pPr>
          </w:p>
        </w:tc>
        <w:tc>
          <w:tcPr>
            <w:tcW w:w="88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(3,375 )</w:t>
            </w:r>
          </w:p>
        </w:tc>
      </w:tr>
      <w:tr>
        <w:trPr>
          <w:trHeight w:val="20"/>
        </w:trPr>
        <w:tc>
          <w:tcPr>
            <w:tcW w:w="8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outstanding:</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issued and outstanding</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60,182</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60,074</w:t>
            </w:r>
          </w:p>
        </w:tc>
        <w:tc>
          <w:tcPr>
            <w:tcW w:w="80" w:type="dxa"/>
            <w:vAlign w:val="bottom"/>
            <w:shd w:val="clear" w:color="auto" w:fill="CFF0FC"/>
          </w:tcPr>
          <w:p>
            <w:pPr>
              <w:spacing w:after="0"/>
              <w:rPr>
                <w:sz w:val="18"/>
                <w:szCs w:val="18"/>
                <w:color w:val="auto"/>
              </w:rPr>
            </w:pPr>
          </w:p>
        </w:tc>
      </w:tr>
      <w:tr>
        <w:trPr>
          <w:trHeight w:val="21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8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8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09"/>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basic</w:t>
            </w:r>
          </w:p>
        </w:tc>
        <w:tc>
          <w:tcPr>
            <w:tcW w:w="88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60,173</w:t>
            </w:r>
          </w:p>
        </w:tc>
        <w:tc>
          <w:tcPr>
            <w:tcW w:w="22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60,016</w:t>
            </w:r>
          </w:p>
        </w:tc>
        <w:tc>
          <w:tcPr>
            <w:tcW w:w="80" w:type="dxa"/>
            <w:vAlign w:val="bottom"/>
            <w:shd w:val="clear" w:color="auto" w:fill="CFF0FC"/>
          </w:tcPr>
          <w:p>
            <w:pPr>
              <w:spacing w:after="0"/>
              <w:rPr>
                <w:sz w:val="18"/>
                <w:szCs w:val="18"/>
                <w:color w:val="auto"/>
              </w:rPr>
            </w:pPr>
          </w:p>
        </w:tc>
      </w:tr>
      <w:tr>
        <w:trPr>
          <w:trHeight w:val="216"/>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stock outstanding – diluted</w:t>
            </w:r>
          </w:p>
        </w:tc>
        <w:tc>
          <w:tcPr>
            <w:tcW w:w="880" w:type="dxa"/>
            <w:vAlign w:val="bottom"/>
            <w:tcBorders>
              <w:top w:val="single" w:sz="8" w:color="auto"/>
              <w:bottom w:val="single" w:sz="8" w:color="auto"/>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60,463</w:t>
            </w:r>
          </w:p>
        </w:tc>
        <w:tc>
          <w:tcPr>
            <w:tcW w:w="2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60,016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96"/>
        </w:trPr>
        <w:tc>
          <w:tcPr>
            <w:tcW w:w="8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 per share attributable to Kirby common stockholders:</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tcPr>
          <w:p>
            <w:pPr>
              <w:spacing w:after="0"/>
              <w:rPr>
                <w:sz w:val="18"/>
                <w:szCs w:val="18"/>
                <w:color w:val="auto"/>
              </w:rPr>
            </w:pPr>
          </w:p>
        </w:tc>
        <w:tc>
          <w:tcPr>
            <w:tcW w:w="88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20"/>
        </w:trPr>
        <w:tc>
          <w:tcPr>
            <w:tcW w:w="8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812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80" w:type="dxa"/>
            <w:vAlign w:val="bottom"/>
            <w:tcBorders>
              <w:bottom w:val="single" w:sz="8" w:color="auto"/>
            </w:tcBorders>
            <w:shd w:val="clear" w:color="auto" w:fill="CFF0FC"/>
          </w:tcPr>
          <w:p>
            <w:pPr>
              <w:jc w:val="right"/>
              <w:ind w:right="69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74"/>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-1774190</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-1774190</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-624840</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-608330</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-624840</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-608330</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Certain outstanding options to purchase approximately 0.4 million and 0.6 million shares of common stock were excluded in the computation of diluted earnings per share as of March 31, 2022 and 2021, respectively, as such stock options would have been antidilutive. Certain outstanding RSUs to convert to 7,000 shares of common stock were also excluded in the computation of diluted earnings per share as of March 31, 2021 as such RSUs would have been antidilutive. There were no antidilutive RSUs as of March 31, 2022.</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77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420" w:type="dxa"/>
            <w:vAlign w:val="bottom"/>
          </w:tcPr>
          <w:p>
            <w:pPr>
              <w:spacing w:after="0"/>
              <w:rPr>
                <w:sz w:val="24"/>
                <w:szCs w:val="24"/>
                <w:color w:val="auto"/>
              </w:rPr>
            </w:pPr>
          </w:p>
        </w:tc>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following table presents the details of inventories – net (in thousands):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4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r>
      <w:tr>
        <w:trPr>
          <w:trHeight w:val="187"/>
        </w:trPr>
        <w:tc>
          <w:tcPr>
            <w:tcW w:w="42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8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271,519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260,707</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88,938</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70,643</w:t>
            </w:r>
          </w:p>
        </w:tc>
        <w:tc>
          <w:tcPr>
            <w:tcW w:w="100" w:type="dxa"/>
            <w:vAlign w:val="bottom"/>
          </w:tcPr>
          <w:p>
            <w:pPr>
              <w:spacing w:after="0"/>
              <w:rPr>
                <w:sz w:val="18"/>
                <w:szCs w:val="18"/>
                <w:color w:val="auto"/>
              </w:rPr>
            </w:pPr>
          </w:p>
        </w:tc>
      </w:tr>
      <w:tr>
        <w:trPr>
          <w:trHeight w:val="249"/>
        </w:trPr>
        <w:tc>
          <w:tcPr>
            <w:tcW w:w="420" w:type="dxa"/>
            <w:vAlign w:val="bottom"/>
            <w:tcBorders>
              <w:bottom w:val="single" w:sz="8" w:color="CFF0FC"/>
            </w:tcBorders>
            <w:shd w:val="clear" w:color="auto" w:fill="CFF0FC"/>
          </w:tcPr>
          <w:p>
            <w:pPr>
              <w:spacing w:after="0"/>
              <w:rPr>
                <w:sz w:val="21"/>
                <w:szCs w:val="21"/>
                <w:color w:val="auto"/>
              </w:rPr>
            </w:pPr>
          </w:p>
        </w:tc>
        <w:tc>
          <w:tcPr>
            <w:tcW w:w="77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360,457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331,350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Retirement Plans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-290830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-273685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22"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150" w:lineRule="exact"/>
        <w:rPr>
          <w:sz w:val="20"/>
          <w:szCs w:val="20"/>
          <w:color w:val="auto"/>
        </w:rPr>
      </w:pPr>
    </w:p>
    <w:p>
      <w:pPr>
        <w:jc w:val="both"/>
        <w:ind w:firstLine="569"/>
        <w:spacing w:after="0" w:line="246" w:lineRule="auto"/>
        <w:rPr>
          <w:sz w:val="20"/>
          <w:szCs w:val="20"/>
          <w:color w:val="auto"/>
        </w:rPr>
      </w:pPr>
      <w:r>
        <w:rPr>
          <w:rFonts w:ascii="Times New Roman" w:cs="Times New Roman" w:eastAsia="Times New Roman" w:hAnsi="Times New Roman"/>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2022.</w:t>
      </w:r>
    </w:p>
    <w:p>
      <w:pPr>
        <w:spacing w:after="0" w:line="154"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a contribution of $0.3 million to the Higman pension plan during the three months ended March 31, 2022 and a contribution of $0.2 million during April 2022. The Company expects to make additional contributions of $0.4 million during the remainder of 2022.</w:t>
      </w:r>
    </w:p>
    <w:p>
      <w:pPr>
        <w:spacing w:after="0" w:line="154"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net periodic benefit cost for the Company’s defined benefit plans were as follows (in thousands):</w:t>
      </w:r>
    </w:p>
    <w:p>
      <w:pPr>
        <w:spacing w:after="0" w:line="20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16510</wp:posOffset>
            </wp:positionV>
            <wp:extent cx="39687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p>
      <w:pPr>
        <w:spacing w:after="0" w:line="29"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15875</wp:posOffset>
            </wp:positionV>
            <wp:extent cx="19284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8"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15875</wp:posOffset>
            </wp:positionV>
            <wp:extent cx="19284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8" w:lineRule="exact"/>
        <w:rPr>
          <w:sz w:val="20"/>
          <w:szCs w:val="20"/>
          <w:color w:val="auto"/>
        </w:rPr>
      </w:pPr>
    </w:p>
    <w:p>
      <w:pPr>
        <w:ind w:left="5440"/>
        <w:spacing w:after="0"/>
        <w:tabs>
          <w:tab w:leader="none" w:pos="70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15875</wp:posOffset>
            </wp:positionV>
            <wp:extent cx="18770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15875</wp:posOffset>
            </wp:positionV>
            <wp:extent cx="18770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8" w:lineRule="exact"/>
        <w:rPr>
          <w:sz w:val="20"/>
          <w:szCs w:val="20"/>
          <w:color w:val="auto"/>
        </w:rPr>
      </w:pPr>
    </w:p>
    <w:p>
      <w:pPr>
        <w:ind w:left="40"/>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5" w:lineRule="exact"/>
        <w:rPr>
          <w:sz w:val="20"/>
          <w:szCs w:val="20"/>
          <w:color w:val="auto"/>
        </w:rPr>
      </w:pPr>
    </w:p>
    <w:p>
      <w:pPr>
        <w:sectPr>
          <w:pgSz w:w="11900" w:h="16838" w:orient="portrait"/>
          <w:cols w:equalWidth="0" w:num="2">
            <w:col w:w="7940" w:space="720"/>
            <w:col w:w="2580"/>
          </w:cols>
          <w:pgMar w:left="320" w:top="320"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8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3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8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6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(7,142 )</w:t>
            </w:r>
          </w:p>
        </w:tc>
        <w:tc>
          <w:tcPr>
            <w:tcW w:w="4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(6,574 )</w:t>
            </w:r>
          </w:p>
        </w:tc>
        <w:tc>
          <w:tcPr>
            <w:tcW w:w="6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3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(1,699 )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8"/>
        </w:trPr>
        <w:tc>
          <w:tcPr>
            <w:tcW w:w="4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8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-599440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-599440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-599440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12" w:name="page13"/>
    <w:bookmarkEnd w:id="12"/>
    <w:p>
      <w:pPr>
        <w:ind w:left="560"/>
        <w:spacing w:after="0"/>
        <w:rPr>
          <w:sz w:val="20"/>
          <w:szCs w:val="20"/>
          <w:color w:val="auto"/>
        </w:rPr>
      </w:pPr>
      <w:r>
        <w:rPr>
          <w:rFonts w:ascii="Times New Roman" w:cs="Times New Roman" w:eastAsia="Times New Roman" w:hAnsi="Times New Roman"/>
          <w:sz w:val="18"/>
          <w:szCs w:val="18"/>
          <w:color w:val="auto"/>
        </w:rPr>
        <w:t>The components of net periodic benefit cost for the Company’s postretirement benefit plan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40" w:type="dxa"/>
            <w:vAlign w:val="bottom"/>
          </w:tcPr>
          <w:p>
            <w:pPr>
              <w:spacing w:after="0"/>
              <w:rPr>
                <w:sz w:val="16"/>
                <w:szCs w:val="16"/>
                <w:color w:val="auto"/>
              </w:rPr>
            </w:pPr>
          </w:p>
        </w:tc>
        <w:tc>
          <w:tcPr>
            <w:tcW w:w="2580" w:type="dxa"/>
            <w:vAlign w:val="bottom"/>
            <w:tcBorders>
              <w:bottom w:val="single" w:sz="8" w:color="auto"/>
            </w:tcBorders>
            <w:gridSpan w:val="4"/>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8140" w:type="dxa"/>
            <w:vAlign w:val="bottom"/>
          </w:tcPr>
          <w:p>
            <w:pPr>
              <w:spacing w:after="0"/>
              <w:rPr>
                <w:sz w:val="14"/>
                <w:szCs w:val="14"/>
                <w:color w:val="auto"/>
              </w:rPr>
            </w:pPr>
          </w:p>
        </w:tc>
        <w:tc>
          <w:tcPr>
            <w:tcW w:w="2580" w:type="dxa"/>
            <w:vAlign w:val="bottom"/>
            <w:tcBorders>
              <w:bottom w:val="single" w:sz="8" w:color="auto"/>
            </w:tcBorders>
            <w:gridSpan w:val="4"/>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Postretirement Welfare Plan</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8140" w:type="dxa"/>
            <w:vAlign w:val="bottom"/>
          </w:tcPr>
          <w:p>
            <w:pPr>
              <w:spacing w:after="0"/>
              <w:rPr>
                <w:sz w:val="14"/>
                <w:szCs w:val="14"/>
                <w:color w:val="auto"/>
              </w:rPr>
            </w:pPr>
          </w:p>
        </w:tc>
        <w:tc>
          <w:tcPr>
            <w:tcW w:w="2580" w:type="dxa"/>
            <w:vAlign w:val="bottom"/>
            <w:tcBorders>
              <w:bottom w:val="single" w:sz="8" w:color="auto"/>
            </w:tcBorders>
            <w:gridSpan w:val="4"/>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8140" w:type="dxa"/>
            <w:vAlign w:val="bottom"/>
          </w:tcPr>
          <w:p>
            <w:pPr>
              <w:spacing w:after="0"/>
              <w:rPr>
                <w:sz w:val="14"/>
                <w:szCs w:val="14"/>
                <w:color w:val="auto"/>
              </w:rPr>
            </w:pP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10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r>
      <w:tr>
        <w:trPr>
          <w:trHeight w:val="216"/>
        </w:trPr>
        <w:tc>
          <w:tcPr>
            <w:tcW w:w="8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10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(98 )</w:t>
            </w:r>
          </w:p>
        </w:tc>
        <w:tc>
          <w:tcPr>
            <w:tcW w:w="9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0"/>
        </w:trPr>
        <w:tc>
          <w:tcPr>
            <w:tcW w:w="81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8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000" w:type="dxa"/>
            <w:vAlign w:val="bottom"/>
          </w:tcPr>
          <w:p>
            <w:pPr>
              <w:jc w:val="right"/>
              <w:ind w:right="824"/>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(94 )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0"/>
        </w:trPr>
        <w:tc>
          <w:tcPr>
            <w:tcW w:w="8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-170815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Other Comprehensive Income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changes in other comprehensive income (loss)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8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right"/>
              <w:ind w:right="58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14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Income Tax</w:t>
            </w:r>
          </w:p>
        </w:tc>
        <w:tc>
          <w:tcPr>
            <w:tcW w:w="180" w:type="dxa"/>
            <w:vAlign w:val="bottom"/>
          </w:tcPr>
          <w:p>
            <w:pPr>
              <w:spacing w:after="0"/>
              <w:rPr>
                <w:sz w:val="11"/>
                <w:szCs w:val="11"/>
                <w:color w:val="auto"/>
              </w:rPr>
            </w:pPr>
          </w:p>
        </w:tc>
        <w:tc>
          <w:tcPr>
            <w:tcW w:w="860" w:type="dxa"/>
            <w:vAlign w:val="bottom"/>
          </w:tcPr>
          <w:p>
            <w:pPr>
              <w:jc w:val="right"/>
              <w:ind w:right="337"/>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18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benefits (a):</w:t>
            </w:r>
          </w:p>
        </w:tc>
        <w:tc>
          <w:tcPr>
            <w:tcW w:w="8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8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80" w:type="dxa"/>
            <w:vAlign w:val="bottom"/>
            <w:gridSpan w:val="2"/>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476</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7"/>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(497 )</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495</w:t>
            </w:r>
          </w:p>
        </w:tc>
        <w:tc>
          <w:tcPr>
            <w:tcW w:w="20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-170815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-170815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-170815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left="1000" w:hanging="423"/>
        <w:spacing w:after="0"/>
        <w:tabs>
          <w:tab w:leader="none" w:pos="1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gains (losses) are amortized into other income (expense). (See Note 11, Retirement Plans)</w:t>
      </w:r>
    </w:p>
    <w:p>
      <w:pPr>
        <w:spacing w:after="0" w:line="19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189" w:lineRule="exact"/>
        <w:rPr>
          <w:sz w:val="20"/>
          <w:szCs w:val="20"/>
          <w:color w:val="auto"/>
        </w:rPr>
      </w:pPr>
    </w:p>
    <w:p>
      <w:pPr>
        <w:jc w:val="both"/>
        <w:ind w:firstLine="569"/>
        <w:spacing w:after="0" w:line="241" w:lineRule="auto"/>
        <w:rPr>
          <w:sz w:val="20"/>
          <w:szCs w:val="20"/>
          <w:color w:val="auto"/>
        </w:rPr>
      </w:pPr>
      <w:r>
        <w:rPr>
          <w:rFonts w:ascii="Times New Roman" w:cs="Times New Roman" w:eastAsia="Times New Roman" w:hAnsi="Times New Roman"/>
          <w:sz w:val="18"/>
          <w:szCs w:val="18"/>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60"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50"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$19.7 million at March 31, 2022, including $12.1 million in letters of credit and $7.6 million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562"/>
        <w:spacing w:after="0" w:line="208" w:lineRule="exact"/>
        <w:rPr>
          <w:sz w:val="20"/>
          <w:szCs w:val="20"/>
          <w:color w:val="auto"/>
        </w:rPr>
      </w:pPr>
      <w:r>
        <w:rPr>
          <w:rFonts w:ascii="Times New Roman" w:cs="Times New Roman" w:eastAsia="Times New Roman" w:hAnsi="Times New Roman"/>
          <w:sz w:val="18"/>
          <w:szCs w:val="18"/>
          <w:color w:val="auto"/>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2021. Forward-looking statements are based on currently available information and the Company assumes no obligation to update any such statements. For purposes of Management’s Discussion, all net earnings (loss) per share attributable to Kirby common stockholders are “diluted earnings (loss) per share.”</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562"/>
        <w:spacing w:after="0" w:line="243" w:lineRule="auto"/>
        <w:rPr>
          <w:sz w:val="20"/>
          <w:szCs w:val="20"/>
          <w:color w:val="auto"/>
        </w:rPr>
      </w:pPr>
      <w:r>
        <w:rPr>
          <w:rFonts w:ascii="Times New Roman" w:cs="Times New Roman" w:eastAsia="Times New Roman" w:hAnsi="Times New Roman"/>
          <w:sz w:val="18"/>
          <w:szCs w:val="18"/>
          <w:color w:val="auto"/>
        </w:rPr>
        <w:t>The Company is the nation’s largest domestic tank barge operator, transporting bulk liquid products throughout the Mississippi River System, on the Gulf Intracoastal Waterway, and coastwise along all three United States coasts. The Company transports petrochemicals, black oil, refined petroleum products and agricultural chemicals by tank barge. Through KDS,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and manufactures and remanufactures oilfield service equipment, including pressure pumping units, manufactures cementing and pumping equipment as well as coil tubing and well intervention equipment, electric power generation equipment, specialized electrical distribution and control equipment, and high capacity energy storage/battery systems for oilfield service and railroad customers.</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key operating results of the Company (in thousands,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81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610,782</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496,850</w:t>
            </w:r>
          </w:p>
        </w:tc>
        <w:tc>
          <w:tcPr>
            <w:tcW w:w="80" w:type="dxa"/>
            <w:vAlign w:val="bottom"/>
            <w:shd w:val="clear" w:color="auto" w:fill="CFF0FC"/>
          </w:tcPr>
          <w:p>
            <w:pPr>
              <w:spacing w:after="0"/>
              <w:rPr>
                <w:sz w:val="18"/>
                <w:szCs w:val="18"/>
                <w:color w:val="auto"/>
              </w:rPr>
            </w:pP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Kirby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(3,375 )</w:t>
            </w:r>
          </w:p>
        </w:tc>
      </w:tr>
      <w:tr>
        <w:trPr>
          <w:trHeight w:val="21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 per share attributable to Kirby common stockholders –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21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32,222</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102,558</w:t>
            </w:r>
          </w:p>
        </w:tc>
        <w:tc>
          <w:tcPr>
            <w:tcW w:w="80" w:type="dxa"/>
            <w:vAlign w:val="bottom"/>
          </w:tcPr>
          <w:p>
            <w:pPr>
              <w:spacing w:after="0"/>
              <w:rPr>
                <w:sz w:val="18"/>
                <w:szCs w:val="18"/>
                <w:color w:val="auto"/>
              </w:rPr>
            </w:pPr>
          </w:p>
        </w:tc>
      </w:tr>
      <w:tr>
        <w:trPr>
          <w:trHeight w:val="21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35,075</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14,052</w:t>
            </w:r>
          </w:p>
        </w:tc>
        <w:tc>
          <w:tcPr>
            <w:tcW w:w="80" w:type="dxa"/>
            <w:vAlign w:val="bottom"/>
            <w:shd w:val="clear" w:color="auto" w:fill="CFF0FC"/>
          </w:tcPr>
          <w:p>
            <w:pPr>
              <w:spacing w:after="0"/>
              <w:rPr>
                <w:sz w:val="18"/>
                <w:szCs w:val="18"/>
                <w:color w:val="auto"/>
              </w:rPr>
            </w:pPr>
          </w:p>
        </w:tc>
      </w:tr>
    </w:tbl>
    <w:p>
      <w:pPr>
        <w:spacing w:after="0" w:line="157"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2022 first quarter decreased primarily due to the receipt of a tax refund of $119.5 million, including accrued interest, for the Company’s 2019 federal tax return during the 2021 first quarter. For the 2022 first quarter, capital expenditures of $35.1 million included $30.1 million in KMT and $5.0 million in KDS and corporate, more fully described under cash flow and capital expenditures below.</w:t>
      </w:r>
    </w:p>
    <w:p>
      <w:pPr>
        <w:spacing w:after="0" w:line="142"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The Company projects that capital expenditures for 2022 will be in the $170 million to $190 million range. The 2022 construction program will consist of approximately $5 million for the construction of new inland towboats, $145 million to $155 million primarily for maintenance capital and improvements to existing marine equipment and facilities, and $20 million to $30 million for new machinery and equipment, facilities improvements, and information technology projects in KDS and corporate.</w:t>
      </w:r>
    </w:p>
    <w:p>
      <w:pPr>
        <w:spacing w:after="0" w:line="137"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Company’s debt-to-capitalization ratio decreased to 28.4% at March 31, 2022 from 28.7% at December 31, 2021, primarily due to repayments under the Term Loan in the 2022 first quarter, and an increase in total equity, primarily due to the net earnings attributable to Kirby of $17.4 million. The Company’s debt outstanding as of March 31, 2022 and December 31, 2021 is detailed in Long-Term Financing below.</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175"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For the 2022 first quarter, KMT generated 58% of the Company’s revenues.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KMT is directly affected by the volumes produced by the Company’s petroleum, petrochemical and refining customer base.</w:t>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marine transportation fleet:</w:t>
      </w:r>
    </w:p>
    <w:p>
      <w:pPr>
        <w:spacing w:after="0" w:line="219"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60" w:type="dxa"/>
            <w:vAlign w:val="bottom"/>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tank barges:</w:t>
            </w:r>
          </w:p>
        </w:tc>
        <w:tc>
          <w:tcPr>
            <w:tcW w:w="8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8"/>
                <w:szCs w:val="18"/>
                <w:color w:val="auto"/>
              </w:rPr>
            </w:pPr>
          </w:p>
        </w:tc>
      </w:tr>
      <w:tr>
        <w:trPr>
          <w:trHeight w:val="216"/>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8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8"/>
                <w:szCs w:val="18"/>
                <w:color w:val="auto"/>
              </w:rPr>
            </w:pPr>
          </w:p>
        </w:tc>
      </w:tr>
      <w:tr>
        <w:trPr>
          <w:trHeight w:val="20"/>
        </w:trPr>
        <w:tc>
          <w:tcPr>
            <w:tcW w:w="8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16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Barrel capacity (in millions)</w:t>
            </w:r>
          </w:p>
        </w:tc>
        <w:tc>
          <w:tcPr>
            <w:tcW w:w="8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22.9</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17"/>
                <w:szCs w:val="17"/>
                <w:color w:val="auto"/>
              </w:rPr>
            </w:pPr>
          </w:p>
        </w:tc>
      </w:tr>
      <w:tr>
        <w:trPr>
          <w:trHeight w:val="216"/>
        </w:trPr>
        <w:tc>
          <w:tcPr>
            <w:tcW w:w="90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Active inland towboats (quarter average):</w:t>
            </w: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r>
      <w:tr>
        <w:trPr>
          <w:trHeight w:val="216"/>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88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8"/>
                <w:szCs w:val="18"/>
                <w:color w:val="auto"/>
              </w:rPr>
            </w:pPr>
          </w:p>
        </w:tc>
      </w:tr>
      <w:tr>
        <w:trPr>
          <w:trHeight w:val="20"/>
        </w:trPr>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040" w:type="dxa"/>
            <w:vAlign w:val="bottom"/>
            <w:gridSpan w:val="2"/>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tank barges: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Leased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49"/>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904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Barrel capacity (in millions)</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6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r>
      <w:tr>
        <w:trPr>
          <w:trHeight w:val="216"/>
        </w:trPr>
        <w:tc>
          <w:tcPr>
            <w:tcW w:w="9040" w:type="dxa"/>
            <w:vAlign w:val="bottom"/>
            <w:gridSpan w:val="2"/>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Coastal tugboats: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8"/>
                <w:szCs w:val="18"/>
                <w:color w:val="auto"/>
              </w:rPr>
            </w:pPr>
          </w:p>
        </w:tc>
      </w:tr>
      <w:tr>
        <w:trPr>
          <w:trHeight w:val="216"/>
        </w:trPr>
        <w:tc>
          <w:tcPr>
            <w:tcW w:w="9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Chartered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r>
      <w:tr>
        <w:trPr>
          <w:trHeight w:val="250"/>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904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Offshore dry-bulk cargo barges (owned)</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r>
      <w:tr>
        <w:trPr>
          <w:trHeight w:val="234"/>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Offshore tugboats and docking tugboat (owned and chartered)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-3028315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-3028315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-2171065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-2171065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-1305560</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-1288415</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-1305560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-448310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-431165</wp:posOffset>
            </wp:positionV>
            <wp:extent cx="774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9"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The Company also owns shifting operations and fleeting facilities for dry cargo barges and tank barges on the Houston Ship Channel and in Freeport and Port Arthur, Texas, and Lake Charles, Louisiana, and a shipyard for building towboats and performing routine maintenance near the Houston Ship Channel, as well as a two-thirds interest in Osprey Line, L.L.C., which transports project cargoes and cargo containers by barge.</w:t>
      </w:r>
    </w:p>
    <w:p>
      <w:pPr>
        <w:spacing w:after="0" w:line="1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2022 first quarter, the Company's inland tank barge count and capacity was unchanged.</w:t>
      </w:r>
    </w:p>
    <w:p>
      <w:pPr>
        <w:spacing w:after="0" w:line="185" w:lineRule="exact"/>
        <w:rPr>
          <w:sz w:val="20"/>
          <w:szCs w:val="20"/>
          <w:color w:val="auto"/>
        </w:rPr>
      </w:pPr>
    </w:p>
    <w:p>
      <w:pPr>
        <w:jc w:val="both"/>
        <w:ind w:firstLine="569"/>
        <w:spacing w:after="0" w:line="243" w:lineRule="auto"/>
        <w:rPr>
          <w:sz w:val="20"/>
          <w:szCs w:val="20"/>
          <w:color w:val="auto"/>
        </w:rPr>
      </w:pPr>
      <w:r>
        <w:rPr>
          <w:rFonts w:ascii="Times New Roman" w:cs="Times New Roman" w:eastAsia="Times New Roman" w:hAnsi="Times New Roman"/>
          <w:sz w:val="18"/>
          <w:szCs w:val="18"/>
          <w:color w:val="auto"/>
        </w:rPr>
        <w:t>KMT revenues for the 2022 first quarter increased 18% and operating income increased 773% compared to the 2021 first quarter. The increases for the 2022 first quarter were primarily due to increased tank barge utilization and term and spot pricing in the inland market and increased fuel rebills in the inland and coastal markets. The 2021 first quarter was also heavily impacted by Winter Storm Uri which shut down many Gulf Coast refineries and chemical plants for an extended period of time starting in mid-February. These emergency shutdowns resulted in significantly reduced liquids production and lower volumes for the Company’s inland marine transportation market during the 2021 first quarter. The 2022 and 2021 first quarters were also impacted by poor operating conditions including seasonal wind and fog along the Gulf Coast, flooding on the Mississippi River, and various lock closures along the Gulf Intracoastal Waterway, in addition to ice on the Illinois River. For the 2022 and 2021 first quarters the inland tank barge fleet contributed 78% and 75%, respectively, and the coastal fleet contributed 22% and 25%, respectively, of KMT revenues.</w:t>
      </w:r>
    </w:p>
    <w:p>
      <w:pPr>
        <w:spacing w:after="0" w:line="159"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Inland tank barge utilization levels averaged in the mid-80% range during the 2022 first quarter compared to the mid-70% range during the 2021 first quarter. The 2022 first quarter reflected increasing activity levels as a result of higher refinery and petrochemical plant utilization while the 2021 first quarter was impacted by reduced demand resulting from the effects of the COVID-19 pandemic causing an economic slowdown as well as reduced volumes due to Winter Storm Uri.</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5" w:name="page16"/>
    <w:bookmarkEnd w:id="15"/>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Coastal tank barge utilization levels averaged in the low 90% range during the 2022 first quarter compared to the mid-70% range during the 2021 first quarter. The increase in coastal tank barge utilization during 2022 was primarily due to the retirement of underutilized barges in the 2021 third quarter and some modest improvements in customer demand. Barge utilization in the coastal marine fleet continued to be impacted by the oversupply of tank barges in the coastal industry in 2022 and 2021.</w:t>
      </w:r>
    </w:p>
    <w:p>
      <w:pPr>
        <w:spacing w:after="0" w:line="137"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During both the 2022 and 2021 first quarters approximately 65% of KMT inland revenues were under term contracts and 35% were spot contract revenues. Inland time charters during the 2022 and 2021 first quarters represented 58% and 61%, respectively, of the inland revenues under term contracts. During both the 2022 and 2021 first quarters approximately 80% of the coastal revenues were under term contracts and 20% were spot contract revenues. Coastal time charters represented approximately 90% and 85% of coastal revenues under term contracts during the 2022 and 2021 first quarters, respectively. Term contracts have contract terms of 12 months or longer, while spot contracts have contract terms of less than 12 months.</w:t>
      </w:r>
    </w:p>
    <w:p>
      <w:pPr>
        <w:spacing w:after="0" w:line="154"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2022 compared to contracts renewed during the corresponding quarter of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40" w:type="dxa"/>
            <w:vAlign w:val="bottom"/>
          </w:tcPr>
          <w:p>
            <w:pPr>
              <w:spacing w:after="0"/>
              <w:rPr>
                <w:sz w:val="15"/>
                <w:szCs w:val="15"/>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9640" w:type="dxa"/>
            <w:vAlign w:val="bottom"/>
          </w:tcPr>
          <w:p>
            <w:pPr>
              <w:spacing w:after="0"/>
              <w:rPr>
                <w:sz w:val="16"/>
                <w:szCs w:val="16"/>
                <w:color w:val="auto"/>
              </w:rPr>
            </w:pPr>
          </w:p>
        </w:tc>
        <w:tc>
          <w:tcPr>
            <w:tcW w:w="16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10"/>
        </w:trPr>
        <w:tc>
          <w:tcPr>
            <w:tcW w:w="9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1600" w:type="dxa"/>
            <w:vAlign w:val="bottom"/>
            <w:shd w:val="clear" w:color="auto" w:fill="CFF0FC"/>
          </w:tcPr>
          <w:p>
            <w:pPr>
              <w:spacing w:after="0"/>
              <w:rPr>
                <w:sz w:val="18"/>
                <w:szCs w:val="18"/>
                <w:color w:val="auto"/>
              </w:rPr>
            </w:pPr>
          </w:p>
        </w:tc>
      </w:tr>
      <w:tr>
        <w:trPr>
          <w:trHeight w:val="216"/>
        </w:trPr>
        <w:tc>
          <w:tcPr>
            <w:tcW w:w="9640" w:type="dxa"/>
            <w:vAlign w:val="bottom"/>
          </w:tcPr>
          <w:p>
            <w:pPr>
              <w:jc w:val="center"/>
              <w:ind w:right="8130"/>
              <w:spacing w:after="0"/>
              <w:rPr>
                <w:sz w:val="20"/>
                <w:szCs w:val="20"/>
                <w:color w:val="auto"/>
              </w:rPr>
            </w:pPr>
            <w:r>
              <w:rPr>
                <w:rFonts w:ascii="Times New Roman" w:cs="Times New Roman" w:eastAsia="Times New Roman" w:hAnsi="Times New Roman"/>
                <w:sz w:val="18"/>
                <w:szCs w:val="18"/>
                <w:color w:val="auto"/>
                <w:w w:val="99"/>
              </w:rPr>
              <w:t>Term increase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9%</w:t>
            </w:r>
          </w:p>
        </w:tc>
      </w:tr>
      <w:tr>
        <w:trPr>
          <w:trHeight w:val="216"/>
        </w:trPr>
        <w:tc>
          <w:tcPr>
            <w:tcW w:w="9640" w:type="dxa"/>
            <w:vAlign w:val="bottom"/>
            <w:shd w:val="clear" w:color="auto" w:fill="CFF0FC"/>
          </w:tcPr>
          <w:p>
            <w:pPr>
              <w:jc w:val="center"/>
              <w:ind w:right="8190"/>
              <w:spacing w:after="0"/>
              <w:rPr>
                <w:sz w:val="20"/>
                <w:szCs w:val="20"/>
                <w:color w:val="auto"/>
              </w:rPr>
            </w:pPr>
            <w:r>
              <w:rPr>
                <w:rFonts w:ascii="Times New Roman" w:cs="Times New Roman" w:eastAsia="Times New Roman" w:hAnsi="Times New Roman"/>
                <w:sz w:val="18"/>
                <w:szCs w:val="18"/>
                <w:color w:val="auto"/>
                <w:w w:val="99"/>
              </w:rPr>
              <w:t>Spot increase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 20%</w:t>
            </w:r>
          </w:p>
        </w:tc>
      </w:tr>
      <w:tr>
        <w:trPr>
          <w:trHeight w:val="216"/>
        </w:trPr>
        <w:tc>
          <w:tcPr>
            <w:tcW w:w="9640" w:type="dxa"/>
            <w:vAlign w:val="bottom"/>
          </w:tcPr>
          <w:p>
            <w:pPr>
              <w:jc w:val="center"/>
              <w:ind w:right="8130"/>
              <w:spacing w:after="0"/>
              <w:rPr>
                <w:sz w:val="20"/>
                <w:szCs w:val="20"/>
                <w:color w:val="auto"/>
              </w:rPr>
            </w:pPr>
            <w:r>
              <w:rPr>
                <w:rFonts w:ascii="Times New Roman" w:cs="Times New Roman" w:eastAsia="Times New Roman" w:hAnsi="Times New Roman"/>
                <w:sz w:val="18"/>
                <w:szCs w:val="18"/>
                <w:color w:val="auto"/>
                <w:w w:val="99"/>
              </w:rPr>
              <w:t>Coastal market (a):</w:t>
            </w:r>
          </w:p>
        </w:tc>
        <w:tc>
          <w:tcPr>
            <w:tcW w:w="1600" w:type="dxa"/>
            <w:vAlign w:val="bottom"/>
          </w:tcPr>
          <w:p>
            <w:pPr>
              <w:spacing w:after="0"/>
              <w:rPr>
                <w:sz w:val="18"/>
                <w:szCs w:val="18"/>
                <w:color w:val="auto"/>
              </w:rPr>
            </w:pPr>
          </w:p>
        </w:tc>
      </w:tr>
      <w:tr>
        <w:trPr>
          <w:trHeight w:val="216"/>
        </w:trPr>
        <w:tc>
          <w:tcPr>
            <w:tcW w:w="9640" w:type="dxa"/>
            <w:vAlign w:val="bottom"/>
            <w:shd w:val="clear" w:color="auto" w:fill="CFF0FC"/>
          </w:tcPr>
          <w:p>
            <w:pPr>
              <w:jc w:val="center"/>
              <w:ind w:right="8130"/>
              <w:spacing w:after="0"/>
              <w:rPr>
                <w:sz w:val="20"/>
                <w:szCs w:val="20"/>
                <w:color w:val="auto"/>
              </w:rPr>
            </w:pPr>
            <w:r>
              <w:rPr>
                <w:rFonts w:ascii="Times New Roman" w:cs="Times New Roman" w:eastAsia="Times New Roman" w:hAnsi="Times New Roman"/>
                <w:sz w:val="18"/>
                <w:szCs w:val="18"/>
                <w:color w:val="auto"/>
                <w:w w:val="99"/>
              </w:rPr>
              <w:t>Term increase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 6%</w:t>
            </w:r>
          </w:p>
        </w:tc>
      </w:tr>
      <w:tr>
        <w:trPr>
          <w:trHeight w:val="234"/>
        </w:trPr>
        <w:tc>
          <w:tcPr>
            <w:tcW w:w="9640" w:type="dxa"/>
            <w:vAlign w:val="bottom"/>
          </w:tcPr>
          <w:p>
            <w:pPr>
              <w:jc w:val="center"/>
              <w:ind w:right="8190"/>
              <w:spacing w:after="0"/>
              <w:rPr>
                <w:sz w:val="20"/>
                <w:szCs w:val="20"/>
                <w:color w:val="auto"/>
              </w:rPr>
            </w:pPr>
            <w:r>
              <w:rPr>
                <w:rFonts w:ascii="Times New Roman" w:cs="Times New Roman" w:eastAsia="Times New Roman" w:hAnsi="Times New Roman"/>
                <w:sz w:val="18"/>
                <w:szCs w:val="18"/>
                <w:color w:val="auto"/>
                <w:w w:val="99"/>
              </w:rPr>
              <w:t>Spot increase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 6%</w:t>
            </w:r>
          </w:p>
        </w:tc>
      </w:tr>
    </w:tbl>
    <w:p>
      <w:pPr>
        <w:spacing w:after="0" w:line="139" w:lineRule="exact"/>
        <w:rPr>
          <w:sz w:val="20"/>
          <w:szCs w:val="20"/>
          <w:color w:val="auto"/>
        </w:rPr>
      </w:pPr>
    </w:p>
    <w:p>
      <w:pPr>
        <w:ind w:left="940" w:right="20" w:hanging="370"/>
        <w:spacing w:after="0" w:line="282" w:lineRule="auto"/>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08"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Effective January 1, 2022, annual escalators for labor and the producer price index on a number of inland multi-year contracts resulted in rate increases on those contracts of approximately 5%, excluding fuel.</w:t>
      </w:r>
    </w:p>
    <w:p>
      <w:pPr>
        <w:spacing w:after="0" w:line="1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KMT operating margin was 4.8% and 0.6% for the 2022 and 2021 first quarters,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89" w:lineRule="exact"/>
        <w:rPr>
          <w:sz w:val="20"/>
          <w:szCs w:val="20"/>
          <w:color w:val="auto"/>
        </w:rPr>
      </w:pPr>
    </w:p>
    <w:p>
      <w:pPr>
        <w:jc w:val="both"/>
        <w:ind w:firstLine="562"/>
        <w:spacing w:after="0" w:line="242" w:lineRule="auto"/>
        <w:rPr>
          <w:sz w:val="20"/>
          <w:szCs w:val="20"/>
          <w:color w:val="auto"/>
        </w:rPr>
      </w:pPr>
      <w:r>
        <w:rPr>
          <w:rFonts w:ascii="Times New Roman" w:cs="Times New Roman" w:eastAsia="Times New Roman" w:hAnsi="Times New Roman"/>
          <w:sz w:val="18"/>
          <w:szCs w:val="18"/>
          <w:color w:val="auto"/>
        </w:rPr>
        <w:t>KDS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high capacity lift trucks, and refrigeration trailers for use in a variety of industrial markets, manufactures and remanufactures oilfield service equipment, including pressure pumping units, and manufactures cementing and pumping equipment as well as coil tubing and well intervention equipment, electric power generation equipment, specialized electric distribution and control equipment, and high capacity energy storage/battery systems for oilfield service and railroad customers.</w:t>
      </w:r>
    </w:p>
    <w:p>
      <w:pPr>
        <w:spacing w:after="0" w:line="159"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For the 2022 first quarter KDS generated 42% of the Company’s revenues, of which 88% was generated from service and parts and 12%, from manufacturing. The results of KDS are largely influenced by the economic cycles of the oil and gas, marine, power generation, on-highway, and other related industrial markets.</w:t>
      </w:r>
    </w:p>
    <w:p>
      <w:pPr>
        <w:spacing w:after="0" w:line="129" w:lineRule="exact"/>
        <w:rPr>
          <w:sz w:val="20"/>
          <w:szCs w:val="20"/>
          <w:color w:val="auto"/>
        </w:rPr>
      </w:pPr>
    </w:p>
    <w:p>
      <w:pPr>
        <w:jc w:val="both"/>
        <w:ind w:firstLine="569"/>
        <w:spacing w:after="0" w:line="247" w:lineRule="auto"/>
        <w:rPr>
          <w:sz w:val="20"/>
          <w:szCs w:val="20"/>
          <w:color w:val="auto"/>
        </w:rPr>
      </w:pPr>
      <w:r>
        <w:rPr>
          <w:rFonts w:ascii="Times New Roman" w:cs="Times New Roman" w:eastAsia="Times New Roman" w:hAnsi="Times New Roman"/>
          <w:sz w:val="18"/>
          <w:szCs w:val="18"/>
          <w:color w:val="auto"/>
        </w:rPr>
        <w:t>KDS revenues for the 2022 first quarter increased 30% and operating income increased 277% compared with the 2021 first quarter. In the commercial and industrial market, the increases for the 2022 first quarter were primarily attributable to improved economic activity across the United States which resulted in higher business levels in the marine and on-highway businesses. Increased product sales in Thermo King also contributed favorably to the 2022 first quarter results. In addition, the 2021 first quarter was impacted by Winter Storm Uri which caused reduced activity, especially in the Southern United States, in the commercial and industrial market. For the 2022 first quarter, the commercial and industrial market contributed 58% of KDS revenues.</w:t>
      </w:r>
    </w:p>
    <w:p>
      <w:pPr>
        <w:spacing w:after="0" w:line="153" w:lineRule="exact"/>
        <w:rPr>
          <w:sz w:val="20"/>
          <w:szCs w:val="20"/>
          <w:color w:val="auto"/>
        </w:rPr>
      </w:pPr>
    </w:p>
    <w:p>
      <w:pPr>
        <w:jc w:val="both"/>
        <w:ind w:firstLine="569"/>
        <w:spacing w:after="0" w:line="245" w:lineRule="auto"/>
        <w:rPr>
          <w:sz w:val="20"/>
          <w:szCs w:val="20"/>
          <w:color w:val="auto"/>
        </w:rPr>
      </w:pPr>
      <w:r>
        <w:rPr>
          <w:rFonts w:ascii="Times New Roman" w:cs="Times New Roman" w:eastAsia="Times New Roman" w:hAnsi="Times New Roman"/>
          <w:sz w:val="18"/>
          <w:szCs w:val="18"/>
          <w:color w:val="auto"/>
        </w:rPr>
        <w:t>In the oil and gas market, revenues and operating income improved compared to the 2021 first quarter due to higher oilfield activity which resulted in increased demand for new transmissions and parts in the distribution business. Although the manufacturing business was heavily impacted by supply chain delays, the business continued to experience increased orders and deliveries of new environmentally friendly pressure pumping equipment and power generation equipment for electric fracturing. For the 2022 first quarter, the oil and gas market contributed 42% of KDS revenues.</w:t>
      </w:r>
    </w:p>
    <w:p>
      <w:pPr>
        <w:spacing w:after="0" w:line="1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KDS operating margin was 4.3% and 1.5% for the 2022 and 2021 first quarters, respectively.</w:t>
      </w:r>
    </w:p>
    <w:p>
      <w:pPr>
        <w:spacing w:after="0" w:line="1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7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Although the 2022 first quarter was heavily impacted by the COVID-19 Omicron variant in KMT, activity levels improved considerably in March. KDS also experienced supply chain challenges that impacted the 2022 first quarter but expects overall demand for its products and services to continue to improve as the year progresses. As such, the Company expects both KMT and KDS to deliver continued improved financial results in 2022.</w:t>
      </w:r>
    </w:p>
    <w:p>
      <w:pPr>
        <w:spacing w:after="0" w:line="142" w:lineRule="exact"/>
        <w:rPr>
          <w:sz w:val="20"/>
          <w:szCs w:val="20"/>
          <w:color w:val="auto"/>
        </w:rPr>
      </w:pPr>
    </w:p>
    <w:p>
      <w:pPr>
        <w:jc w:val="both"/>
        <w:ind w:firstLine="569"/>
        <w:spacing w:after="0" w:line="246" w:lineRule="auto"/>
        <w:rPr>
          <w:sz w:val="20"/>
          <w:szCs w:val="20"/>
          <w:color w:val="auto"/>
        </w:rPr>
      </w:pPr>
      <w:r>
        <w:rPr>
          <w:rFonts w:ascii="Times New Roman" w:cs="Times New Roman" w:eastAsia="Times New Roman" w:hAnsi="Times New Roman"/>
          <w:sz w:val="18"/>
          <w:szCs w:val="18"/>
          <w:color w:val="auto"/>
        </w:rPr>
        <w:t>The inland marine transportation market, revenues and operating income are expected to continue to improve, driven by increased barge utilization, improvements in the spot market, and renewals of expiring term contracts at higher rates. Rising costs from inflation, including significantly higher fuel prices, are expected to be headwinds but are anticipated to be largely mitigated when escalations in contracts occur during the second half of the year. In coastal marine, modest improvements in demand and pricing are anticipated in 2022, but revenues and operating income are expected to be impacted by planned shipyard maintenance and ballast water treatment installations on certain vessels for the duration of the year.</w:t>
      </w:r>
    </w:p>
    <w:p>
      <w:pPr>
        <w:spacing w:after="0" w:line="141" w:lineRule="exact"/>
        <w:rPr>
          <w:sz w:val="20"/>
          <w:szCs w:val="20"/>
          <w:color w:val="auto"/>
        </w:rPr>
      </w:pPr>
    </w:p>
    <w:p>
      <w:pPr>
        <w:jc w:val="both"/>
        <w:ind w:firstLine="562"/>
        <w:spacing w:after="0" w:line="247" w:lineRule="auto"/>
        <w:rPr>
          <w:sz w:val="20"/>
          <w:szCs w:val="20"/>
          <w:color w:val="auto"/>
        </w:rPr>
      </w:pPr>
      <w:r>
        <w:rPr>
          <w:rFonts w:ascii="Times New Roman" w:cs="Times New Roman" w:eastAsia="Times New Roman" w:hAnsi="Times New Roman"/>
          <w:sz w:val="18"/>
          <w:szCs w:val="18"/>
          <w:color w:val="auto"/>
        </w:rPr>
        <w:t>KDS results are largely influenced by the cycles of the oil and gas, marine, power generation, on-highway and other related industrial markets. In the oil and gas market, high commodity prices, increasing rig counts, and growing well completions activity are expected to result in increased demand for original equipment manufacturer products, parts, and services as well as for new environmentally friendly pressure pumping equipment and power generation equipment for electric fracturing. In commercial and industrial, favorable economic activity is expected to result in increased demand in power generation, marine repair, and on-highway. Overall, despite ongoing supply chain issues and long lead times, favorable oilfield fundamentals and increased demand in commercial and industrial are expected to result in improved financial results in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175"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On March 31, 2022, the Company paid $3.9 million in cash to purchase assets of a gearbox repair company in KDS. Financing of the purchase was through cash provided by operating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Company’s KMT and KDS revenues and the percentage of each to total revenues for the comparable periods (dollars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00" w:type="dxa"/>
            <w:vAlign w:val="bottom"/>
            <w:gridSpan w:val="2"/>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4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r>
      <w:tr>
        <w:trPr>
          <w:trHeight w:val="210"/>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Marine transportation</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355,536</w:t>
            </w:r>
          </w:p>
        </w:tc>
        <w:tc>
          <w:tcPr>
            <w:tcW w:w="22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300,951</w:t>
            </w:r>
          </w:p>
        </w:tc>
        <w:tc>
          <w:tcPr>
            <w:tcW w:w="20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services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255,246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195,899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r>
      <w:tr>
        <w:trPr>
          <w:trHeight w:val="250"/>
        </w:trPr>
        <w:tc>
          <w:tcPr>
            <w:tcW w:w="48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610,782</w:t>
            </w:r>
          </w:p>
        </w:tc>
        <w:tc>
          <w:tcPr>
            <w:tcW w:w="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496,850</w:t>
            </w:r>
          </w:p>
        </w:tc>
        <w:tc>
          <w:tcPr>
            <w:tcW w:w="2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-24765</wp:posOffset>
            </wp:positionV>
            <wp:extent cx="431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431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1454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1454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342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342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1371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Marine Transportation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KMT revenues, costs and expenses, operating income, and operating margin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4"/>
                <w:szCs w:val="14"/>
                <w:color w:val="auto"/>
              </w:rPr>
            </w:pP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Marine transportation revenues</w:t>
            </w:r>
          </w:p>
        </w:tc>
        <w:tc>
          <w:tcPr>
            <w:tcW w:w="2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355,536</w:t>
            </w:r>
          </w:p>
        </w:tc>
        <w:tc>
          <w:tcPr>
            <w:tcW w:w="3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300,951</w:t>
            </w:r>
          </w:p>
        </w:tc>
        <w:tc>
          <w:tcPr>
            <w:tcW w:w="3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254,359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214,125</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30,578</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44,086</w:t>
            </w:r>
          </w:p>
        </w:tc>
        <w:tc>
          <w:tcPr>
            <w:tcW w:w="3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47,579</w:t>
            </w:r>
          </w:p>
        </w:tc>
        <w:tc>
          <w:tcPr>
            <w:tcW w:w="36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338,601</w:t>
            </w:r>
          </w:p>
        </w:tc>
        <w:tc>
          <w:tcPr>
            <w:tcW w:w="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299,011</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3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3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773 %</w:t>
            </w:r>
          </w:p>
        </w:tc>
        <w:tc>
          <w:tcPr>
            <w:tcW w:w="0" w:type="dxa"/>
            <w:vAlign w:val="bottom"/>
          </w:tcPr>
          <w:p>
            <w:pPr>
              <w:spacing w:after="0"/>
              <w:rPr>
                <w:sz w:val="1"/>
                <w:szCs w:val="1"/>
                <w:color w:val="auto"/>
              </w:rPr>
            </w:pPr>
          </w:p>
        </w:tc>
      </w:tr>
      <w:tr>
        <w:trPr>
          <w:trHeight w:val="197"/>
        </w:trPr>
        <w:tc>
          <w:tcPr>
            <w:tcW w:w="42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margins</w:t>
            </w:r>
          </w:p>
        </w:tc>
        <w:tc>
          <w:tcPr>
            <w:tcW w:w="2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4.8 %</w:t>
            </w:r>
          </w:p>
        </w:tc>
        <w:tc>
          <w:tcPr>
            <w:tcW w:w="300" w:type="dxa"/>
            <w:vAlign w:val="bottom"/>
          </w:tcPr>
          <w:p>
            <w:pPr>
              <w:spacing w:after="0"/>
              <w:rPr>
                <w:sz w:val="17"/>
                <w:szCs w:val="17"/>
                <w:color w:val="auto"/>
              </w:rPr>
            </w:pPr>
          </w:p>
        </w:tc>
        <w:tc>
          <w:tcPr>
            <w:tcW w:w="13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0.6 %</w:t>
            </w: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6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2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-1757045</wp:posOffset>
            </wp:positionV>
            <wp:extent cx="1454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-1757045</wp:posOffset>
            </wp:positionV>
            <wp:extent cx="137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-925195</wp:posOffset>
            </wp:positionV>
            <wp:extent cx="1454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-925195</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-633730</wp:posOffset>
            </wp:positionV>
            <wp:extent cx="1454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-616585</wp:posOffset>
            </wp:positionV>
            <wp:extent cx="1454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-633730</wp:posOffset>
            </wp:positionV>
            <wp:extent cx="1371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-616585</wp:posOffset>
            </wp:positionV>
            <wp:extent cx="137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7" w:name="page18"/>
    <w:bookmarkEnd w:id="17"/>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Revenues</w:t>
      </w:r>
    </w:p>
    <w:p>
      <w:pPr>
        <w:spacing w:after="0" w:line="17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following table shows the marine transportation markets serviced by the Company, KMT revenue distribution, products moved and the drivers of the demand for the products the Company transports: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First Quarter</w:t>
            </w:r>
          </w:p>
        </w:tc>
        <w:tc>
          <w:tcPr>
            <w:tcW w:w="1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Pr>
          <w:p>
            <w:pPr>
              <w:spacing w:after="0"/>
              <w:rPr>
                <w:sz w:val="14"/>
                <w:szCs w:val="14"/>
                <w:color w:val="auto"/>
              </w:rPr>
            </w:pPr>
          </w:p>
        </w:tc>
        <w:tc>
          <w:tcPr>
            <w:tcW w:w="424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Products Moved</w:t>
            </w:r>
          </w:p>
        </w:tc>
        <w:tc>
          <w:tcPr>
            <w:tcW w:w="160" w:type="dxa"/>
            <w:vAlign w:val="bottom"/>
          </w:tcPr>
          <w:p>
            <w:pPr>
              <w:spacing w:after="0"/>
              <w:rPr>
                <w:sz w:val="14"/>
                <w:szCs w:val="14"/>
                <w:color w:val="auto"/>
              </w:rPr>
            </w:pPr>
          </w:p>
        </w:tc>
        <w:tc>
          <w:tcPr>
            <w:tcW w:w="268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Drivers</w:t>
            </w:r>
          </w:p>
        </w:tc>
        <w:tc>
          <w:tcPr>
            <w:tcW w:w="0" w:type="dxa"/>
            <w:vAlign w:val="bottom"/>
          </w:tcPr>
          <w:p>
            <w:pPr>
              <w:spacing w:after="0"/>
              <w:rPr>
                <w:sz w:val="1"/>
                <w:szCs w:val="1"/>
                <w:color w:val="auto"/>
              </w:rPr>
            </w:pPr>
          </w:p>
        </w:tc>
      </w:tr>
      <w:tr>
        <w:trPr>
          <w:trHeight w:val="187"/>
        </w:trPr>
        <w:tc>
          <w:tcPr>
            <w:tcW w:w="21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Serviced</w:t>
            </w:r>
          </w:p>
        </w:tc>
        <w:tc>
          <w:tcPr>
            <w:tcW w:w="20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6"/>
                <w:szCs w:val="16"/>
                <w:color w:val="auto"/>
              </w:rPr>
            </w:pPr>
          </w:p>
        </w:tc>
        <w:tc>
          <w:tcPr>
            <w:tcW w:w="42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16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Petrochemicals</w:t>
            </w:r>
          </w:p>
        </w:tc>
        <w:tc>
          <w:tcPr>
            <w:tcW w:w="200" w:type="dxa"/>
            <w:vAlign w:val="bottom"/>
            <w:shd w:val="clear" w:color="auto" w:fill="CFF0FC"/>
          </w:tcPr>
          <w:p>
            <w:pPr>
              <w:spacing w:after="0"/>
              <w:rPr>
                <w:sz w:val="14"/>
                <w:szCs w:val="14"/>
                <w:color w:val="auto"/>
              </w:rPr>
            </w:pPr>
          </w:p>
        </w:tc>
        <w:tc>
          <w:tcPr>
            <w:tcW w:w="1640" w:type="dxa"/>
            <w:vAlign w:val="bottom"/>
            <w:shd w:val="clear" w:color="auto" w:fill="CFF0FC"/>
          </w:tcPr>
          <w:p>
            <w:pPr>
              <w:jc w:val="center"/>
              <w:spacing w:after="0" w:line="164" w:lineRule="exact"/>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FF0FC"/>
          </w:tcPr>
          <w:p>
            <w:pPr>
              <w:spacing w:after="0"/>
              <w:rPr>
                <w:sz w:val="14"/>
                <w:szCs w:val="14"/>
                <w:color w:val="auto"/>
              </w:rPr>
            </w:pPr>
          </w:p>
        </w:tc>
        <w:tc>
          <w:tcPr>
            <w:tcW w:w="424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Benzene, Styrene, Methanol, Acrylonitrile, Xylene,</w:t>
            </w:r>
          </w:p>
        </w:tc>
        <w:tc>
          <w:tcPr>
            <w:tcW w:w="160" w:type="dxa"/>
            <w:vAlign w:val="bottom"/>
            <w:shd w:val="clear" w:color="auto" w:fill="CFF0FC"/>
          </w:tcPr>
          <w:p>
            <w:pPr>
              <w:spacing w:after="0"/>
              <w:rPr>
                <w:sz w:val="14"/>
                <w:szCs w:val="14"/>
                <w:color w:val="auto"/>
              </w:rPr>
            </w:pPr>
          </w:p>
        </w:tc>
        <w:tc>
          <w:tcPr>
            <w:tcW w:w="268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Consumer non-durables – 70%,</w:t>
            </w:r>
          </w:p>
        </w:tc>
        <w:tc>
          <w:tcPr>
            <w:tcW w:w="0" w:type="dxa"/>
            <w:vAlign w:val="bottom"/>
          </w:tcPr>
          <w:p>
            <w:pPr>
              <w:spacing w:after="0"/>
              <w:rPr>
                <w:sz w:val="1"/>
                <w:szCs w:val="1"/>
                <w:color w:val="auto"/>
              </w:rPr>
            </w:pPr>
          </w:p>
        </w:tc>
      </w:tr>
      <w:tr>
        <w:trPr>
          <w:trHeight w:val="234"/>
        </w:trPr>
        <w:tc>
          <w:tcPr>
            <w:tcW w:w="2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Naphtha, Caustic Soda, Butadiene, Propylene</w:t>
            </w:r>
          </w:p>
        </w:tc>
        <w:tc>
          <w:tcPr>
            <w:tcW w:w="160" w:type="dxa"/>
            <w:vAlign w:val="bottom"/>
            <w:shd w:val="clear" w:color="auto" w:fill="CFF0FC"/>
          </w:tcPr>
          <w:p>
            <w:pPr>
              <w:spacing w:after="0"/>
              <w:rPr>
                <w:sz w:val="20"/>
                <w:szCs w:val="20"/>
                <w:color w:val="auto"/>
              </w:rPr>
            </w:pPr>
          </w:p>
        </w:tc>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durables – 30%</w:t>
            </w:r>
          </w:p>
        </w:tc>
        <w:tc>
          <w:tcPr>
            <w:tcW w:w="0" w:type="dxa"/>
            <w:vAlign w:val="bottom"/>
          </w:tcPr>
          <w:p>
            <w:pPr>
              <w:spacing w:after="0"/>
              <w:rPr>
                <w:sz w:val="1"/>
                <w:szCs w:val="1"/>
                <w:color w:val="auto"/>
              </w:rPr>
            </w:pPr>
          </w:p>
        </w:tc>
      </w:tr>
      <w:tr>
        <w:trPr>
          <w:trHeight w:val="171"/>
        </w:trPr>
        <w:tc>
          <w:tcPr>
            <w:tcW w:w="21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Black Oil</w:t>
            </w:r>
          </w:p>
        </w:tc>
        <w:tc>
          <w:tcPr>
            <w:tcW w:w="1840" w:type="dxa"/>
            <w:vAlign w:val="bottom"/>
            <w:gridSpan w:val="2"/>
          </w:tcPr>
          <w:p>
            <w:pPr>
              <w:jc w:val="center"/>
              <w:ind w:left="90"/>
              <w:spacing w:after="0" w:line="170" w:lineRule="exact"/>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4"/>
                <w:szCs w:val="14"/>
                <w:color w:val="auto"/>
              </w:rPr>
            </w:pPr>
          </w:p>
        </w:tc>
        <w:tc>
          <w:tcPr>
            <w:tcW w:w="42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Residual Fuel Oil, Coker Feedstock, Vacuum Gas Oil,</w:t>
            </w:r>
          </w:p>
        </w:tc>
        <w:tc>
          <w:tcPr>
            <w:tcW w:w="160" w:type="dxa"/>
            <w:vAlign w:val="bottom"/>
          </w:tcPr>
          <w:p>
            <w:pPr>
              <w:spacing w:after="0"/>
              <w:rPr>
                <w:sz w:val="14"/>
                <w:szCs w:val="14"/>
                <w:color w:val="auto"/>
              </w:rPr>
            </w:pPr>
          </w:p>
        </w:tc>
        <w:tc>
          <w:tcPr>
            <w:tcW w:w="26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Fuel for Power Plants and Ships,</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Asphalt, Carbon Black Feedstock, Crude Oil, Natural Gas</w:t>
            </w:r>
          </w:p>
        </w:tc>
        <w:tc>
          <w:tcPr>
            <w:tcW w:w="160" w:type="dxa"/>
            <w:vAlign w:val="bottom"/>
          </w:tcPr>
          <w:p>
            <w:pPr>
              <w:spacing w:after="0"/>
              <w:rPr>
                <w:sz w:val="16"/>
                <w:szCs w:val="16"/>
                <w:color w:val="auto"/>
              </w:rPr>
            </w:pPr>
          </w:p>
        </w:tc>
        <w:tc>
          <w:tcPr>
            <w:tcW w:w="2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Feedstock for Refineries, Road</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Condensate, Ship Bunkers</w:t>
            </w:r>
          </w:p>
        </w:tc>
        <w:tc>
          <w:tcPr>
            <w:tcW w:w="16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0" w:type="dxa"/>
            <w:vAlign w:val="bottom"/>
          </w:tcPr>
          <w:p>
            <w:pPr>
              <w:spacing w:after="0"/>
              <w:rPr>
                <w:sz w:val="1"/>
                <w:szCs w:val="1"/>
                <w:color w:val="auto"/>
              </w:rPr>
            </w:pPr>
          </w:p>
        </w:tc>
      </w:tr>
      <w:tr>
        <w:trPr>
          <w:trHeight w:val="171"/>
        </w:trPr>
        <w:tc>
          <w:tcPr>
            <w:tcW w:w="21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Refined Petroleum Products</w:t>
            </w:r>
          </w:p>
        </w:tc>
        <w:tc>
          <w:tcPr>
            <w:tcW w:w="1840" w:type="dxa"/>
            <w:vAlign w:val="bottom"/>
            <w:gridSpan w:val="2"/>
            <w:shd w:val="clear" w:color="auto" w:fill="CFF0FC"/>
          </w:tcPr>
          <w:p>
            <w:pPr>
              <w:jc w:val="center"/>
              <w:ind w:left="90"/>
              <w:spacing w:after="0" w:line="170" w:lineRule="exact"/>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FF0FC"/>
          </w:tcPr>
          <w:p>
            <w:pPr>
              <w:spacing w:after="0"/>
              <w:rPr>
                <w:sz w:val="14"/>
                <w:szCs w:val="14"/>
                <w:color w:val="auto"/>
              </w:rPr>
            </w:pPr>
          </w:p>
        </w:tc>
        <w:tc>
          <w:tcPr>
            <w:tcW w:w="424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Gasoline, No. 2 Oil, Jet Fuel, Heating Oil, Diesel Fuel,</w:t>
            </w:r>
          </w:p>
        </w:tc>
        <w:tc>
          <w:tcPr>
            <w:tcW w:w="160" w:type="dxa"/>
            <w:vAlign w:val="bottom"/>
            <w:shd w:val="clear" w:color="auto" w:fill="CFF0FC"/>
          </w:tcPr>
          <w:p>
            <w:pPr>
              <w:spacing w:after="0"/>
              <w:rPr>
                <w:sz w:val="14"/>
                <w:szCs w:val="14"/>
                <w:color w:val="auto"/>
              </w:rPr>
            </w:pPr>
          </w:p>
        </w:tc>
        <w:tc>
          <w:tcPr>
            <w:tcW w:w="26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Vehicle Usage, Air Travel, Weather</w:t>
            </w:r>
          </w:p>
        </w:tc>
        <w:tc>
          <w:tcPr>
            <w:tcW w:w="0" w:type="dxa"/>
            <w:vAlign w:val="bottom"/>
          </w:tcPr>
          <w:p>
            <w:pPr>
              <w:spacing w:after="0"/>
              <w:rPr>
                <w:sz w:val="1"/>
                <w:szCs w:val="1"/>
                <w:color w:val="auto"/>
              </w:rPr>
            </w:pPr>
          </w:p>
        </w:tc>
      </w:tr>
      <w:tr>
        <w:trPr>
          <w:trHeight w:val="234"/>
        </w:trPr>
        <w:tc>
          <w:tcPr>
            <w:tcW w:w="2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Ethanol</w:t>
            </w:r>
          </w:p>
        </w:tc>
        <w:tc>
          <w:tcPr>
            <w:tcW w:w="160" w:type="dxa"/>
            <w:vAlign w:val="bottom"/>
            <w:shd w:val="clear" w:color="auto" w:fill="CFF0FC"/>
          </w:tcPr>
          <w:p>
            <w:pPr>
              <w:spacing w:after="0"/>
              <w:rPr>
                <w:sz w:val="20"/>
                <w:szCs w:val="20"/>
                <w:color w:val="auto"/>
              </w:rPr>
            </w:pPr>
          </w:p>
        </w:tc>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Conditions, Refinery Utilization</w:t>
            </w:r>
          </w:p>
        </w:tc>
        <w:tc>
          <w:tcPr>
            <w:tcW w:w="0" w:type="dxa"/>
            <w:vAlign w:val="bottom"/>
          </w:tcPr>
          <w:p>
            <w:pPr>
              <w:spacing w:after="0"/>
              <w:rPr>
                <w:sz w:val="1"/>
                <w:szCs w:val="1"/>
                <w:color w:val="auto"/>
              </w:rPr>
            </w:pPr>
          </w:p>
        </w:tc>
      </w:tr>
      <w:tr>
        <w:trPr>
          <w:trHeight w:val="171"/>
        </w:trPr>
        <w:tc>
          <w:tcPr>
            <w:tcW w:w="21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Agricultural Chemicals</w:t>
            </w:r>
          </w:p>
        </w:tc>
        <w:tc>
          <w:tcPr>
            <w:tcW w:w="1840" w:type="dxa"/>
            <w:vAlign w:val="bottom"/>
            <w:gridSpan w:val="2"/>
          </w:tcPr>
          <w:p>
            <w:pPr>
              <w:jc w:val="center"/>
              <w:ind w:left="110"/>
              <w:spacing w:after="0" w:line="170" w:lineRule="exact"/>
              <w:rPr>
                <w:sz w:val="20"/>
                <w:szCs w:val="20"/>
                <w:color w:val="auto"/>
              </w:rPr>
            </w:pPr>
            <w:r>
              <w:rPr>
                <w:rFonts w:ascii="Times New Roman" w:cs="Times New Roman" w:eastAsia="Times New Roman" w:hAnsi="Times New Roman"/>
                <w:sz w:val="18"/>
                <w:szCs w:val="18"/>
                <w:color w:val="auto"/>
                <w:w w:val="99"/>
              </w:rPr>
              <w:t>4%</w:t>
            </w:r>
          </w:p>
        </w:tc>
        <w:tc>
          <w:tcPr>
            <w:tcW w:w="160" w:type="dxa"/>
            <w:vAlign w:val="bottom"/>
          </w:tcPr>
          <w:p>
            <w:pPr>
              <w:spacing w:after="0"/>
              <w:rPr>
                <w:sz w:val="14"/>
                <w:szCs w:val="14"/>
                <w:color w:val="auto"/>
              </w:rPr>
            </w:pPr>
          </w:p>
        </w:tc>
        <w:tc>
          <w:tcPr>
            <w:tcW w:w="42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Anhydrous Ammonia, Nitrogen – Based Liquid Fertilizer,</w:t>
            </w:r>
          </w:p>
        </w:tc>
        <w:tc>
          <w:tcPr>
            <w:tcW w:w="160" w:type="dxa"/>
            <w:vAlign w:val="bottom"/>
          </w:tcPr>
          <w:p>
            <w:pPr>
              <w:spacing w:after="0"/>
              <w:rPr>
                <w:sz w:val="14"/>
                <w:szCs w:val="14"/>
                <w:color w:val="auto"/>
              </w:rPr>
            </w:pPr>
          </w:p>
        </w:tc>
        <w:tc>
          <w:tcPr>
            <w:tcW w:w="26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w w:val="99"/>
              </w:rPr>
              <w:t>Corn, Cotton and Wheat Production,</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Ammonia</w:t>
            </w:r>
          </w:p>
        </w:tc>
        <w:tc>
          <w:tcPr>
            <w:tcW w:w="16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Feedstock Usage</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569"/>
        <w:spacing w:after="0" w:line="243" w:lineRule="auto"/>
        <w:rPr>
          <w:sz w:val="20"/>
          <w:szCs w:val="20"/>
          <w:color w:val="auto"/>
        </w:rPr>
      </w:pPr>
      <w:r>
        <w:rPr>
          <w:rFonts w:ascii="Times New Roman" w:cs="Times New Roman" w:eastAsia="Times New Roman" w:hAnsi="Times New Roman"/>
          <w:sz w:val="18"/>
          <w:szCs w:val="18"/>
          <w:color w:val="auto"/>
        </w:rPr>
        <w:t>KMT revenues for the 2022 first quarter increased 18% compared to the 2021 first quarter revenues. The increase for the 2022 first quarter was primarily due to increased tank barge utilization and term and spot pricing in the inland market and increased fuel rebills in the inland and coastal markets. The 2021 first quarter was also heavily impacted by Winter Storm Uri which shut down many Gulf Coast refineries and chemical plants for an extended period of time starting in mid-February. These emergency shutdowns resulted in significantly reduced liquids production and lower volumes for the Company’s inland marine transportation market during the 2021 first quarter. The 2022 and 2021 first quarters were also impacted by poor operating conditions including seasonal wind and fog along the Gulf Coast, flooding on the Mississippi River, and various lock closures along the Gulf Intracoastal Waterway, in addition to ice on the Illinois River. For the 2022 and 2021 first quarters the inland tank barge fleet contributed 78% and 75%, respectively, and the coastal fleet contributed 22% and 25%, respectively, of KMT revenues.</w:t>
      </w:r>
    </w:p>
    <w:p>
      <w:pPr>
        <w:spacing w:after="0" w:line="146"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Inland tank barge utilization levels averaged in the mid-80% range during the 2022 first quarter compared to the mid-70% range during the 2021 first quarter. The 2022 first quarter reflected increasing activity levels as a result of higher refinery and petrochemical plant utilization while the 2021 first quarter was impacted by reduced demand resulting from the effects of the COVID-19 pandemic causing an economic slowdown as well as reduced volumes due to Winter Storm Uri.</w:t>
      </w:r>
    </w:p>
    <w:p>
      <w:pPr>
        <w:spacing w:after="0" w:line="150"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Coastal tank barge utilization levels averaged in the low 90% range during the 2022 first quarter compared to the mid-70% range during the 2021 first quarter. The increase in coastal tank barge utilization during 2022 was primarily due to the retirement of underutilized barges in the 2021 third quarter and some modest improvements in customer demand. Barge utilization in the coastal marine fleet continued to be impacted by the oversupply of tank barges in the coastal industry in 2022 and 2021.</w:t>
      </w:r>
    </w:p>
    <w:p>
      <w:pPr>
        <w:spacing w:after="0" w:line="150"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The petrochemical market, the Company’s largest market, contributed 50% of KMT revenues for the 2022 first quarter, reflecting increased volumes and utilization from Gulf Coast petrochemical plants as a result of improved economic conditions following the height of the COVID-19 pandemic.</w:t>
      </w:r>
    </w:p>
    <w:p>
      <w:pPr>
        <w:spacing w:after="0" w:line="150" w:lineRule="exact"/>
        <w:rPr>
          <w:sz w:val="20"/>
          <w:szCs w:val="20"/>
          <w:color w:val="auto"/>
        </w:rPr>
      </w:pPr>
    </w:p>
    <w:p>
      <w:pPr>
        <w:jc w:val="both"/>
        <w:ind w:firstLine="562"/>
        <w:spacing w:after="0" w:line="264" w:lineRule="auto"/>
        <w:rPr>
          <w:sz w:val="20"/>
          <w:szCs w:val="20"/>
          <w:color w:val="auto"/>
        </w:rPr>
      </w:pPr>
      <w:r>
        <w:rPr>
          <w:rFonts w:ascii="Times New Roman" w:cs="Times New Roman" w:eastAsia="Times New Roman" w:hAnsi="Times New Roman"/>
          <w:sz w:val="17"/>
          <w:szCs w:val="17"/>
          <w:color w:val="auto"/>
        </w:rPr>
        <w:t>The black oil market, which contributed 26% of KMT revenues for the 2022 first quarter, reflected improved demand as refinery utilization and production levels of refined petroleum products and fuel oils increased following the height of the COVID-19 pandemic. During the 2022 first quarter, the Company transported crude oil and natural gas condensate produced from the Permian Basin and the Eagle Ford shale formation in Texas, both along the Gulf Intracoastal Waterway with inland vessels and in the Gulf of Mexico with coastal equipment. Additionally, the Company transported volumes of Utica natural gas condensate downriver from the Mid-Atlantic to the Gulf Coast and Canadian and Bakken crude downriver from the Midwest to the Gulf Coast.</w:t>
      </w:r>
    </w:p>
    <w:p>
      <w:pPr>
        <w:spacing w:after="0" w:line="140"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The refined petroleum products market, which contributed 20% of KMT revenues for the 2022 first quarter, reflected increased volumes in the inland market as refinery utilization and product levels improved following the height of the COVID-19 pandemic.</w:t>
      </w:r>
    </w:p>
    <w:p>
      <w:pPr>
        <w:spacing w:after="0" w:line="13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agricultural chemical market, which contributed 4% of KMT revenues for the 2022 first quarter, reflected improved demand for transportation of both domestically produced and imported products, primarily due to improved economic conditions following the height of the COVID-19 pandemic.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8" w:name="page19"/>
    <w:bookmarkEnd w:id="18"/>
    <w:p>
      <w:pPr>
        <w:jc w:val="both"/>
        <w:ind w:firstLine="569"/>
        <w:spacing w:after="0" w:line="244" w:lineRule="auto"/>
        <w:rPr>
          <w:sz w:val="20"/>
          <w:szCs w:val="20"/>
          <w:color w:val="auto"/>
        </w:rPr>
      </w:pPr>
      <w:r>
        <w:rPr>
          <w:rFonts w:ascii="Times New Roman" w:cs="Times New Roman" w:eastAsia="Times New Roman" w:hAnsi="Times New Roman"/>
          <w:sz w:val="18"/>
          <w:szCs w:val="18"/>
          <w:color w:val="auto"/>
        </w:rPr>
        <w:t>For the 2022 first quarter, the inland operations incurred 3,137 delay days, 10% more than the 2,854 delay days that occurred during the 2021 first quarter. Delay days measure the lost time incurred by a tow (towboat and one or more tank barges) during transit when the tow is stopped due to weather, lock conditions, or other navigational factors. Delay days reflected poor operating conditions due to heavy wind and fog along the Gulf Coast and high water conditions on the Mississippi River System during the 2022 and 2021 first quarters. The 2022 first quarter was also impacted by ice on the Illinois River while the 2021 first quarter was impacted by closures of key waterways as a result of lock maintenance projects. The increase in delay days in the 2022 first quarter reflects increased volumes and barge utilization compared to the 2021 first quarter.</w:t>
      </w:r>
    </w:p>
    <w:p>
      <w:pPr>
        <w:spacing w:after="0" w:line="155"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During both the 2022 and 2021 first quarters approximately 65% of KMT inland revenues were under term contracts and 35% were spot contract revenues. Inland time charters during the 2022 and 2021 first quarters represented 58% and 61%, respectively, of the inland revenues under term contracts. During both the 2022 and 2021 first quarters approximately 80% of the coastal revenues were under term contracts and 20% were spot contract revenues. Coastal time charters represented approximately 90% and 85% of coastal revenues under term contracts during the 2022 and 2021 first quarters, respectively. Term contracts have contract terms of 12 months or longer, while spot contracts have contract terms of less than 12 months.</w:t>
      </w:r>
    </w:p>
    <w:p>
      <w:pPr>
        <w:spacing w:after="0" w:line="154"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average range of pricing changes in term and spot contracts renewed during 2022 compared to contracts renewed during the corresponding quarter of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640" w:type="dxa"/>
            <w:vAlign w:val="bottom"/>
          </w:tcPr>
          <w:p>
            <w:pPr>
              <w:spacing w:after="0"/>
              <w:rPr>
                <w:sz w:val="15"/>
                <w:szCs w:val="15"/>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9640" w:type="dxa"/>
            <w:vAlign w:val="bottom"/>
          </w:tcPr>
          <w:p>
            <w:pPr>
              <w:spacing w:after="0"/>
              <w:rPr>
                <w:sz w:val="16"/>
                <w:szCs w:val="16"/>
                <w:color w:val="auto"/>
              </w:rPr>
            </w:pPr>
          </w:p>
        </w:tc>
        <w:tc>
          <w:tcPr>
            <w:tcW w:w="16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210"/>
        </w:trPr>
        <w:tc>
          <w:tcPr>
            <w:tcW w:w="9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Inland market:</w:t>
            </w:r>
          </w:p>
        </w:tc>
        <w:tc>
          <w:tcPr>
            <w:tcW w:w="1600" w:type="dxa"/>
            <w:vAlign w:val="bottom"/>
            <w:shd w:val="clear" w:color="auto" w:fill="CFF0FC"/>
          </w:tcPr>
          <w:p>
            <w:pPr>
              <w:spacing w:after="0"/>
              <w:rPr>
                <w:sz w:val="18"/>
                <w:szCs w:val="18"/>
                <w:color w:val="auto"/>
              </w:rPr>
            </w:pPr>
          </w:p>
        </w:tc>
      </w:tr>
      <w:tr>
        <w:trPr>
          <w:trHeight w:val="216"/>
        </w:trPr>
        <w:tc>
          <w:tcPr>
            <w:tcW w:w="9640" w:type="dxa"/>
            <w:vAlign w:val="bottom"/>
          </w:tcPr>
          <w:p>
            <w:pPr>
              <w:jc w:val="center"/>
              <w:ind w:right="8130"/>
              <w:spacing w:after="0"/>
              <w:rPr>
                <w:sz w:val="20"/>
                <w:szCs w:val="20"/>
                <w:color w:val="auto"/>
              </w:rPr>
            </w:pPr>
            <w:r>
              <w:rPr>
                <w:rFonts w:ascii="Times New Roman" w:cs="Times New Roman" w:eastAsia="Times New Roman" w:hAnsi="Times New Roman"/>
                <w:sz w:val="18"/>
                <w:szCs w:val="18"/>
                <w:color w:val="auto"/>
                <w:w w:val="99"/>
              </w:rPr>
              <w:t>Term increase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9%</w:t>
            </w:r>
          </w:p>
        </w:tc>
      </w:tr>
      <w:tr>
        <w:trPr>
          <w:trHeight w:val="216"/>
        </w:trPr>
        <w:tc>
          <w:tcPr>
            <w:tcW w:w="9640" w:type="dxa"/>
            <w:vAlign w:val="bottom"/>
            <w:shd w:val="clear" w:color="auto" w:fill="CFF0FC"/>
          </w:tcPr>
          <w:p>
            <w:pPr>
              <w:jc w:val="center"/>
              <w:ind w:right="8190"/>
              <w:spacing w:after="0"/>
              <w:rPr>
                <w:sz w:val="20"/>
                <w:szCs w:val="20"/>
                <w:color w:val="auto"/>
              </w:rPr>
            </w:pPr>
            <w:r>
              <w:rPr>
                <w:rFonts w:ascii="Times New Roman" w:cs="Times New Roman" w:eastAsia="Times New Roman" w:hAnsi="Times New Roman"/>
                <w:sz w:val="18"/>
                <w:szCs w:val="18"/>
                <w:color w:val="auto"/>
                <w:w w:val="99"/>
              </w:rPr>
              <w:t>Spot increase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 20%</w:t>
            </w:r>
          </w:p>
        </w:tc>
      </w:tr>
      <w:tr>
        <w:trPr>
          <w:trHeight w:val="216"/>
        </w:trPr>
        <w:tc>
          <w:tcPr>
            <w:tcW w:w="9640" w:type="dxa"/>
            <w:vAlign w:val="bottom"/>
          </w:tcPr>
          <w:p>
            <w:pPr>
              <w:jc w:val="center"/>
              <w:ind w:right="8130"/>
              <w:spacing w:after="0"/>
              <w:rPr>
                <w:sz w:val="20"/>
                <w:szCs w:val="20"/>
                <w:color w:val="auto"/>
              </w:rPr>
            </w:pPr>
            <w:r>
              <w:rPr>
                <w:rFonts w:ascii="Times New Roman" w:cs="Times New Roman" w:eastAsia="Times New Roman" w:hAnsi="Times New Roman"/>
                <w:sz w:val="18"/>
                <w:szCs w:val="18"/>
                <w:color w:val="auto"/>
                <w:w w:val="99"/>
              </w:rPr>
              <w:t>Coastal market (a):</w:t>
            </w:r>
          </w:p>
        </w:tc>
        <w:tc>
          <w:tcPr>
            <w:tcW w:w="1600" w:type="dxa"/>
            <w:vAlign w:val="bottom"/>
          </w:tcPr>
          <w:p>
            <w:pPr>
              <w:spacing w:after="0"/>
              <w:rPr>
                <w:sz w:val="18"/>
                <w:szCs w:val="18"/>
                <w:color w:val="auto"/>
              </w:rPr>
            </w:pPr>
          </w:p>
        </w:tc>
      </w:tr>
      <w:tr>
        <w:trPr>
          <w:trHeight w:val="216"/>
        </w:trPr>
        <w:tc>
          <w:tcPr>
            <w:tcW w:w="9640" w:type="dxa"/>
            <w:vAlign w:val="bottom"/>
            <w:shd w:val="clear" w:color="auto" w:fill="CFF0FC"/>
          </w:tcPr>
          <w:p>
            <w:pPr>
              <w:jc w:val="center"/>
              <w:ind w:right="8130"/>
              <w:spacing w:after="0"/>
              <w:rPr>
                <w:sz w:val="20"/>
                <w:szCs w:val="20"/>
                <w:color w:val="auto"/>
              </w:rPr>
            </w:pPr>
            <w:r>
              <w:rPr>
                <w:rFonts w:ascii="Times New Roman" w:cs="Times New Roman" w:eastAsia="Times New Roman" w:hAnsi="Times New Roman"/>
                <w:sz w:val="18"/>
                <w:szCs w:val="18"/>
                <w:color w:val="auto"/>
                <w:w w:val="99"/>
              </w:rPr>
              <w:t>Term increase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 6%</w:t>
            </w:r>
          </w:p>
        </w:tc>
      </w:tr>
      <w:tr>
        <w:trPr>
          <w:trHeight w:val="234"/>
        </w:trPr>
        <w:tc>
          <w:tcPr>
            <w:tcW w:w="9640" w:type="dxa"/>
            <w:vAlign w:val="bottom"/>
          </w:tcPr>
          <w:p>
            <w:pPr>
              <w:jc w:val="center"/>
              <w:ind w:right="8190"/>
              <w:spacing w:after="0"/>
              <w:rPr>
                <w:sz w:val="20"/>
                <w:szCs w:val="20"/>
                <w:color w:val="auto"/>
              </w:rPr>
            </w:pPr>
            <w:r>
              <w:rPr>
                <w:rFonts w:ascii="Times New Roman" w:cs="Times New Roman" w:eastAsia="Times New Roman" w:hAnsi="Times New Roman"/>
                <w:sz w:val="18"/>
                <w:szCs w:val="18"/>
                <w:color w:val="auto"/>
                <w:w w:val="99"/>
              </w:rPr>
              <w:t>Spot increase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 6%</w:t>
            </w:r>
          </w:p>
        </w:tc>
      </w:tr>
    </w:tbl>
    <w:p>
      <w:pPr>
        <w:spacing w:after="0" w:line="139" w:lineRule="exact"/>
        <w:rPr>
          <w:sz w:val="20"/>
          <w:szCs w:val="20"/>
          <w:color w:val="auto"/>
        </w:rPr>
      </w:pPr>
    </w:p>
    <w:p>
      <w:pPr>
        <w:ind w:left="940" w:right="20" w:hanging="370"/>
        <w:spacing w:after="0" w:line="266" w:lineRule="auto"/>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Spot and term contract pricing in the coastal market are contingent on various factors including geographic location, vessel capacity, vessel type, and product serviced.</w:t>
      </w:r>
    </w:p>
    <w:p>
      <w:pPr>
        <w:spacing w:after="0" w:line="13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Effective January 1, 2022, annual escalators for labor and the producer price index on a number of inland multi-year contracts resulted in rate increases on those contracts of approximately 5%, excluding fuel.</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Costs and Expenses</w:t>
      </w:r>
    </w:p>
    <w:p>
      <w:pPr>
        <w:spacing w:after="0" w:line="189" w:lineRule="exact"/>
        <w:rPr>
          <w:sz w:val="20"/>
          <w:szCs w:val="20"/>
          <w:color w:val="auto"/>
        </w:rPr>
      </w:pPr>
    </w:p>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Costs and expenses for the 2022 first quarter increased 13% compared to the 2021 first quarter. Costs of sales and operating expenses for the 2022 first quarter increased 19% compared with the 2021 first quarter. The increases during the 2022 first quarter primarily reflect improved business activity levels and increased fuel costs as well as incremental costs associated with the COVID-19 Omicron variant.</w:t>
      </w:r>
    </w:p>
    <w:p>
      <w:pPr>
        <w:spacing w:after="0" w:line="150" w:lineRule="exact"/>
        <w:rPr>
          <w:sz w:val="20"/>
          <w:szCs w:val="20"/>
          <w:color w:val="auto"/>
        </w:rPr>
      </w:pPr>
    </w:p>
    <w:p>
      <w:pPr>
        <w:jc w:val="both"/>
        <w:ind w:firstLine="562"/>
        <w:spacing w:after="0" w:line="244" w:lineRule="auto"/>
        <w:rPr>
          <w:sz w:val="20"/>
          <w:szCs w:val="20"/>
          <w:color w:val="auto"/>
        </w:rPr>
      </w:pPr>
      <w:r>
        <w:rPr>
          <w:rFonts w:ascii="Times New Roman" w:cs="Times New Roman" w:eastAsia="Times New Roman" w:hAnsi="Times New Roman"/>
          <w:sz w:val="18"/>
          <w:szCs w:val="18"/>
          <w:color w:val="auto"/>
        </w:rPr>
        <w:t>The inland marine transportation fleet operated an average of 263 towboats during the 2022 first quarter, of which an average of 56 were chartered, compared to 241 during the 2021 first quarter, of which an average of 25 were chartered. The increase was primarily due to increasing business activity levels during the 2022 first quarter. The 2021 first quarter activity was also impacted by Winter Storm Uri. Generally, variability in demand or anticipated demand, as tank barges are added or removed from the fleet, as chartered towboat availability changes, or as weather or water conditions dictate, the Company charters in or releases chartered towboats in an effort to balance horsepower needs with current requirements. The Company has historically used chartered towboats for approximately one-fourth of its horsepower requirements.</w:t>
      </w:r>
    </w:p>
    <w:p>
      <w:pPr>
        <w:spacing w:after="0" w:line="155" w:lineRule="exact"/>
        <w:rPr>
          <w:sz w:val="20"/>
          <w:szCs w:val="20"/>
          <w:color w:val="auto"/>
        </w:rPr>
      </w:pPr>
    </w:p>
    <w:p>
      <w:pPr>
        <w:jc w:val="both"/>
        <w:ind w:firstLine="569"/>
        <w:spacing w:after="0" w:line="246" w:lineRule="auto"/>
        <w:rPr>
          <w:sz w:val="20"/>
          <w:szCs w:val="20"/>
          <w:color w:val="auto"/>
        </w:rPr>
      </w:pPr>
      <w:r>
        <w:rPr>
          <w:rFonts w:ascii="Times New Roman" w:cs="Times New Roman" w:eastAsia="Times New Roman" w:hAnsi="Times New Roman"/>
          <w:sz w:val="18"/>
          <w:szCs w:val="18"/>
          <w:color w:val="auto"/>
        </w:rPr>
        <w:t>During the 2022 first quarter, the inland operations consumed 11.5 million gallons of diesel fuel compared to 10.8 million gallons consumed during the 2021 first quarter. The average price per gallon of diesel fuel consumed during the 2022 first quarter was $2.50 per gallon compared with $1.65 per gallon for the 2021 first quarter. Fuel escalation and de-escalation clauses are typically included in term contracts and are designed to rebate fuel costs when prices decline and recover additional fuel costs when fuel prices rise; however, there is generally a 30 to 90 day delay before contracts are adjusted. Spot contracts do not have escalators for fuel.</w:t>
      </w:r>
    </w:p>
    <w:p>
      <w:pPr>
        <w:spacing w:after="0" w:line="154"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2022 first quarter increased 6% compared to the 2021 first quarter, primarily due to higher business activity levels. Business activity levels in the 2021 first quarter were impacted by COVID-19 and the resulting economic slowdown as well as Winter Storm Uri.</w:t>
      </w:r>
    </w:p>
    <w:p>
      <w:pPr>
        <w:spacing w:after="0" w:line="12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Taxes, other than on income, for the 2022 first quarter increased 16% compared with the 2021 first quarter, primarily reflecting higher property taxes on marine transportation equipment.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2022 first quarter decreased 7% compared to the 2021 first quarter, primarily reflecting retirements, sales, and impairment of marine equipment during 2021.</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Marine Transportation Operating Income and Operating Margin</w:t>
      </w:r>
    </w:p>
    <w:p>
      <w:pPr>
        <w:spacing w:after="0" w:line="175"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KMT operating income for the 2022 first quarter increased 773%, respectively, compared with the 2021 first quarter. The 2022 first quarter operating margin was 4.8% compared with 0.6% for the 2021 first quarter. The increases in operating income and operating margin were primarily due to increased barge utilization and term and spot contract pricing in the inland market, each as a result of improving business activity levels, partially offset by the impacts of the COVID-19 Omicron variant and increasing fuel prices. The 2021 first quarter was also impacted by Winter Storm Uri.</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Services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KDS revenues, costs and expenses, operating income (loss), and operating margin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r>
      <w:tr>
        <w:trPr>
          <w:trHeight w:val="169"/>
        </w:trPr>
        <w:tc>
          <w:tcPr>
            <w:tcW w:w="6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4"/>
                <w:szCs w:val="14"/>
                <w:color w:val="auto"/>
              </w:rPr>
            </w:pP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4"/>
                <w:szCs w:val="14"/>
                <w:color w:val="auto"/>
              </w:rPr>
            </w:pPr>
          </w:p>
        </w:tc>
      </w:tr>
      <w:tr>
        <w:trPr>
          <w:trHeight w:val="209"/>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and services revenues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255,246</w:t>
            </w:r>
          </w:p>
        </w:tc>
        <w:tc>
          <w:tcPr>
            <w:tcW w:w="4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195,899</w:t>
            </w:r>
          </w:p>
        </w:tc>
        <w:tc>
          <w:tcPr>
            <w:tcW w:w="3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of sales and operating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196,519</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149,127</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r>
      <w:tr>
        <w:trPr>
          <w:trHeight w:val="216"/>
        </w:trPr>
        <w:tc>
          <w:tcPr>
            <w:tcW w:w="6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41,922</w:t>
            </w:r>
          </w:p>
        </w:tc>
        <w:tc>
          <w:tcPr>
            <w:tcW w:w="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36,488</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FF0FC"/>
          </w:tcPr>
          <w:p>
            <w:pPr>
              <w:spacing w:after="0"/>
              <w:rPr>
                <w:sz w:val="18"/>
                <w:szCs w:val="18"/>
                <w:color w:val="auto"/>
              </w:rPr>
            </w:pPr>
          </w:p>
        </w:tc>
      </w:tr>
      <w:tr>
        <w:trPr>
          <w:trHeight w:val="216"/>
        </w:trPr>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other than on income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8"/>
                <w:szCs w:val="18"/>
                <w:color w:val="auto"/>
              </w:rPr>
            </w:pPr>
          </w:p>
        </w:tc>
      </w:tr>
      <w:tr>
        <w:trPr>
          <w:trHeight w:val="216"/>
        </w:trPr>
        <w:tc>
          <w:tcPr>
            <w:tcW w:w="6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4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36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(30 )</w:t>
            </w:r>
          </w:p>
        </w:tc>
      </w:tr>
      <w:tr>
        <w:trPr>
          <w:trHeight w:val="210"/>
        </w:trPr>
        <w:tc>
          <w:tcPr>
            <w:tcW w:w="6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244,275</w:t>
            </w:r>
          </w:p>
        </w:tc>
        <w:tc>
          <w:tcPr>
            <w:tcW w:w="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192,988</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r>
      <w:tr>
        <w:trPr>
          <w:trHeight w:val="249"/>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4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3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277 %</w:t>
            </w:r>
          </w:p>
        </w:tc>
      </w:tr>
      <w:tr>
        <w:trPr>
          <w:trHeight w:val="197"/>
        </w:trPr>
        <w:tc>
          <w:tcPr>
            <w:tcW w:w="6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margins</w:t>
            </w:r>
          </w:p>
        </w:tc>
        <w:tc>
          <w:tcPr>
            <w:tcW w:w="320" w:type="dxa"/>
            <w:vAlign w:val="bottom"/>
          </w:tcPr>
          <w:p>
            <w:pPr>
              <w:spacing w:after="0"/>
              <w:rPr>
                <w:sz w:val="17"/>
                <w:szCs w:val="17"/>
                <w:color w:val="auto"/>
              </w:rPr>
            </w:pPr>
          </w:p>
        </w:tc>
        <w:tc>
          <w:tcPr>
            <w:tcW w:w="146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4.3 %</w:t>
            </w:r>
          </w:p>
        </w:tc>
        <w:tc>
          <w:tcPr>
            <w:tcW w:w="300" w:type="dxa"/>
            <w:vAlign w:val="bottom"/>
          </w:tcPr>
          <w:p>
            <w:pPr>
              <w:spacing w:after="0"/>
              <w:rPr>
                <w:sz w:val="17"/>
                <w:szCs w:val="17"/>
                <w:color w:val="auto"/>
              </w:rPr>
            </w:pPr>
          </w:p>
        </w:tc>
        <w:tc>
          <w:tcPr>
            <w:tcW w:w="13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1.5 %</w:t>
            </w: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6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-1311275</wp:posOffset>
            </wp:positionV>
            <wp:extent cx="1460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-1311275</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-479425</wp:posOffset>
            </wp:positionV>
            <wp:extent cx="1460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-479425</wp:posOffset>
            </wp:positionV>
            <wp:extent cx="137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1460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1460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Revenues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the markets serviced by KDS, the revenue distribution, and the customers for each market: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 First Quarter</w:t>
            </w:r>
          </w:p>
        </w:tc>
        <w:tc>
          <w:tcPr>
            <w:tcW w:w="200" w:type="dxa"/>
            <w:vAlign w:val="bottom"/>
          </w:tcPr>
          <w:p>
            <w:pPr>
              <w:spacing w:after="0"/>
              <w:rPr>
                <w:sz w:val="13"/>
                <w:szCs w:val="13"/>
                <w:color w:val="auto"/>
              </w:rPr>
            </w:pPr>
          </w:p>
        </w:tc>
        <w:tc>
          <w:tcPr>
            <w:tcW w:w="5360" w:type="dxa"/>
            <w:vAlign w:val="bottom"/>
          </w:tcPr>
          <w:p>
            <w:pPr>
              <w:spacing w:after="0"/>
              <w:rPr>
                <w:sz w:val="13"/>
                <w:szCs w:val="13"/>
                <w:color w:val="auto"/>
              </w:rPr>
            </w:pPr>
          </w:p>
        </w:tc>
      </w:tr>
      <w:tr>
        <w:trPr>
          <w:trHeight w:val="148"/>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2"/>
                <w:szCs w:val="12"/>
                <w:color w:val="auto"/>
              </w:rPr>
            </w:pPr>
          </w:p>
        </w:tc>
        <w:tc>
          <w:tcPr>
            <w:tcW w:w="5360" w:type="dxa"/>
            <w:vAlign w:val="bottom"/>
          </w:tcPr>
          <w:p>
            <w:pPr>
              <w:spacing w:after="0"/>
              <w:rPr>
                <w:sz w:val="12"/>
                <w:szCs w:val="12"/>
                <w:color w:val="auto"/>
              </w:rPr>
            </w:pPr>
          </w:p>
        </w:tc>
      </w:tr>
      <w:tr>
        <w:trPr>
          <w:trHeight w:val="200"/>
        </w:trPr>
        <w:tc>
          <w:tcPr>
            <w:tcW w:w="36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b w:val="1"/>
                <w:bCs w:val="1"/>
                <w:color w:val="auto"/>
              </w:rPr>
              <w:t>Markets Serviced</w:t>
            </w:r>
          </w:p>
        </w:tc>
        <w:tc>
          <w:tcPr>
            <w:tcW w:w="200" w:type="dxa"/>
            <w:vAlign w:val="bottom"/>
          </w:tcPr>
          <w:p>
            <w:pPr>
              <w:spacing w:after="0"/>
              <w:rPr>
                <w:sz w:val="17"/>
                <w:szCs w:val="17"/>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200" w:type="dxa"/>
            <w:vAlign w:val="bottom"/>
          </w:tcPr>
          <w:p>
            <w:pPr>
              <w:spacing w:after="0"/>
              <w:rPr>
                <w:sz w:val="17"/>
                <w:szCs w:val="17"/>
                <w:color w:val="auto"/>
              </w:rPr>
            </w:pPr>
          </w:p>
        </w:tc>
        <w:tc>
          <w:tcPr>
            <w:tcW w:w="536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4"/>
                <w:szCs w:val="14"/>
                <w:b w:val="1"/>
                <w:bCs w:val="1"/>
                <w:color w:val="auto"/>
              </w:rPr>
              <w:t>Customers</w:t>
            </w:r>
          </w:p>
        </w:tc>
      </w:tr>
      <w:tr>
        <w:trPr>
          <w:trHeight w:val="164"/>
        </w:trPr>
        <w:tc>
          <w:tcPr>
            <w:tcW w:w="362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Commercial and Industrial</w:t>
            </w:r>
          </w:p>
        </w:tc>
        <w:tc>
          <w:tcPr>
            <w:tcW w:w="200" w:type="dxa"/>
            <w:vAlign w:val="bottom"/>
            <w:shd w:val="clear" w:color="auto" w:fill="CFF0FC"/>
          </w:tcPr>
          <w:p>
            <w:pPr>
              <w:spacing w:after="0"/>
              <w:rPr>
                <w:sz w:val="14"/>
                <w:szCs w:val="14"/>
                <w:color w:val="auto"/>
              </w:rPr>
            </w:pPr>
          </w:p>
        </w:tc>
        <w:tc>
          <w:tcPr>
            <w:tcW w:w="1860" w:type="dxa"/>
            <w:vAlign w:val="bottom"/>
            <w:shd w:val="clear" w:color="auto" w:fill="CFF0FC"/>
          </w:tcPr>
          <w:p>
            <w:pPr>
              <w:jc w:val="center"/>
              <w:spacing w:after="0" w:line="164" w:lineRule="exact"/>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FF0FC"/>
          </w:tcPr>
          <w:p>
            <w:pPr>
              <w:spacing w:after="0"/>
              <w:rPr>
                <w:sz w:val="14"/>
                <w:szCs w:val="14"/>
                <w:color w:val="auto"/>
              </w:rPr>
            </w:pPr>
          </w:p>
        </w:tc>
        <w:tc>
          <w:tcPr>
            <w:tcW w:w="536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Inland River Carriers — Dry and Liquid, Offshore Towing — Dry and</w:t>
            </w:r>
          </w:p>
        </w:tc>
      </w:tr>
      <w:tr>
        <w:trPr>
          <w:trHeight w:val="189"/>
        </w:trPr>
        <w:tc>
          <w:tcPr>
            <w:tcW w:w="3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36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Liquid, Offshore Oilfield Services — Drilling Rigs &amp; Supply Boats,</w:t>
            </w:r>
          </w:p>
        </w:tc>
      </w:tr>
      <w:tr>
        <w:trPr>
          <w:trHeight w:val="189"/>
        </w:trPr>
        <w:tc>
          <w:tcPr>
            <w:tcW w:w="3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36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Harbor Towing, Dredging, Great Lakes Ore Carriers, Pleasure Crafts, On</w:t>
            </w:r>
          </w:p>
        </w:tc>
      </w:tr>
      <w:tr>
        <w:trPr>
          <w:trHeight w:val="189"/>
        </w:trPr>
        <w:tc>
          <w:tcPr>
            <w:tcW w:w="3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36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and Off-Highway Transportation, Power Generation, Standby Power</w:t>
            </w:r>
          </w:p>
        </w:tc>
      </w:tr>
      <w:tr>
        <w:trPr>
          <w:trHeight w:val="234"/>
        </w:trPr>
        <w:tc>
          <w:tcPr>
            <w:tcW w:w="36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Generation, Pumping Stations, Mining</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 and Gas</w:t>
            </w:r>
          </w:p>
        </w:tc>
        <w:tc>
          <w:tcPr>
            <w:tcW w:w="20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Oilfield Services, Oil and Gas Operators and Producers</w:t>
            </w:r>
          </w:p>
        </w:tc>
      </w:tr>
    </w:tbl>
    <w:p>
      <w:pPr>
        <w:spacing w:after="0" w:line="139" w:lineRule="exact"/>
        <w:rPr>
          <w:sz w:val="20"/>
          <w:szCs w:val="20"/>
          <w:color w:val="auto"/>
        </w:rPr>
      </w:pPr>
    </w:p>
    <w:p>
      <w:pPr>
        <w:jc w:val="both"/>
        <w:ind w:firstLine="569"/>
        <w:spacing w:after="0" w:line="246" w:lineRule="auto"/>
        <w:rPr>
          <w:sz w:val="20"/>
          <w:szCs w:val="20"/>
          <w:color w:val="auto"/>
        </w:rPr>
      </w:pPr>
      <w:r>
        <w:rPr>
          <w:rFonts w:ascii="Times New Roman" w:cs="Times New Roman" w:eastAsia="Times New Roman" w:hAnsi="Times New Roman"/>
          <w:sz w:val="18"/>
          <w:szCs w:val="18"/>
          <w:color w:val="auto"/>
        </w:rPr>
        <w:t>KDS revenues for the 2022 first quarter increased 30% compared to the 2021 first quarter. In the commercial and industrial market, the increase for the 2022 first quarter was primarily attributable to improved economic activity across the United States which resulted in higher business levels in the marine and on-highway businesses. Increased product sales in Thermo King also contributed favorably to the 2022 first quarter results. In addition, the 2021 first quarter was impacted by Winter Storm Uri which caused reduced activity, especially in the Southern United States, in the commercial and industrial market. For the 2022 first quarter, the commercial and industrial market contributed 58% of KDS revenues.</w:t>
      </w:r>
    </w:p>
    <w:p>
      <w:pPr>
        <w:spacing w:after="0" w:line="154"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In the oil and gas market, revenues improved compared to the 2021 first quarter due to higher oilfield activity which resulted in increased demand for new transmissions and parts in the distribution business. Although the manufacturing business was heavily impacted by supply chain delays, the business continued to experience increased orders and deliveries of new environmentally friendly pressure pumping equipment and power generation equipment for electric fracturing. For the 2022 first quarter, the oil and gas market contributed 42% of KDS revenues.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Costs and Expenses</w:t>
      </w:r>
    </w:p>
    <w:p>
      <w:pPr>
        <w:spacing w:after="0" w:line="17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Costs and expenses for the 2022 first quarter increased 27% compared with the 2021 first quarter. Costs of sales and operating expenses for the 2022 first quarter increased 32%, compared with the 2021 first quarter, reflecting higher demand in the marine and on-highway businesses in commercial and industrial markets as well as increased demand in the oil and gas market as a result of higher oilfield activity levels.</w:t>
      </w:r>
    </w:p>
    <w:p>
      <w:pPr>
        <w:spacing w:after="0" w:line="142"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for the 2022 first quarter increased 15%, compared to the 2021 first quarter, primarily due to higher salaries and higher warranty accruals associated with increased activity levels as well as salaries and costs related to the acquisition of assets of an energy storage systems manufacturer in the 2021 fourth quarter.</w:t>
      </w:r>
    </w:p>
    <w:p>
      <w:pPr>
        <w:spacing w:after="0" w:line="150"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2022 first quarter decreased 30%, compared to the 2021 first quarter, primarily due to sales of property and equipment and reduced capital spending during 2021.</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Services Operating Income and Operating Margin</w:t>
      </w:r>
    </w:p>
    <w:p>
      <w:pPr>
        <w:spacing w:after="0" w:line="17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KDS operating income for the 2022 first quarter increased 277% compared with the 2021 first quarter. The 2022 first quarter operating margin was 4.3% compared to 1.5% for the 2021 first quarter. The results reflect increased business levels in both the commercial and industrial and oil and gas markets.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17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Company reported a net gain on disposition of assets of $4.8 million for the 2022 first quarter and $2.1 million for the 2021 first quarter. The net gains were primarily from sales of marine transportation equipment.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other income, noncontrolling interests, and interest expense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64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tcPr>
          <w:p>
            <w:pPr>
              <w:spacing w:after="0"/>
              <w:rPr>
                <w:sz w:val="14"/>
                <w:szCs w:val="14"/>
                <w:color w:val="auto"/>
              </w:rPr>
            </w:pPr>
          </w:p>
        </w:tc>
      </w:tr>
      <w:tr>
        <w:trPr>
          <w:trHeight w:val="20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(152 )</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(255 )</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1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(10,203 )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(10,966 )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15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89"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Other income for the 2022 and 2021 first quarters include income of $3.4 million and $2.0 million, respectively, for all components of net benefit costs except the service cost component related to the Company’s defined benefit plans. Other income for the 2021 first quarter also includes interest income from the Company’s 2019 federal income tax refund received in February 2021.</w:t>
      </w:r>
    </w:p>
    <w:p>
      <w:pPr>
        <w:spacing w:after="0" w:line="14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average debt and average interest rate (dollars in thousands):</w:t>
      </w:r>
    </w:p>
    <w:p>
      <w:pPr>
        <w:spacing w:after="0" w:line="219"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16510</wp:posOffset>
            </wp:positionV>
            <wp:extent cx="18516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9" w:lineRule="exact"/>
        <w:rPr>
          <w:sz w:val="20"/>
          <w:szCs w:val="20"/>
          <w:color w:val="auto"/>
        </w:rPr>
      </w:pPr>
    </w:p>
    <w:p>
      <w:pPr>
        <w:ind w:left="8600"/>
        <w:spacing w:after="0"/>
        <w:tabs>
          <w:tab w:leader="none" w:pos="102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debt</w:t>
            </w:r>
          </w:p>
        </w:tc>
        <w:tc>
          <w:tcPr>
            <w:tcW w:w="34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1,178,916</w:t>
            </w:r>
          </w:p>
        </w:tc>
        <w:tc>
          <w:tcPr>
            <w:tcW w:w="36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1,417,127</w:t>
            </w:r>
          </w:p>
        </w:tc>
        <w:tc>
          <w:tcPr>
            <w:tcW w:w="220" w:type="dxa"/>
            <w:vAlign w:val="bottom"/>
            <w:shd w:val="clear" w:color="auto" w:fill="CFF0FC"/>
          </w:tcPr>
          <w:p>
            <w:pPr>
              <w:spacing w:after="0"/>
              <w:rPr>
                <w:sz w:val="18"/>
                <w:szCs w:val="18"/>
                <w:color w:val="auto"/>
              </w:rPr>
            </w:pP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3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3.5 %</w:t>
            </w:r>
          </w:p>
        </w:tc>
        <w:tc>
          <w:tcPr>
            <w:tcW w:w="3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3.1 %</w:t>
            </w:r>
          </w:p>
        </w:tc>
      </w:tr>
    </w:tbl>
    <w:p>
      <w:pPr>
        <w:spacing w:after="0" w:line="139"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Interest expense for the 2022 first quarter decreased 7%, compared with the 2021 first quarter, primarily due to lower average debt outstanding as a result of debt repayments during 2021. There was no capitalized interest excluded from interest expense during the 2022 or 2021 first quarters.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Financial Condition, Capital Resources and 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the balance sheets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4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6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1,015,331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1,003,865</w:t>
            </w:r>
          </w:p>
        </w:tc>
        <w:tc>
          <w:tcPr>
            <w:tcW w:w="1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3,660,314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3,678,515</w:t>
            </w: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164,986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167,730</w:t>
            </w:r>
          </w:p>
        </w:tc>
        <w:tc>
          <w:tcPr>
            <w:tcW w:w="1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438,748</w:t>
            </w: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intangibles, net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60,070</w:t>
            </w:r>
          </w:p>
        </w:tc>
        <w:tc>
          <w:tcPr>
            <w:tcW w:w="1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6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45,479</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50,135</w:t>
            </w:r>
          </w:p>
        </w:tc>
        <w:tc>
          <w:tcPr>
            <w:tcW w:w="1700" w:type="dxa"/>
            <w:vAlign w:val="bottom"/>
            <w:tcBorders>
              <w:bottom w:val="single" w:sz="8" w:color="CFF0FC"/>
            </w:tcBorders>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0"/>
        </w:trPr>
        <w:tc>
          <w:tcPr>
            <w:tcW w:w="65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5,382,792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2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513,835</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543,772</w:t>
            </w:r>
          </w:p>
        </w:tc>
        <w:tc>
          <w:tcPr>
            <w:tcW w:w="1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net – less current portion</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1,151,638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1,161,433</w:t>
            </w:r>
          </w:p>
        </w:tc>
        <w:tc>
          <w:tcPr>
            <w:tcW w:w="1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580,014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574,152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less current portion</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156,271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159,672</w:t>
            </w:r>
          </w:p>
        </w:tc>
        <w:tc>
          <w:tcPr>
            <w:tcW w:w="1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6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69,169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71,252</w:t>
            </w:r>
          </w:p>
        </w:tc>
        <w:tc>
          <w:tcPr>
            <w:tcW w:w="17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6"/>
        </w:trPr>
        <w:tc>
          <w:tcPr>
            <w:tcW w:w="6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2,911,865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2,888,782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5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5,382,792</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5,399,063</w:t>
            </w:r>
          </w:p>
        </w:tc>
        <w:tc>
          <w:tcPr>
            <w:tcW w:w="26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-1439545</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-1439545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774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Current assets as of March 31, 2022 increased 1% compared with December 31, 2021. Other accounts receivable decreased 16%, primarily due to recoveries on the settlement of insurance claims. Inventories increased 9%, primarily due to supply chain delays in KDS resulting in staging of inventory and buildup for projects that will be delivered later in 2022. Prepaid expenses and other current assets increased 9% primarily due to the increase in the price of diesel fuel purchased in March 2022.</w:t>
      </w:r>
    </w:p>
    <w:p>
      <w:pPr>
        <w:spacing w:after="0" w:line="137"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Property and equipment, net of accumulated depreciation, at March 31, 2022 decreased slightly compared with December 31, 2021. The decrease reflected $48.1 million of depreciation expense and $9.6 million of property disposals, partially offset by $35.6 million of capital additions (including an increase in accrued capital expenditures of $0.5 million) and an acquisition for $3.9 million during the 2022 first quarter, more fully described under Cash Flows and Capital Expenditures below.</w:t>
      </w:r>
    </w:p>
    <w:p>
      <w:pPr>
        <w:spacing w:after="0" w:line="150"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Operating lease right-of-use assets as of March 31, 2022 decreased 2% compared to December 31, 2021, primarily due to lease amortization expense, partially offset by new leases acquired during the 2022 first quarter.</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intangibles, net, as of March 31, 2022 decreased 4% compared with December 31, 2021, primarily due to amortization during the 2022 first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w:t>
      </w:r>
    </w:p>
    <w:p>
      <w:pPr>
        <w:spacing w:after="0" w:line="16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Other assets as of March 31, 2022 decreased 9% compared with December 31, 2021, primarily due to amortization of drydock expenditures during the 2022 first quarter.</w:t>
      </w:r>
    </w:p>
    <w:p>
      <w:pPr>
        <w:spacing w:after="0" w:line="135"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Current liabilities as of March 31, 2022 decreased 6% compared with December 31, 2021. Accounts payable increased 10%, primarily due to increased activity levels in KDS. Accrued liabilities decreased 20% primarily due to the payment of employee incentive compensation bonuses, property taxes, and interest, as well as the settlement of insurance claims.</w:t>
      </w:r>
    </w:p>
    <w:p>
      <w:pPr>
        <w:spacing w:after="0" w:line="12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Long-term debt, net – less current portion, as of March 31, 2022 decreased 1% compared with December 31, 2021, primarily reflecting repayments of $10.0 million under the Term Loan.</w:t>
      </w:r>
    </w:p>
    <w:p>
      <w:pPr>
        <w:spacing w:after="0" w:line="13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Deferred income taxes as of March 31, 2022 increased 1% compared with December 31, 2021, primarily reflecting the deferred tax provision of $5.9 million.</w:t>
      </w:r>
    </w:p>
    <w:p>
      <w:pPr>
        <w:spacing w:after="0" w:line="13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Operating lease liabilities – less current portion, as of March 31, 2022 decreased 2% compared to December 31, 2021, primarily due to lease payments made, partially offset by new leases acquired and liability accretion during the 2022 first quarter.</w:t>
      </w:r>
    </w:p>
    <w:p>
      <w:pPr>
        <w:spacing w:after="0" w:line="13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Other long-term liabilities as of March 31, 2022 decreased 3% compared with December 31, 2021, primarily due to amortization of intangible liabilities and a decrease in pension liabilities.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2" w:name="page23"/>
    <w:bookmarkEnd w:id="22"/>
    <w:p>
      <w:pPr>
        <w:jc w:val="both"/>
        <w:ind w:right="20" w:firstLine="569"/>
        <w:spacing w:after="0" w:line="250" w:lineRule="auto"/>
        <w:rPr>
          <w:sz w:val="20"/>
          <w:szCs w:val="20"/>
          <w:color w:val="auto"/>
        </w:rPr>
      </w:pPr>
      <w:r>
        <w:rPr>
          <w:rFonts w:ascii="Times New Roman" w:cs="Times New Roman" w:eastAsia="Times New Roman" w:hAnsi="Times New Roman"/>
          <w:sz w:val="18"/>
          <w:szCs w:val="18"/>
          <w:color w:val="auto"/>
        </w:rPr>
        <w:t>Total equity as of March 31, 2022 increased 1% compared with December 31, 2021. The increase was primarily due to the net earnings attributable to Kirby of $17.4 million, amortization of share-based compensation of $6.0 million, and stock option exercises of $2.3 million, partially offset by tax withholdings of $3.1 million on restricted stock and RSU vestings.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Financing</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 due March 27, 2024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Term Loan due March 27, 2024 (a)</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3.29% senior notes due February 27, 2023</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8"/>
                <w:szCs w:val="18"/>
                <w:color w:val="auto"/>
              </w:rPr>
            </w:pPr>
          </w:p>
        </w:tc>
      </w:tr>
      <w:tr>
        <w:trPr>
          <w:trHeight w:val="216"/>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4.2% senior notes due March 1, 2028</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Credit line due June 30, 2022</w:t>
            </w: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Bank notes payable</w:t>
            </w: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1,158,097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1,166,934</w:t>
            </w:r>
          </w:p>
        </w:tc>
        <w:tc>
          <w:tcPr>
            <w:tcW w:w="100" w:type="dxa"/>
            <w:vAlign w:val="bottom"/>
          </w:tcPr>
          <w:p>
            <w:pPr>
              <w:spacing w:after="0"/>
              <w:rPr>
                <w:sz w:val="18"/>
                <w:szCs w:val="18"/>
                <w:color w:val="auto"/>
              </w:rPr>
            </w:pPr>
          </w:p>
        </w:tc>
      </w:tr>
      <w:tr>
        <w:trPr>
          <w:trHeight w:val="216"/>
        </w:trPr>
        <w:tc>
          <w:tcPr>
            <w:tcW w:w="8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Unamortized debt discounts and issuance costs (b)</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(3,362 )</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(3,567 )</w:t>
            </w:r>
          </w:p>
        </w:tc>
      </w:tr>
      <w:tr>
        <w:trPr>
          <w:trHeight w:val="209"/>
        </w:trPr>
        <w:tc>
          <w:tcPr>
            <w:tcW w:w="81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1,154,735</w:t>
            </w:r>
          </w:p>
        </w:tc>
        <w:tc>
          <w:tcPr>
            <w:tcW w:w="24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1,163,367</w:t>
            </w:r>
          </w:p>
        </w:tc>
        <w:tc>
          <w:tcPr>
            <w:tcW w:w="100" w:type="dxa"/>
            <w:vAlign w:val="bottom"/>
            <w:tcBorders>
              <w:top w:val="single" w:sz="8" w:color="CFF0FC"/>
            </w:tcBorders>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-454025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left="940" w:hanging="370"/>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interest rate of 1.8% and 1.5% at March 31, 2022 and December 31, 2021, respectively.</w:t>
      </w:r>
    </w:p>
    <w:p>
      <w:pPr>
        <w:spacing w:after="0" w:line="15" w:lineRule="exact"/>
        <w:rPr>
          <w:rFonts w:ascii="Times New Roman" w:cs="Times New Roman" w:eastAsia="Times New Roman" w:hAnsi="Times New Roman"/>
          <w:sz w:val="18"/>
          <w:szCs w:val="18"/>
          <w:color w:val="auto"/>
        </w:rPr>
      </w:pPr>
    </w:p>
    <w:p>
      <w:pPr>
        <w:ind w:left="940" w:hanging="370"/>
        <w:spacing w:after="0" w:line="243" w:lineRule="auto"/>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$1.2 million and $1.4 million attributable to the Revolving Credit Facility included in other assets at March 31, 2022 and December 31, 2021, respectively.</w:t>
      </w:r>
    </w:p>
    <w:p>
      <w:pPr>
        <w:spacing w:after="0" w:line="155" w:lineRule="exact"/>
        <w:rPr>
          <w:sz w:val="20"/>
          <w:szCs w:val="20"/>
          <w:color w:val="auto"/>
        </w:rPr>
      </w:pPr>
    </w:p>
    <w:p>
      <w:pPr>
        <w:jc w:val="both"/>
        <w:ind w:firstLine="569"/>
        <w:spacing w:after="0" w:line="244" w:lineRule="auto"/>
        <w:rPr>
          <w:sz w:val="20"/>
          <w:szCs w:val="20"/>
          <w:color w:val="auto"/>
        </w:rPr>
      </w:pPr>
      <w:r>
        <w:rPr>
          <w:rFonts w:ascii="Times New Roman" w:cs="Times New Roman" w:eastAsia="Times New Roman" w:hAnsi="Times New Roman"/>
          <w:sz w:val="18"/>
          <w:szCs w:val="18"/>
          <w:color w:val="auto"/>
        </w:rPr>
        <w:t>The Company has a Credit Agreement with a group of commercial banks, with JPMorgan Chase Bank, N.A. as the administrative agent bank, allowing for an $850 million Revolving Credit Facility and a Term Loan with a maturity date of March 27, 2024. The Term Loan is prepayable, in whole or in part, without penalty. During the 2022 first quarter, the Company repaid $10.0 million under the Term Loan. During April 2022, the Company repaid $5.0 million under the Term Loan. Outstanding letters of credit under the Revolving Credit Facility were $5.1 million and available borrowing capacity was $844.9 million as of March 31, 2022. Outstanding letters of credit under the $10 million credit line were $1.3 million and available borrowing capacity was $8.7 million as of March 31, 2022.</w:t>
      </w:r>
    </w:p>
    <w:p>
      <w:pPr>
        <w:spacing w:after="0" w:line="155" w:lineRule="exact"/>
        <w:rPr>
          <w:sz w:val="20"/>
          <w:szCs w:val="20"/>
          <w:color w:val="auto"/>
        </w:rPr>
      </w:pPr>
    </w:p>
    <w:p>
      <w:pPr>
        <w:jc w:val="both"/>
        <w:ind w:firstLine="562"/>
        <w:spacing w:after="0" w:line="243" w:lineRule="auto"/>
        <w:rPr>
          <w:sz w:val="20"/>
          <w:szCs w:val="20"/>
          <w:color w:val="auto"/>
        </w:rPr>
      </w:pPr>
      <w:r>
        <w:rPr>
          <w:rFonts w:ascii="Times New Roman" w:cs="Times New Roman" w:eastAsia="Times New Roman" w:hAnsi="Times New Roman"/>
          <w:sz w:val="18"/>
          <w:szCs w:val="18"/>
          <w:color w:val="auto"/>
        </w:rPr>
        <w:t>On February 3, 2022, the Company entered into a note purchase agreement for the issuance of $300 million of 2033 Notes with a group of institutional investors, consisting of $60 million of 3.46% Series A Notes and $240 million of 3.51% Series B Notes, each due January 19, 2033. The Series A Notes are scheduled to be issued on October 20, 2022, and the Series B Notes are scheduled to be issued on January 19, 2023. No principal payments will be required until maturity. Beginning in 2023, interest payments of $5.3 million will be due semi-annually on January 19 and July 19 of each year, with the exception of the first payment on January 19, 2023, which will be $0.5 million. The 2033 Notes will be unsecured and rank equally in right of payment with the Company's other unsecured senior indebtedness. The 2033 Notes contain certain covenants on the part of the Company, including an interest coverage covenant, a debt-to-capitalization covenant, and covenants relating to liens, asset sales and mergers, among others. The 2033 Notes also specify certain events of default, upon the occurrence of which the maturity of the notes may be accelerated, including failure to pay principal and interest, violation of covenants or default on other indebtedness, among others. The 2023 Notes are excluded from short term liabilities because the Company intends to use the proceeds from the issuance of the 2033 Notes and availability under the Revolving Credit Facility to repay the 2023 Notes upon maturity.</w:t>
      </w:r>
    </w:p>
    <w:p>
      <w:pPr>
        <w:spacing w:after="0" w:line="145"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As of March 31, 2022, the Company was in compliance with all covenants under its debt instruments. For additional information about the Company’s debt instruments, see Note 5, Long-Term Debt, in the Company’s Annual Report on Form 10-K for the year ended December 31,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and Capital Expenditures</w:t>
      </w:r>
    </w:p>
    <w:p>
      <w:pPr>
        <w:spacing w:after="0" w:line="189" w:lineRule="exact"/>
        <w:rPr>
          <w:sz w:val="20"/>
          <w:szCs w:val="20"/>
          <w:color w:val="auto"/>
        </w:rPr>
      </w:pPr>
    </w:p>
    <w:p>
      <w:pPr>
        <w:jc w:val="both"/>
        <w:ind w:firstLine="569"/>
        <w:spacing w:after="0" w:line="243" w:lineRule="auto"/>
        <w:rPr>
          <w:sz w:val="20"/>
          <w:szCs w:val="20"/>
          <w:color w:val="auto"/>
        </w:rPr>
      </w:pPr>
      <w:r>
        <w:rPr>
          <w:rFonts w:ascii="Times New Roman" w:cs="Times New Roman" w:eastAsia="Times New Roman" w:hAnsi="Times New Roman"/>
          <w:sz w:val="18"/>
          <w:szCs w:val="18"/>
          <w:color w:val="auto"/>
        </w:rPr>
        <w:t>The Company generated favorable operating cash flows during the 2022 first quarter with net cash provided by operating activities of $32.2 million compared with $102.6 million for the 2021 first quarter, a 69% decrease. The decrease was primarily due to a tax refund of $119.5 million, including accrued interest, for the Company’s 2019 federal tax return which was received in the 2021 first quarter, increased inventory purchases, and increased employee incentive compensation bonuses paid during the 2022 first quarter, partially offset by increased revenues and operating income in KMT and KDS. Increases in KMT revenues and operating income were driven by increased barge utilization and term and spot contract pricing in the inland market during the 2022 first quarter. The 2021 first quarter KMT revenues and operating income were also negatively impacted by the impacts of Winter Storm Uri. During the 2022 and 2021 first quarters, the Company generated cash of $14.3 million and $4.8 million, respectively, from proceeds from the disposition of assets, and $2.3 million and $0.4 million, respectively, from proceeds from the exercise of stock options.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jc w:val="both"/>
        <w:ind w:firstLine="569"/>
        <w:spacing w:after="0" w:line="250" w:lineRule="auto"/>
        <w:rPr>
          <w:sz w:val="20"/>
          <w:szCs w:val="20"/>
          <w:color w:val="auto"/>
        </w:rPr>
      </w:pPr>
      <w:r>
        <w:rPr>
          <w:rFonts w:ascii="Times New Roman" w:cs="Times New Roman" w:eastAsia="Times New Roman" w:hAnsi="Times New Roman"/>
          <w:sz w:val="18"/>
          <w:szCs w:val="18"/>
          <w:color w:val="auto"/>
        </w:rPr>
        <w:t>For the 2022 first quarter, cash generated was used for capital expenditures of $35.1 million (net of an increase in accrued capital expenditures of $0.5 million), including $1.3 million for inland towboat construction and $33.8 million primarily for upgrading existing marine equipment and KMT and KDS facilities.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Purchases</w:t>
      </w:r>
    </w:p>
    <w:p>
      <w:pPr>
        <w:spacing w:after="0" w:line="189" w:lineRule="exact"/>
        <w:rPr>
          <w:sz w:val="20"/>
          <w:szCs w:val="20"/>
          <w:color w:val="auto"/>
        </w:rPr>
      </w:pPr>
    </w:p>
    <w:p>
      <w:pPr>
        <w:jc w:val="both"/>
        <w:ind w:firstLine="569"/>
        <w:spacing w:after="0" w:line="244" w:lineRule="auto"/>
        <w:rPr>
          <w:sz w:val="20"/>
          <w:szCs w:val="20"/>
          <w:color w:val="auto"/>
        </w:rPr>
      </w:pPr>
      <w:r>
        <w:rPr>
          <w:rFonts w:ascii="Times New Roman" w:cs="Times New Roman" w:eastAsia="Times New Roman" w:hAnsi="Times New Roman"/>
          <w:sz w:val="18"/>
          <w:szCs w:val="18"/>
          <w:color w:val="auto"/>
        </w:rPr>
        <w:t>The Company did not purchase any treasury stock during the 2022 first quarter. As of May 6, 2022, the Company had approximately 1.4 million shares available under its existing repurchase authorization.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Funds generated from operations are available for acquisitions, capital expenditure projects, common stock repurchases, repayments of borrowings, and for other corporate and operating requirements. In addition to net cash flows provided by operating activities, as of May 6, 2022 the Company also had cash equivalents of $32.1 million, availability of $844.9 million under its Revolving Credit Facility, and $8.7 million available under its credit line.</w:t>
      </w:r>
    </w:p>
    <w:p>
      <w:pPr>
        <w:spacing w:after="0" w:line="142"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Neither the Company, nor any of its subsidiaries, is obligated on any debt instrument, swap agreement, or any other financial instrument or commercial contract which has a rating trigger, except for the pricing grid on its Credit Agreement.</w:t>
      </w:r>
    </w:p>
    <w:p>
      <w:pPr>
        <w:spacing w:after="0" w:line="135"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150"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The Revolving Credit Facility’s commitment is in the amount of $850 million and matures March 27, 2024. As of March 31, 2022, the Company had $844.9 million available under the Revolving Credit Facility. The 2023 Notes do not mature until February 27, 2023 and require no prepayments. The Company intends to use the proceeds from the issuance of the 2033 Notes in October 2022 and January 2023 and availability under the Revolving Credit Facility to repay the 2023 Notes upon maturity. The 4.2% senior unsecured notes do not mature until March 1, 2028 and require no prepayments. The Term Loan is due on March 27, 2024 and is prepayable, in whole or in part, without penalty.</w:t>
      </w:r>
    </w:p>
    <w:p>
      <w:pPr>
        <w:spacing w:after="0" w:line="154"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There are numerous factors that may negatively impact the Company’s cash flows in 2022. For a list of significant risks and uncertainties that could impact cash flows, see Note 13, Contingencies and Commitments, in the financial statements, and Item 1A — Risk Factors and Note 14, Contingencies and Commitments, in the Company’s Annual Report on Form 10-K for the year ended December 31, 2021. Amounts available under the Company’s existing financial arrangements are subject to the Company continuing to meet the covenants of the credit facilities as described in Note 5, Long-Term Debt in the Company’s Annual Report on Form 10-K for the year ended December 31, 2021.</w:t>
      </w:r>
    </w:p>
    <w:p>
      <w:pPr>
        <w:spacing w:after="0" w:line="154" w:lineRule="exact"/>
        <w:rPr>
          <w:sz w:val="20"/>
          <w:szCs w:val="20"/>
          <w:color w:val="auto"/>
        </w:rPr>
      </w:pPr>
    </w:p>
    <w:p>
      <w:pPr>
        <w:jc w:val="both"/>
        <w:ind w:firstLine="569"/>
        <w:spacing w:after="0" w:line="246" w:lineRule="auto"/>
        <w:rPr>
          <w:sz w:val="20"/>
          <w:szCs w:val="20"/>
          <w:color w:val="auto"/>
        </w:rPr>
      </w:pPr>
      <w:r>
        <w:rPr>
          <w:rFonts w:ascii="Times New Roman" w:cs="Times New Roman" w:eastAsia="Times New Roman" w:hAnsi="Times New Roman"/>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$19.7 million at March 31, 2022, including $12.1 million in letters of credit and $7.6 million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54" w:lineRule="exact"/>
        <w:rPr>
          <w:sz w:val="20"/>
          <w:szCs w:val="20"/>
          <w:color w:val="auto"/>
        </w:rPr>
      </w:pPr>
    </w:p>
    <w:p>
      <w:pPr>
        <w:jc w:val="both"/>
        <w:ind w:firstLine="562"/>
        <w:spacing w:after="0" w:line="244" w:lineRule="auto"/>
        <w:rPr>
          <w:sz w:val="20"/>
          <w:szCs w:val="20"/>
          <w:color w:val="auto"/>
        </w:rPr>
      </w:pPr>
      <w:r>
        <w:rPr>
          <w:rFonts w:ascii="Times New Roman" w:cs="Times New Roman" w:eastAsia="Times New Roman" w:hAnsi="Times New Roman"/>
          <w:sz w:val="18"/>
          <w:szCs w:val="18"/>
          <w:color w:val="auto"/>
        </w:rPr>
        <w:t>KMT term contracts typically contain fuel escalation clauses, or the customer pays for the fuel. However, there is generally a 30 to 90 day delay before contracts are adjusted depending on the specific terms of the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4" w:name="page25"/>
    <w:bookmarkEnd w:id="24"/>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While inflationary pressures have increased in the second half of 2021 and into 2022, the Company has certain mechanisms designed to help mitigate the impacts of rising costs. For example, KMT has long-term contracts which generally contain cost escalation clauses whereby certain costs, including fuel as noted above, can be largely passed through to its customers. Spot contract rates include the cost of fuel and are subject to market volatility. In KDS, the cost of major components for large manufacturing orders is secured with suppliers at the time a customer order is finalized, which limits exposure to inflation. The repair portion of KDS is based on prevailing current market rates.</w:t>
      </w:r>
    </w:p>
    <w:p>
      <w:pPr>
        <w:spacing w:after="0" w:line="1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 increase in variable interest rates would impact the 2022 interest expense by $3.2 million based on balances outstanding at December 31, 2021, and would change the fair value of the Company’s debt by approximately 3%.</w:t>
      </w:r>
    </w:p>
    <w:p>
      <w:pPr>
        <w:spacing w:after="0" w:line="14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3"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Chief Executive Officer and the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has evaluated the Company’s disclosure controls and procedures (as defined in Rule 13a-15(e) under the Securities Exchange Act of 1934 (“Exchange Act”)), as of March 31, 2022, as required by Rule 13a-15(b) under the Exchange Act. Based on that evaluation, the Chief Executive Officer and the Chief Financial Officer concluded that, as of March 31, 2022,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41"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firstLine="562"/>
        <w:spacing w:after="0" w:line="259"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were no changes in the Company’s internal control over financial reporting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quarter ended March 31, 2022 that have materially affected, or are reasonably likely to materially affect, the Company’s internal control over financial reporting.</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Note 13, Contingencies and Commitments, of the Notes to Condensed Financial Statements (Unaudited).</w:t>
      </w:r>
    </w:p>
    <w:p>
      <w:pPr>
        <w:spacing w:after="0" w:line="18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75"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The Company continues to be subject to the risk factors previously disclosed in its “Risk Factors” in the Company’s Annual Report on Form 10-K for the year ended December 31, 2021.</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24"/>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78"/>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80" w:type="dxa"/>
            <w:vAlign w:val="bottom"/>
            <w:gridSpan w:val="2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c>
          <w:tcPr>
            <w:tcW w:w="0" w:type="dxa"/>
            <w:vAlign w:val="bottom"/>
          </w:tcPr>
          <w:p>
            <w:pPr>
              <w:spacing w:after="0"/>
              <w:rPr>
                <w:sz w:val="1"/>
                <w:szCs w:val="1"/>
                <w:color w:val="auto"/>
              </w:rPr>
            </w:pPr>
          </w:p>
        </w:tc>
      </w:tr>
      <w:tr>
        <w:trPr>
          <w:trHeight w:val="238"/>
        </w:trPr>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tcBorders>
              <w:bottom w:val="single" w:sz="8" w:color="auto"/>
            </w:tcBorders>
            <w:gridSpan w:val="2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ind w:left="1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880" w:type="dxa"/>
            <w:vAlign w:val="bottom"/>
            <w:gridSpan w:val="22"/>
            <w:shd w:val="clear" w:color="auto" w:fill="CFF0FC"/>
          </w:tcPr>
          <w:p>
            <w:pPr>
              <w:ind w:left="20"/>
              <w:spacing w:after="0" w:line="169"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Restated Articles of Incorporation of the Company with all amendments to date (incorporated by reference to Exhibit 3.1 to the</w:t>
              </w:r>
            </w:hyperlink>
          </w:p>
        </w:tc>
        <w:tc>
          <w:tcPr>
            <w:tcW w:w="0" w:type="dxa"/>
            <w:vAlign w:val="bottom"/>
          </w:tcPr>
          <w:p>
            <w:pPr>
              <w:spacing w:after="0"/>
              <w:rPr>
                <w:sz w:val="1"/>
                <w:szCs w:val="1"/>
                <w:color w:val="auto"/>
              </w:rPr>
            </w:pPr>
          </w:p>
        </w:tc>
      </w:tr>
      <w:tr>
        <w:trPr>
          <w:trHeight w:val="169"/>
        </w:trPr>
        <w:tc>
          <w:tcPr>
            <w:tcW w:w="8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9200" w:type="dxa"/>
            <w:vAlign w:val="bottom"/>
            <w:tcBorders>
              <w:top w:val="single" w:sz="8" w:color="0000FF"/>
            </w:tcBorders>
            <w:gridSpan w:val="15"/>
            <w:shd w:val="clear" w:color="auto" w:fill="CFF0FC"/>
          </w:tcPr>
          <w:p>
            <w:pPr>
              <w:spacing w:after="0" w:line="169"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Registrant’s Annual Report on Form 10-K for the year ended December 31, 2014).</w:t>
              </w:r>
            </w:hyperlink>
          </w:p>
        </w:tc>
        <w:tc>
          <w:tcPr>
            <w:tcW w:w="5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00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5"/>
                <w:szCs w:val="15"/>
                <w:color w:val="auto"/>
              </w:rPr>
            </w:pPr>
          </w:p>
        </w:tc>
        <w:tc>
          <w:tcPr>
            <w:tcW w:w="10220" w:type="dxa"/>
            <w:vAlign w:val="bottom"/>
            <w:gridSpan w:val="23"/>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36">
              <w:r>
                <w:rPr>
                  <w:rFonts w:ascii="Times New Roman" w:cs="Times New Roman" w:eastAsia="Times New Roman" w:hAnsi="Times New Roman"/>
                  <w:sz w:val="18"/>
                  <w:szCs w:val="18"/>
                  <w:color w:val="0000FF"/>
                </w:rPr>
                <w:t>Bylaws of the Company, as amended to March 17, 2020 (incorporated by reference to Exhibit 3.2 to the Registrant’s Annual Report on</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Form 10-K for the year ended December 31, 2014).</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5"/>
                <w:szCs w:val="15"/>
                <w:color w:val="auto"/>
              </w:rPr>
            </w:pPr>
          </w:p>
        </w:tc>
        <w:tc>
          <w:tcPr>
            <w:tcW w:w="10220" w:type="dxa"/>
            <w:vAlign w:val="bottom"/>
            <w:gridSpan w:val="23"/>
            <w:shd w:val="clear" w:color="auto" w:fill="CFF0FC"/>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37">
              <w:r>
                <w:rPr>
                  <w:rFonts w:ascii="Times New Roman" w:cs="Times New Roman" w:eastAsia="Times New Roman" w:hAnsi="Times New Roman"/>
                  <w:sz w:val="18"/>
                  <w:szCs w:val="18"/>
                  <w:color w:val="0000FF"/>
                </w:rPr>
                <w:t>Amendment to Bylaws of Kirby Corporation dated March 18, 2020 (incorporated by reference to Exhibit 3.1 to the Registrant’s Current</w:t>
              </w:r>
            </w:hyperlink>
          </w:p>
        </w:tc>
        <w:tc>
          <w:tcPr>
            <w:tcW w:w="0" w:type="dxa"/>
            <w:vAlign w:val="bottom"/>
          </w:tcPr>
          <w:p>
            <w:pPr>
              <w:spacing w:after="0"/>
              <w:rPr>
                <w:sz w:val="1"/>
                <w:szCs w:val="1"/>
                <w:color w:val="auto"/>
              </w:rPr>
            </w:pPr>
          </w:p>
        </w:tc>
      </w:tr>
      <w:tr>
        <w:trPr>
          <w:trHeight w:val="169"/>
        </w:trPr>
        <w:tc>
          <w:tcPr>
            <w:tcW w:w="80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9840" w:type="dxa"/>
            <w:vAlign w:val="bottom"/>
            <w:tcBorders>
              <w:top w:val="single" w:sz="8" w:color="0000FF"/>
            </w:tcBorders>
            <w:gridSpan w:val="20"/>
            <w:shd w:val="clear" w:color="auto" w:fill="CFF0FC"/>
          </w:tcPr>
          <w:p>
            <w:pPr>
              <w:spacing w:after="0" w:line="169"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Report on Form 8-K filed with the Commission on March 19, 2020).</w:t>
              </w:r>
            </w:hyperlink>
          </w:p>
        </w:tc>
        <w:tc>
          <w:tcPr>
            <w:tcW w:w="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4"/>
                <w:szCs w:val="14"/>
                <w:color w:val="auto"/>
              </w:rPr>
            </w:pPr>
          </w:p>
        </w:tc>
        <w:tc>
          <w:tcPr>
            <w:tcW w:w="10220" w:type="dxa"/>
            <w:vAlign w:val="bottom"/>
            <w:gridSpan w:val="23"/>
          </w:tcPr>
          <w:p>
            <w:pPr>
              <w:ind w:left="120"/>
              <w:spacing w:after="0" w:line="170" w:lineRule="exact"/>
              <w:rPr>
                <w:sz w:val="20"/>
                <w:szCs w:val="20"/>
                <w:color w:val="auto"/>
              </w:rPr>
            </w:pPr>
            <w:r>
              <w:rPr>
                <w:rFonts w:ascii="Times New Roman" w:cs="Times New Roman" w:eastAsia="Times New Roman" w:hAnsi="Times New Roman"/>
                <w:sz w:val="18"/>
                <w:szCs w:val="18"/>
                <w:color w:val="auto"/>
              </w:rPr>
              <w:t>–  See Exhibits 3.1, 3.2, and 3.3 hereof for provisions of our Restated Articles of Incorporation of the Company with all amendments to</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80" w:type="dxa"/>
            <w:vAlign w:val="bottom"/>
            <w:gridSpan w:val="22"/>
          </w:tcPr>
          <w:p>
            <w:pPr>
              <w:ind w:left="20"/>
              <w:spacing w:after="0" w:line="189" w:lineRule="exact"/>
              <w:rPr>
                <w:sz w:val="20"/>
                <w:szCs w:val="20"/>
                <w:color w:val="auto"/>
              </w:rPr>
            </w:pPr>
            <w:r>
              <w:rPr>
                <w:rFonts w:ascii="Times New Roman" w:cs="Times New Roman" w:eastAsia="Times New Roman" w:hAnsi="Times New Roman"/>
                <w:sz w:val="18"/>
                <w:szCs w:val="18"/>
                <w:color w:val="auto"/>
              </w:rPr>
              <w:t>date, the Bylaws of the Company, as amended to March 17, 2020, and Amendment to Bylaws of the Company dated March 18, 2020</w:t>
            </w: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80" w:type="dxa"/>
            <w:vAlign w:val="bottom"/>
            <w:gridSpan w:val="22"/>
          </w:tcPr>
          <w:p>
            <w:pPr>
              <w:ind w:left="2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(incorporated by reference to Exhibit </w:t>
            </w:r>
            <w:hyperlink r:id="rId235">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236">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 respectively, to the Registrant's Annual Report on Form 10-K for the year ended</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80" w:type="dxa"/>
            <w:vAlign w:val="bottom"/>
            <w:gridSpan w:val="22"/>
          </w:tcPr>
          <w:p>
            <w:pPr>
              <w:ind w:left="20"/>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December 31, 2014 and Exhibit </w:t>
            </w:r>
            <w:hyperlink r:id="rId237">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Registrant’s Current Report on Form 8-K filed with the Commission on March 19, 2020).</w:t>
            </w: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15"/>
                <w:szCs w:val="15"/>
                <w:color w:val="auto"/>
              </w:rPr>
            </w:pPr>
          </w:p>
        </w:tc>
        <w:tc>
          <w:tcPr>
            <w:tcW w:w="10220" w:type="dxa"/>
            <w:vAlign w:val="bottom"/>
            <w:gridSpan w:val="23"/>
            <w:shd w:val="clear" w:color="auto" w:fill="CFF0FC"/>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38">
              <w:r>
                <w:rPr>
                  <w:rFonts w:ascii="Times New Roman" w:cs="Times New Roman" w:eastAsia="Times New Roman" w:hAnsi="Times New Roman"/>
                  <w:sz w:val="18"/>
                  <w:szCs w:val="18"/>
                  <w:color w:val="0000FF"/>
                </w:rPr>
                <w:t>Note Purchase Agreement dated February 3, 2022 (incorporated by reference to Exhibit 10.1 to the Registrant's Form 8-K filed with the</w:t>
              </w:r>
            </w:hyperlink>
          </w:p>
        </w:tc>
        <w:tc>
          <w:tcPr>
            <w:tcW w:w="0" w:type="dxa"/>
            <w:vAlign w:val="bottom"/>
          </w:tcPr>
          <w:p>
            <w:pPr>
              <w:spacing w:after="0"/>
              <w:rPr>
                <w:sz w:val="1"/>
                <w:szCs w:val="1"/>
                <w:color w:val="auto"/>
              </w:rPr>
            </w:pPr>
          </w:p>
        </w:tc>
      </w:tr>
      <w:tr>
        <w:trPr>
          <w:trHeight w:val="189"/>
        </w:trPr>
        <w:tc>
          <w:tcPr>
            <w:tcW w:w="80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34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2520" w:type="dxa"/>
            <w:vAlign w:val="bottom"/>
            <w:tcBorders>
              <w:top w:val="single" w:sz="8" w:color="0000FF"/>
              <w:bottom w:val="single" w:sz="8" w:color="0000FF"/>
            </w:tcBorders>
            <w:gridSpan w:val="2"/>
            <w:shd w:val="clear" w:color="auto" w:fill="CFF0FC"/>
          </w:tcPr>
          <w:p>
            <w:pPr>
              <w:spacing w:after="0" w:line="169" w:lineRule="exact"/>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Commission on February 8, 2022).</w:t>
              </w:r>
            </w:hyperlink>
          </w:p>
        </w:tc>
        <w:tc>
          <w:tcPr>
            <w:tcW w:w="7300" w:type="dxa"/>
            <w:vAlign w:val="bottom"/>
            <w:tcBorders>
              <w:top w:val="single" w:sz="8" w:color="0000FF"/>
              <w:bottom w:val="single" w:sz="8" w:color="CFF0FC"/>
            </w:tcBorders>
            <w:gridSpan w:val="17"/>
            <w:shd w:val="clear" w:color="auto" w:fill="CFF0FC"/>
          </w:tcPr>
          <w:p>
            <w:pPr>
              <w:spacing w:after="0"/>
              <w:rPr>
                <w:sz w:val="16"/>
                <w:szCs w:val="16"/>
                <w:color w:val="auto"/>
              </w:rPr>
            </w:pPr>
          </w:p>
        </w:tc>
        <w:tc>
          <w:tcPr>
            <w:tcW w:w="40" w:type="dxa"/>
            <w:vAlign w:val="bottom"/>
            <w:tcBorders>
              <w:top w:val="single" w:sz="8" w:color="CFF0FC"/>
              <w:bottom w:val="single" w:sz="8" w:color="CFF0FC"/>
            </w:tcBorders>
            <w:gridSpan w:val="2"/>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5"/>
                <w:szCs w:val="15"/>
                <w:color w:val="auto"/>
              </w:rPr>
            </w:pPr>
          </w:p>
        </w:tc>
        <w:tc>
          <w:tcPr>
            <w:tcW w:w="10220" w:type="dxa"/>
            <w:vAlign w:val="bottom"/>
            <w:gridSpan w:val="23"/>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39">
              <w:r>
                <w:rPr>
                  <w:rFonts w:ascii="Times New Roman" w:cs="Times New Roman" w:eastAsia="Times New Roman" w:hAnsi="Times New Roman"/>
                  <w:sz w:val="18"/>
                  <w:szCs w:val="18"/>
                  <w:color w:val="0000FF"/>
                </w:rPr>
                <w:t>Amendment to the Deferred Compensation Plan for Key Employees dated February 9, 2022 (incorporated by reference to Exhibit 10.6</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to the Registrant's Annual Report on Form 10-K for the year ended December 31, 2021).</w:t>
              </w:r>
            </w:hyperlink>
          </w:p>
        </w:tc>
        <w:tc>
          <w:tcPr>
            <w:tcW w:w="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FF0FC"/>
          </w:tcPr>
          <w:p>
            <w:pPr>
              <w:spacing w:after="0"/>
              <w:rPr>
                <w:sz w:val="15"/>
                <w:szCs w:val="15"/>
                <w:color w:val="auto"/>
              </w:rPr>
            </w:pPr>
          </w:p>
        </w:tc>
        <w:tc>
          <w:tcPr>
            <w:tcW w:w="10220" w:type="dxa"/>
            <w:vAlign w:val="bottom"/>
            <w:gridSpan w:val="23"/>
            <w:shd w:val="clear" w:color="auto" w:fill="CFF0FC"/>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Deferred Compensation Plan for Key Employees (As Amended and Restated Effective April 1, 2022)</w:t>
            </w:r>
          </w:p>
        </w:tc>
        <w:tc>
          <w:tcPr>
            <w:tcW w:w="0" w:type="dxa"/>
            <w:vAlign w:val="bottom"/>
          </w:tcPr>
          <w:p>
            <w:pPr>
              <w:spacing w:after="0"/>
              <w:rPr>
                <w:sz w:val="1"/>
                <w:szCs w:val="1"/>
                <w:color w:val="auto"/>
              </w:rPr>
            </w:pPr>
          </w:p>
        </w:tc>
      </w:tr>
      <w:tr>
        <w:trPr>
          <w:trHeight w:val="21"/>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1000" w:type="dxa"/>
            <w:vAlign w:val="bottom"/>
            <w:tcBorders>
              <w:top w:val="single" w:sz="8" w:color="0000FF"/>
            </w:tcBorders>
            <w:shd w:val="clear" w:color="auto" w:fill="CFF0FC"/>
          </w:tcPr>
          <w:p>
            <w:pPr>
              <w:spacing w:after="0" w:line="20" w:lineRule="exact"/>
              <w:rPr>
                <w:sz w:val="1"/>
                <w:szCs w:val="1"/>
                <w:color w:val="auto"/>
              </w:rPr>
            </w:pPr>
          </w:p>
        </w:tc>
        <w:tc>
          <w:tcPr>
            <w:tcW w:w="440" w:type="dxa"/>
            <w:vAlign w:val="bottom"/>
            <w:tcBorders>
              <w:top w:val="single" w:sz="8" w:color="0000FF"/>
            </w:tcBorders>
            <w:shd w:val="clear" w:color="auto" w:fill="CFF0FC"/>
          </w:tcPr>
          <w:p>
            <w:pPr>
              <w:spacing w:after="0" w:line="20" w:lineRule="exact"/>
              <w:rPr>
                <w:sz w:val="1"/>
                <w:szCs w:val="1"/>
                <w:color w:val="auto"/>
              </w:rPr>
            </w:pPr>
          </w:p>
        </w:tc>
        <w:tc>
          <w:tcPr>
            <w:tcW w:w="940" w:type="dxa"/>
            <w:vAlign w:val="bottom"/>
            <w:tcBorders>
              <w:top w:val="single" w:sz="8" w:color="0000FF"/>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5"/>
                <w:szCs w:val="15"/>
                <w:color w:val="auto"/>
              </w:rPr>
            </w:pPr>
          </w:p>
        </w:tc>
        <w:tc>
          <w:tcPr>
            <w:tcW w:w="10220" w:type="dxa"/>
            <w:vAlign w:val="bottom"/>
            <w:gridSpan w:val="23"/>
          </w:tcPr>
          <w:p>
            <w:pPr>
              <w:ind w:left="120"/>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240">
              <w:r>
                <w:rPr>
                  <w:rFonts w:ascii="Times New Roman" w:cs="Times New Roman" w:eastAsia="Times New Roman" w:hAnsi="Times New Roman"/>
                  <w:sz w:val="18"/>
                  <w:szCs w:val="18"/>
                  <w:color w:val="0000FF"/>
                </w:rPr>
                <w:t>Annual Incentive Plan Guidelines for 2022 (incorporated by reference to Exhibit 10.11 to the Registrant's Annual Report on Form 10-K</w:t>
              </w:r>
            </w:hyperlink>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for the year ended December 31, 2021).</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FF0FC"/>
          </w:tcPr>
          <w:p>
            <w:pPr>
              <w:spacing w:after="0"/>
              <w:rPr>
                <w:sz w:val="15"/>
                <w:szCs w:val="15"/>
                <w:color w:val="auto"/>
              </w:rPr>
            </w:pPr>
          </w:p>
        </w:tc>
        <w:tc>
          <w:tcPr>
            <w:tcW w:w="10220" w:type="dxa"/>
            <w:vAlign w:val="bottom"/>
            <w:gridSpan w:val="23"/>
            <w:shd w:val="clear" w:color="auto" w:fill="CFF0FC"/>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Executive Officer Pursuant to Rule 13a-14(a)</w:t>
            </w:r>
          </w:p>
        </w:tc>
        <w:tc>
          <w:tcPr>
            <w:tcW w:w="0" w:type="dxa"/>
            <w:vAlign w:val="bottom"/>
          </w:tcPr>
          <w:p>
            <w:pPr>
              <w:spacing w:after="0"/>
              <w:rPr>
                <w:sz w:val="1"/>
                <w:szCs w:val="1"/>
                <w:color w:val="auto"/>
              </w:rPr>
            </w:pPr>
          </w:p>
        </w:tc>
      </w:tr>
      <w:tr>
        <w:trPr>
          <w:trHeight w:val="20"/>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1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5"/>
                <w:szCs w:val="15"/>
                <w:color w:val="auto"/>
              </w:rPr>
            </w:pPr>
          </w:p>
        </w:tc>
        <w:tc>
          <w:tcPr>
            <w:tcW w:w="10220" w:type="dxa"/>
            <w:vAlign w:val="bottom"/>
            <w:gridSpan w:val="23"/>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Chief Financial Officer Pursuant to Rule 13a-14(a)</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 w:type="dxa"/>
            <w:vAlign w:val="bottom"/>
            <w:shd w:val="clear" w:color="auto" w:fill="CFF0FC"/>
          </w:tcPr>
          <w:p>
            <w:pPr>
              <w:ind w:left="20"/>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FF0FC"/>
          </w:tcPr>
          <w:p>
            <w:pPr>
              <w:spacing w:after="0"/>
              <w:rPr>
                <w:sz w:val="15"/>
                <w:szCs w:val="15"/>
                <w:color w:val="auto"/>
              </w:rPr>
            </w:pPr>
          </w:p>
        </w:tc>
        <w:tc>
          <w:tcPr>
            <w:tcW w:w="10220" w:type="dxa"/>
            <w:vAlign w:val="bottom"/>
            <w:gridSpan w:val="23"/>
            <w:shd w:val="clear" w:color="auto" w:fill="CFF0FC"/>
          </w:tcPr>
          <w:p>
            <w:pPr>
              <w:ind w:left="120"/>
              <w:spacing w:after="0" w:line="17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Pursuant to 18 U.S.C. Section 1350</w:t>
            </w:r>
          </w:p>
        </w:tc>
        <w:tc>
          <w:tcPr>
            <w:tcW w:w="0" w:type="dxa"/>
            <w:vAlign w:val="bottom"/>
          </w:tcPr>
          <w:p>
            <w:pPr>
              <w:spacing w:after="0"/>
              <w:rPr>
                <w:sz w:val="1"/>
                <w:szCs w:val="1"/>
                <w:color w:val="auto"/>
              </w:rPr>
            </w:pPr>
          </w:p>
        </w:tc>
      </w:tr>
      <w:tr>
        <w:trPr>
          <w:trHeight w:val="21"/>
        </w:trPr>
        <w:tc>
          <w:tcPr>
            <w:tcW w:w="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0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4"/>
                <w:szCs w:val="14"/>
                <w:color w:val="auto"/>
              </w:rPr>
            </w:pPr>
          </w:p>
        </w:tc>
        <w:tc>
          <w:tcPr>
            <w:tcW w:w="10220" w:type="dxa"/>
            <w:vAlign w:val="bottom"/>
            <w:gridSpan w:val="23"/>
          </w:tcPr>
          <w:p>
            <w:pPr>
              <w:ind w:left="120"/>
              <w:spacing w:after="0" w:line="170" w:lineRule="exact"/>
              <w:rPr>
                <w:sz w:val="20"/>
                <w:szCs w:val="20"/>
                <w:color w:val="auto"/>
              </w:rPr>
            </w:pPr>
            <w:r>
              <w:rPr>
                <w:rFonts w:ascii="Times New Roman" w:cs="Times New Roman" w:eastAsia="Times New Roman" w:hAnsi="Times New Roman"/>
                <w:sz w:val="18"/>
                <w:szCs w:val="18"/>
                <w:color w:val="auto"/>
              </w:rPr>
              <w:t>–  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8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shd w:val="clear" w:color="auto" w:fill="CFF0FC"/>
          </w:tcPr>
          <w:p>
            <w:pPr>
              <w:spacing w:after="0"/>
              <w:rPr>
                <w:sz w:val="18"/>
                <w:szCs w:val="18"/>
                <w:color w:val="auto"/>
              </w:rPr>
            </w:pPr>
          </w:p>
        </w:tc>
        <w:tc>
          <w:tcPr>
            <w:tcW w:w="10220" w:type="dxa"/>
            <w:vAlign w:val="bottom"/>
            <w:gridSpan w:val="2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101.CAL*</w:t>
            </w:r>
          </w:p>
        </w:tc>
        <w:tc>
          <w:tcPr>
            <w:tcW w:w="220" w:type="dxa"/>
            <w:vAlign w:val="bottom"/>
          </w:tcPr>
          <w:p>
            <w:pPr>
              <w:spacing w:after="0"/>
              <w:rPr>
                <w:sz w:val="18"/>
                <w:szCs w:val="18"/>
                <w:color w:val="auto"/>
              </w:rPr>
            </w:pPr>
          </w:p>
        </w:tc>
        <w:tc>
          <w:tcPr>
            <w:tcW w:w="10220" w:type="dxa"/>
            <w:vAlign w:val="bottom"/>
            <w:gridSpan w:val="23"/>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shd w:val="clear" w:color="auto" w:fill="CFF0FC"/>
          </w:tcPr>
          <w:p>
            <w:pPr>
              <w:spacing w:after="0"/>
              <w:rPr>
                <w:sz w:val="18"/>
                <w:szCs w:val="18"/>
                <w:color w:val="auto"/>
              </w:rPr>
            </w:pPr>
          </w:p>
        </w:tc>
        <w:tc>
          <w:tcPr>
            <w:tcW w:w="10220" w:type="dxa"/>
            <w:vAlign w:val="bottom"/>
            <w:gridSpan w:val="2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101.LAB*</w:t>
            </w:r>
          </w:p>
        </w:tc>
        <w:tc>
          <w:tcPr>
            <w:tcW w:w="220" w:type="dxa"/>
            <w:vAlign w:val="bottom"/>
          </w:tcPr>
          <w:p>
            <w:pPr>
              <w:spacing w:after="0"/>
              <w:rPr>
                <w:sz w:val="18"/>
                <w:szCs w:val="18"/>
                <w:color w:val="auto"/>
              </w:rPr>
            </w:pPr>
          </w:p>
        </w:tc>
        <w:tc>
          <w:tcPr>
            <w:tcW w:w="10220" w:type="dxa"/>
            <w:vAlign w:val="bottom"/>
            <w:gridSpan w:val="23"/>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c>
          <w:tcPr>
            <w:tcW w:w="0" w:type="dxa"/>
            <w:vAlign w:val="bottom"/>
          </w:tcPr>
          <w:p>
            <w:pPr>
              <w:spacing w:after="0"/>
              <w:rPr>
                <w:sz w:val="1"/>
                <w:szCs w:val="1"/>
                <w:color w:val="auto"/>
              </w:rPr>
            </w:pPr>
          </w:p>
        </w:tc>
      </w:tr>
      <w:tr>
        <w:trPr>
          <w:trHeight w:val="216"/>
        </w:trPr>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shd w:val="clear" w:color="auto" w:fill="CFF0FC"/>
          </w:tcPr>
          <w:p>
            <w:pPr>
              <w:spacing w:after="0"/>
              <w:rPr>
                <w:sz w:val="18"/>
                <w:szCs w:val="18"/>
                <w:color w:val="auto"/>
              </w:rPr>
            </w:pPr>
          </w:p>
        </w:tc>
        <w:tc>
          <w:tcPr>
            <w:tcW w:w="10220" w:type="dxa"/>
            <w:vAlign w:val="bottom"/>
            <w:gridSpan w:val="2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c>
          <w:tcPr>
            <w:tcW w:w="0" w:type="dxa"/>
            <w:vAlign w:val="bottom"/>
          </w:tcPr>
          <w:p>
            <w:pPr>
              <w:spacing w:after="0"/>
              <w:rPr>
                <w:sz w:val="1"/>
                <w:szCs w:val="1"/>
                <w:color w:val="auto"/>
              </w:rPr>
            </w:pPr>
          </w:p>
        </w:tc>
      </w:tr>
      <w:tr>
        <w:trPr>
          <w:trHeight w:val="216"/>
        </w:trPr>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Borders>
              <w:bottom w:val="single" w:sz="8" w:color="auto"/>
            </w:tcBorders>
          </w:tcPr>
          <w:p>
            <w:pPr>
              <w:spacing w:after="0"/>
              <w:rPr>
                <w:sz w:val="18"/>
                <w:szCs w:val="18"/>
                <w:color w:val="auto"/>
              </w:rPr>
            </w:pPr>
          </w:p>
        </w:tc>
        <w:tc>
          <w:tcPr>
            <w:tcW w:w="10220" w:type="dxa"/>
            <w:vAlign w:val="bottom"/>
            <w:tcBorders>
              <w:bottom w:val="single" w:sz="8" w:color="auto"/>
            </w:tcBorders>
            <w:gridSpan w:val="23"/>
          </w:tcPr>
          <w:p>
            <w:pPr>
              <w:ind w:left="120"/>
              <w:spacing w:after="0"/>
              <w:rPr>
                <w:sz w:val="20"/>
                <w:szCs w:val="20"/>
                <w:color w:val="auto"/>
              </w:rPr>
            </w:pPr>
            <w:r>
              <w:rPr>
                <w:rFonts w:ascii="Times New Roman" w:cs="Times New Roman" w:eastAsia="Times New Roman" w:hAnsi="Times New Roman"/>
                <w:sz w:val="18"/>
                <w:szCs w:val="18"/>
                <w:color w:val="auto"/>
              </w:rPr>
              <w:t>–  Cover Page Interactive Data File (embedded within the Inline XBRL document)</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compensatory plan or arrangement.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56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KIRBY CORPORATION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60"/>
        <w:spacing w:after="0"/>
        <w:tabs>
          <w:tab w:leader="none" w:pos="8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Raj Kumar</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9, 2022</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KIRBY CORPORATION</w:t>
      </w:r>
    </w:p>
    <w:p>
      <w:pPr>
        <w:spacing w:after="0" w:line="32" w:lineRule="exact"/>
        <w:rPr>
          <w:sz w:val="20"/>
          <w:szCs w:val="20"/>
          <w:color w:val="auto"/>
        </w:rPr>
      </w:pPr>
    </w:p>
    <w:p>
      <w:pPr>
        <w:jc w:val="both"/>
        <w:ind w:left="2620" w:right="2560" w:hanging="40"/>
        <w:spacing w:after="0" w:line="258" w:lineRule="auto"/>
        <w:rPr>
          <w:sz w:val="20"/>
          <w:szCs w:val="20"/>
          <w:color w:val="auto"/>
        </w:rPr>
      </w:pPr>
      <w:r>
        <w:rPr>
          <w:rFonts w:ascii="Times New Roman" w:cs="Times New Roman" w:eastAsia="Times New Roman" w:hAnsi="Times New Roman"/>
          <w:sz w:val="21"/>
          <w:szCs w:val="21"/>
          <w:b w:val="1"/>
          <w:bCs w:val="1"/>
          <w:color w:val="auto"/>
        </w:rPr>
        <w:t>DEFERRED COMPENSATION PLAN FOR KEY EMPLOYEES (AS AMENDED AND RESTATED EFFECTIVE APRIL 1, 2022)</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Agreement, entered into effective as of April 1, 2022, amends and restates the Kirby Corporation Deferred Compensation Plan for Key Employees (hereafter “Plan”). The Plan was established effective January 1, 1992, as an unfunded nonqualified deferred compensation plan and designed primarily to provide additional benefits to Eligible Employees (as defined below) to restore benefits to which they would be entitled under the Employer’s qualified retirement program were it not for certain limits (being the limitations with respect to the amount of compensation which may be taken into account in determining benefits under a qualified plan and the limits on the amount of benefits that can be provided), and thereby enable such Eligible Employees to share equally in the contributions generated by the Employer’s profitability, and also to attain approximately the same level of retirement benefits, as a percentage of pay, as employees who are not adversely affected by the various maximum limits imposed with respect to qualified plans.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1DEFINITIONS</w:t>
      </w:r>
    </w:p>
    <w:p>
      <w:pPr>
        <w:spacing w:after="0" w:line="206"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“Account” shall mean the record keeping account maintained by the Administrator or its delegate for each Participant in the Plan.</w:t>
      </w:r>
    </w:p>
    <w:p>
      <w:pPr>
        <w:spacing w:after="0" w:line="144"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“Accrued Benefit” shall mean the Value of the Participant’s Account as of the Valuation Date coincident with or next preceding the date of reference.</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“Administrator” shall mean the person(s) designated to administer the Plan pursuant to Section Two.</w:t>
      </w:r>
    </w:p>
    <w:p>
      <w:pPr>
        <w:spacing w:after="0" w:line="206"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22"/>
          <w:szCs w:val="22"/>
          <w:color w:val="auto"/>
        </w:rPr>
        <w:t>“Affiliate” shall mean any corporation entitled to make Profit Sharing Contributions or Employer Discretionary Contributions under the 401(k) Plan at the time of reference.</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“Beneficiary” shall mean the person(s), entity or entities described in Section Ten designated by, or for, the Participant.</w:t>
      </w:r>
    </w:p>
    <w:p>
      <w:pPr>
        <w:spacing w:after="0" w:line="2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“Board” shall mean the Board of Directors of Kirby.</w:t>
      </w:r>
    </w:p>
    <w:p>
      <w:pPr>
        <w:spacing w:after="0" w:line="20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“Cash Distribution Amount” shall mean the amount, if any, which is paid to the Participant with respect to the Plan Year of reference in connection with the reduction in the Profit Sharing Employer Contribution or Employer Discretionary Contribution as a result of contributions to the 401(k) Plan.</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“Code” shall mean the Internal Revenue Code of 1986, as amended.</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“Compensation” shall mean “Considered Compensation” as that term is defined in the 401(k) Plan, but without the limitations set forth in the last two sentences of the first paragraph of that definition (which address the limitations on compensation that may be taken into account in making contributions to the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“Designation of Employer Contribution” shall mean the designation of the Employer Contribution for a Participant with respect to a Plan Year.</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“Disability” shall mean “Disability” as defined in the 401(k) Plan.</w:t>
      </w:r>
    </w:p>
    <w:p>
      <w:pPr>
        <w:spacing w:after="0" w:line="22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“Eligible Employee” shall mean an Employee who is an officer or other member of management of the Employer or is a highly compensated Employee of the Employer, all as determined by the Administrator in its sole discretion.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“Employee” shall mean an employee of the Employer as determined under the books and records of the Employer.</w:t>
      </w:r>
    </w:p>
    <w:p>
      <w:pPr>
        <w:spacing w:after="0" w:line="22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“Employer” shall mean, collectively, Kirby Corporation and each Affiliate at the time of reference, who is employing a Participant, except that where it is necessary to distinguish between such entities, reference shall be made to the appropriate entity.</w:t>
      </w:r>
    </w:p>
    <w:p>
      <w:pPr>
        <w:spacing w:after="0" w:line="16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“Employer Contribution” shall mean, individually and collectively as the context requires, the amount(s) credited to a Participant’s Account under Section Five.</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“Employer Discretionary Contribution” shall mean the amount, if any, contributed by an Employer for the benefit of its employees, as an Employer Discretionary Contribution under the 401(k) Plan with respect to the Plan Year of reference.</w:t>
      </w:r>
    </w:p>
    <w:p>
      <w:pPr>
        <w:spacing w:after="0" w:line="158"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22"/>
          <w:szCs w:val="22"/>
          <w:color w:val="auto"/>
        </w:rPr>
        <w:t>“Employer Discretionary Contribution Account” shall mean the Participant’s Employer Discretionary Contribution Account under the 401(k) Plan.</w:t>
      </w:r>
    </w:p>
    <w:p>
      <w:pPr>
        <w:spacing w:after="0" w:line="144"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1"/>
          <w:szCs w:val="21"/>
          <w:color w:val="auto"/>
        </w:rPr>
        <w:t>“Employer Discretionary Contribution Percentage” shall mean for each Plan Year, with respect to each Employer, the quotient of (i) the Employer Discretionary Contribution of such Employer for the Plan Year of reference, divided by (ii) the aggregate Statutory Compensation of each employee of such Employer who shares in such Employer Discretionary Contribution.</w:t>
      </w:r>
    </w:p>
    <w:p>
      <w:pPr>
        <w:spacing w:after="0" w:line="150"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“Employer Discretionary Contribution Amount” shall mean the amount allocated to the Participant’s Employer Discretionary Contribution Account with respect to the Plan Year of reference.</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“ERISA” shall mean the Employee Retirement Income Security Act of 1974, as amended.</w:t>
      </w:r>
    </w:p>
    <w:p>
      <w:pPr>
        <w:spacing w:after="0" w:line="22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“401(k) Limitation Compensation” shall mean the annual compensation limit imposed by Section 401(a)(17) of the Code (as adjusted by the Secretary of the Treasury) for the Plan Year of reference.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“401(k) Plan” shall mean the Kirby Corporation 401(k) Plan, as amended.</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“Kirby” shall mean Kirby Corporation, or its successor.</w:t>
      </w:r>
    </w:p>
    <w:p>
      <w:pPr>
        <w:spacing w:after="0" w:line="20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9" w:name="page30"/>
    <w:bookmarkEnd w:id="29"/>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“Maximum Contribution Limitation” shall mean the formulae set forth on Schedule A which represents the maximum contribution which can be made for any Participant hereunder at the time of reference.</w:t>
      </w:r>
    </w:p>
    <w:p>
      <w:pPr>
        <w:spacing w:after="0" w:line="14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“Maximum Contribution” shall mean maximum amount of Employer Contribution which a Participant may receive hereunder with respect to the Plan Year of reference, and shall be computed under the Maximum Contribution Formulae set forth on Schedule A.</w:t>
      </w:r>
    </w:p>
    <w:p>
      <w:pPr>
        <w:spacing w:after="0" w:line="168"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“Participant” shall mean an Eligible Employee who has satisfied the requirements of Section Three and whose participation has not been terminated as provided in Section Three.</w:t>
      </w:r>
    </w:p>
    <w:p>
      <w:pPr>
        <w:spacing w:after="0" w:line="144"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“Plan” shall mean this Kirby Corporation Deferred Compensation Plan for Key Employees, as set forth in this document and subsequent amendments.</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“Plan Year” shall mean calendar year.</w:t>
      </w:r>
    </w:p>
    <w:p>
      <w:pPr>
        <w:spacing w:after="0" w:line="206"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22"/>
          <w:szCs w:val="22"/>
          <w:color w:val="auto"/>
        </w:rPr>
        <w:t>“Profit Sharing Employer Contribution” shall mean the amount, if any, contributed by an Employer for the benefit of its employees, as a Profit Sharing Contribution under the 401(k) Plan with respect to the Plan Year of reference.</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“Profit Sharing Account” shall mean the Participant’s Profit Sharing Account under the 401(k) Plan.</w:t>
      </w:r>
    </w:p>
    <w:p>
      <w:pPr>
        <w:spacing w:after="0" w:line="206"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“Profit Sharing Amount” shall mean the amount allocated to the Participant’s Profit Sharing Account with respect to the Plan Year of reference.</w:t>
      </w:r>
    </w:p>
    <w:p>
      <w:pPr>
        <w:spacing w:after="0" w:line="14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“Profit Sharing Percentage” shall mean for each Plan Year, with respect to each Employer, the quotient of (i) the Profit Sharing Employer Contribution of such Employer for the Plan Year of reference, divided by (ii) the aggregate Statutory Compensation of each employee of such Employer who shares in such Profit Sharing Employer Contribution.</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“Quarter” shall mean calendar quarter.</w:t>
      </w:r>
    </w:p>
    <w:p>
      <w:pPr>
        <w:spacing w:after="0" w:line="22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“Schedule A” shall mean the schedule designated as Schedule A which forms part of this Plan and which shows the Maximum Contribution Limitation at the time of reference.</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“Statutory Compensation” shall mean Considered Compensation as defined in the 401(k) Plan for the Plan Year of reference.</w:t>
      </w:r>
    </w:p>
    <w:p>
      <w:pPr>
        <w:spacing w:after="0" w:line="158"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22"/>
          <w:szCs w:val="22"/>
          <w:color w:val="auto"/>
        </w:rPr>
        <w:t>“Value” shall mean the value of an Account as reflected on the properly kept books of the Administrator at the time of reference.</w:t>
      </w:r>
    </w:p>
    <w:p>
      <w:pPr>
        <w:spacing w:after="0" w:line="144"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22"/>
          <w:szCs w:val="22"/>
          <w:color w:val="auto"/>
        </w:rPr>
        <w:t>“Valuation Date” shall mean the last day of each Quarter and any other day or days selected by the Administrator on which the Plan (or any portion thereof) is to be valued.</w:t>
      </w:r>
    </w:p>
    <w:p>
      <w:pPr>
        <w:spacing w:after="0" w:line="14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0" w:name="page31"/>
    <w:bookmarkEnd w:id="30"/>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“Vesting”, “Vested” and similar references shall mean the percentage of a Participant’s Accrued Benefit to which he or she is entitled upon a termination of employment with the Employer at the time of reference and under the circumstances then present.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2ADMINISTRATION</w:t>
      </w:r>
    </w:p>
    <w:p>
      <w:pPr>
        <w:spacing w:after="0" w:line="206" w:lineRule="exact"/>
        <w:rPr>
          <w:sz w:val="20"/>
          <w:szCs w:val="20"/>
          <w:color w:val="auto"/>
        </w:rPr>
      </w:pPr>
    </w:p>
    <w:p>
      <w:pPr>
        <w:jc w:val="both"/>
        <w:ind w:firstLine="757"/>
        <w:spacing w:after="0" w:line="268" w:lineRule="auto"/>
        <w:tabs>
          <w:tab w:leader="none" w:pos="1498"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Employer Duties</w:t>
      </w:r>
      <w:r>
        <w:rPr>
          <w:rFonts w:ascii="Times New Roman" w:cs="Times New Roman" w:eastAsia="Times New Roman" w:hAnsi="Times New Roman"/>
          <w:sz w:val="21"/>
          <w:szCs w:val="21"/>
          <w:color w:val="auto"/>
        </w:rPr>
        <w:t>. The Employer shall, upon request by the Administrator or as may be specifically required under the Plan, furnish or cause to be furnished to the Administrator all of the information or documentation in its possession or control which is necessary or required by the Administrator to perform the Administrator’s duties and functions under the Plan.</w:t>
      </w:r>
    </w:p>
    <w:p>
      <w:pPr>
        <w:spacing w:after="0" w:line="149" w:lineRule="exact"/>
        <w:rPr>
          <w:rFonts w:ascii="Times New Roman" w:cs="Times New Roman" w:eastAsia="Times New Roman" w:hAnsi="Times New Roman"/>
          <w:sz w:val="21"/>
          <w:szCs w:val="21"/>
          <w:color w:val="auto"/>
        </w:rPr>
      </w:pPr>
    </w:p>
    <w:p>
      <w:pPr>
        <w:jc w:val="both"/>
        <w:ind w:firstLine="757"/>
        <w:spacing w:after="0" w:line="250" w:lineRule="auto"/>
        <w:tabs>
          <w:tab w:leader="none" w:pos="149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 Duties</w:t>
      </w:r>
      <w:r>
        <w:rPr>
          <w:rFonts w:ascii="Times New Roman" w:cs="Times New Roman" w:eastAsia="Times New Roman" w:hAnsi="Times New Roman"/>
          <w:sz w:val="22"/>
          <w:szCs w:val="22"/>
          <w:color w:val="auto"/>
        </w:rPr>
        <w:t>. The Board shall, upon request by the Administrator or as may be specifically required under the Plan, furnish or cause to be furnished to the Administrator all of the information or documentation in its possession or control which are necessary or required by the Administrator to perform the Administrator’s duties and functions under the Plan.</w:t>
      </w:r>
    </w:p>
    <w:p>
      <w:pPr>
        <w:spacing w:after="0" w:line="167"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Appointment of Administrator</w:t>
      </w:r>
      <w:r>
        <w:rPr>
          <w:rFonts w:ascii="Times New Roman" w:cs="Times New Roman" w:eastAsia="Times New Roman" w:hAnsi="Times New Roman"/>
          <w:sz w:val="22"/>
          <w:szCs w:val="22"/>
          <w:color w:val="auto"/>
        </w:rPr>
        <w:t>.  The Board may appoint in writing one or more persons to serve as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Administrator.</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Administrator appointed hereunder who is an Employee shall serve without compensation; and such person shall automatically cease to be an Administrator upon his or her termination of employment with the Employer. An Administrator may resign at any time by giving thirty (30) days’ prior written notice to the Board. The Board may remove an Administrator at any time by written notice, and may appoint a successor Administrator.</w:t>
      </w:r>
    </w:p>
    <w:p>
      <w:pPr>
        <w:spacing w:after="0" w:line="18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If at any time there shall be two (2) or more persons acting as Administrator, such persons shall conduct the business of the Administrator by meetings, held from time to time at their discretion, and the actions of the Administrator shall be determined by majority vote, which may be made by telephone, fax, e-mail or other written or electronic correspondence, and the Administrator may designate, in writing, one (1) or more of its members who shall have authority to sign or certify that any action taken by the Administrator represents the will of, and is binding on, the Administrator.</w:t>
      </w:r>
    </w:p>
    <w:p>
      <w:pPr>
        <w:spacing w:after="0" w:line="19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Administrator shall acknowledge the assumption of the Administrator’s duties hereunder in writing, or shall endorse a copy of this Plan.</w:t>
      </w:r>
    </w:p>
    <w:p>
      <w:pPr>
        <w:spacing w:after="0" w:line="158"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In the event the Administrator has not been effectively appointed hereunder at the time of reference, Kirby shall act as the Administrator.</w:t>
      </w:r>
    </w:p>
    <w:p>
      <w:pPr>
        <w:spacing w:after="0" w:line="144" w:lineRule="exact"/>
        <w:rPr>
          <w:sz w:val="20"/>
          <w:szCs w:val="20"/>
          <w:color w:val="auto"/>
        </w:rPr>
      </w:pPr>
    </w:p>
    <w:p>
      <w:pPr>
        <w:jc w:val="both"/>
        <w:ind w:firstLine="757"/>
        <w:spacing w:after="0" w:line="250" w:lineRule="auto"/>
        <w:tabs>
          <w:tab w:leader="none" w:pos="149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of Administrator</w:t>
      </w:r>
      <w:r>
        <w:rPr>
          <w:rFonts w:ascii="Times New Roman" w:cs="Times New Roman" w:eastAsia="Times New Roman" w:hAnsi="Times New Roman"/>
          <w:sz w:val="22"/>
          <w:szCs w:val="22"/>
          <w:color w:val="auto"/>
        </w:rPr>
        <w:t>. The Administrator shall obtain, as shall from time to time be necessary to properly administer the Plan, the (i) the certifications of each Employer, (ii) the Beneficiary Designations (if any) completed by each Participant, and (iii) such information or documents as shall be necessary or appropriate to administer the Plan.</w:t>
      </w:r>
    </w:p>
    <w:p>
      <w:pPr>
        <w:spacing w:after="0" w:line="168" w:lineRule="exact"/>
        <w:rPr>
          <w:sz w:val="20"/>
          <w:szCs w:val="20"/>
          <w:color w:val="auto"/>
        </w:rPr>
      </w:pPr>
    </w:p>
    <w:p>
      <w:pPr>
        <w:ind w:firstLine="749"/>
        <w:spacing w:after="0" w:line="271" w:lineRule="auto"/>
        <w:rPr>
          <w:sz w:val="20"/>
          <w:szCs w:val="20"/>
          <w:color w:val="auto"/>
        </w:rPr>
      </w:pPr>
      <w:r>
        <w:rPr>
          <w:rFonts w:ascii="Times New Roman" w:cs="Times New Roman" w:eastAsia="Times New Roman" w:hAnsi="Times New Roman"/>
          <w:sz w:val="22"/>
          <w:szCs w:val="22"/>
          <w:color w:val="auto"/>
        </w:rPr>
        <w:t>The Administrator shall be responsible for establishing and carrying out the objectives of the Plan, in accordance with its terms, for the exclusive benefit of its Participants.</w:t>
      </w:r>
    </w:p>
    <w:p>
      <w:pPr>
        <w:spacing w:after="0" w:line="14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1" w:name="page32"/>
    <w:bookmarkEnd w:id="31"/>
    <w:p>
      <w:pPr>
        <w:jc w:val="both"/>
        <w:ind w:firstLine="757"/>
        <w:spacing w:after="0"/>
        <w:tabs>
          <w:tab w:leader="none" w:pos="149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Powers of Administrator</w:t>
      </w:r>
      <w:r>
        <w:rPr>
          <w:rFonts w:ascii="Times New Roman" w:cs="Times New Roman" w:eastAsia="Times New Roman" w:hAnsi="Times New Roman"/>
          <w:sz w:val="22"/>
          <w:szCs w:val="22"/>
          <w:color w:val="auto"/>
        </w:rPr>
        <w:t>. The Administrator shall have sole and exclusive authority and responsibility for administering, construing and interpreting the Plan. The Administrator shall have all powers and discretion as may be necessary to discharge its duties and responsibilities under this Plan, including, but not by way of limitation, the power (i) to interpret or construe the Plan, (ii) to make rules and regulations for the administration of the Plan, (iii) to determine all questions of eligibility, status and other rights of Participants, Beneficiaries and other persons, (iv) to determine the amount, manner and time of the payment of any benefits under this Plan, and (v) to resolve any dispute which may arise under this Plan involving Participants or Beneficiaries. The Administrator may engage agents to assist it and may engage legal counsel, who may be counsel for Kirby or another Employer. The Administrator shall not be responsible for any action taken or not taken on the advice of such counsel.</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Any action on matters within the discretion of the Administrator shall be final and conclusive as to all persons affected.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Administrator shall at all times endeavor to exercise its discretion in a non-discriminatory manner.</w:t>
      </w:r>
    </w:p>
    <w:p>
      <w:pPr>
        <w:spacing w:after="0" w:line="19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No member of the Administrator shall vote or act upon any matter involving his own rights, benefits or other participation under this Plan, and in such case, the remaining member or members of the Administrator shall appoint a member pro-tern to act in the place of the interested member; provided, however, that if all members of the Administrator shall be disqualified under this paragraph with regard to one or more matters, the Chief Executive Officer of Kirby shall appoint three qualifying persons to be the Administrator with regard to such matters.</w:t>
      </w:r>
    </w:p>
    <w:p>
      <w:pPr>
        <w:spacing w:after="0" w:line="193" w:lineRule="exact"/>
        <w:rPr>
          <w:sz w:val="20"/>
          <w:szCs w:val="20"/>
          <w:color w:val="auto"/>
        </w:rPr>
      </w:pPr>
    </w:p>
    <w:p>
      <w:pPr>
        <w:jc w:val="both"/>
        <w:ind w:firstLine="757"/>
        <w:spacing w:after="0" w:line="255" w:lineRule="auto"/>
        <w:tabs>
          <w:tab w:leader="none" w:pos="1498"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of Administrator</w:t>
      </w:r>
      <w:r>
        <w:rPr>
          <w:rFonts w:ascii="Times New Roman" w:cs="Times New Roman" w:eastAsia="Times New Roman" w:hAnsi="Times New Roman"/>
          <w:sz w:val="21"/>
          <w:szCs w:val="21"/>
          <w:color w:val="auto"/>
        </w:rPr>
        <w:t>. Any individual Administrator and the individual(s) who may act to fulfill the responsibilities of the Administrator shall be indemnified by the Employers, jointly and severally, against any and all liabilities arising by reason of any act, or failure to act, pursuant to the provisions of the Plan, including expenses reasonably incurred in the defense of any claim relating to the Plan, even if the same is judicially determined to be due to such person’s negligence but not when the same is judicially determined to be due to the gross negligence or willful misconduct of such person.</w:t>
      </w:r>
    </w:p>
    <w:p>
      <w:pPr>
        <w:spacing w:after="0" w:line="175" w:lineRule="exact"/>
        <w:rPr>
          <w:rFonts w:ascii="Times New Roman" w:cs="Times New Roman" w:eastAsia="Times New Roman" w:hAnsi="Times New Roman"/>
          <w:sz w:val="21"/>
          <w:szCs w:val="21"/>
          <w:color w:val="auto"/>
        </w:rPr>
      </w:pPr>
    </w:p>
    <w:p>
      <w:pPr>
        <w:jc w:val="both"/>
        <w:ind w:firstLine="757"/>
        <w:spacing w:after="0" w:line="244" w:lineRule="auto"/>
        <w:tabs>
          <w:tab w:leader="none" w:pos="149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Bond and Expenses of Administrator</w:t>
      </w:r>
      <w:r>
        <w:rPr>
          <w:rFonts w:ascii="Times New Roman" w:cs="Times New Roman" w:eastAsia="Times New Roman" w:hAnsi="Times New Roman"/>
          <w:sz w:val="22"/>
          <w:szCs w:val="22"/>
          <w:color w:val="auto"/>
        </w:rPr>
        <w:t>. The Administrator shall serve without bond unless state or federal statutes require otherwise, in which event the Employer shall pay the premium. The expenses of the Administrator shall be paid by the Employer. Such expenses shall include all expenses incident to the functioning of the Administrator, including, but not by way of limitation, fees of accountants, counsel and other specialists and other costs of administering the Plan.</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49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Records and Reports</w:t>
      </w:r>
      <w:r>
        <w:rPr>
          <w:rFonts w:ascii="Times New Roman" w:cs="Times New Roman" w:eastAsia="Times New Roman" w:hAnsi="Times New Roman"/>
          <w:sz w:val="22"/>
          <w:szCs w:val="22"/>
          <w:color w:val="auto"/>
        </w:rPr>
        <w:t>. The Administrator shall maintain adequate records of all of its proceedings and acts and all such books of account, records, and other data as may be necessary for administration of the Plan. The Administrator shall make available to each Participant upon his request such of the Plan’s records as pertain to him for examination at reasonable times during normal business hours.</w:t>
      </w:r>
    </w:p>
    <w:p>
      <w:pPr>
        <w:spacing w:after="0" w:line="388" w:lineRule="exact"/>
        <w:rPr>
          <w:rFonts w:ascii="Times New Roman" w:cs="Times New Roman" w:eastAsia="Times New Roman" w:hAnsi="Times New Roman"/>
          <w:sz w:val="22"/>
          <w:szCs w:val="22"/>
          <w:color w:val="auto"/>
        </w:rPr>
      </w:pPr>
    </w:p>
    <w:p>
      <w:pPr>
        <w:ind w:left="5780" w:hanging="120"/>
        <w:spacing w:after="0"/>
        <w:tabs>
          <w:tab w:leader="none" w:pos="578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2" w:name="page33"/>
    <w:bookmarkEnd w:id="32"/>
    <w:p>
      <w:pPr>
        <w:jc w:val="both"/>
        <w:ind w:firstLine="757"/>
        <w:spacing w:after="0" w:line="250" w:lineRule="auto"/>
        <w:tabs>
          <w:tab w:leader="none" w:pos="149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on Tables</w:t>
      </w:r>
      <w:r>
        <w:rPr>
          <w:rFonts w:ascii="Times New Roman" w:cs="Times New Roman" w:eastAsia="Times New Roman" w:hAnsi="Times New Roman"/>
          <w:sz w:val="22"/>
          <w:szCs w:val="22"/>
          <w:color w:val="auto"/>
        </w:rPr>
        <w:t>. In administering the Plan, the Administrator shall be entitled to the extent permitted by law to rely conclusively on all tables, valuations, certificates, opinions and reports which are furnished by accountants, legal counsel or other experts employed or engaged by the Administrator.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3PARTICIPANTS</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An Eligible Employee will become a Participant in this Plan on the first day of the first Plan Year during which the Eligible Employee’s Maximum Contribution would be greater than zero.</w:t>
      </w:r>
    </w:p>
    <w:p>
      <w:pPr>
        <w:spacing w:after="0" w:line="17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By becoming a Participant, each Eligible Employee shall, for all purposes, be deemed conclusively to have assented to the provisions of this Plan and to all amendments to this Plan.</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Once an Eligible Employee becomes a Participant, he shall remain a Participant until the earliest of the date on which (i) his Vested Accrued Benefit is paid to him, (ii) he terminates employment with the Employer for any reason (all references to termination of employment shall be deemed to include, without limitation, involuntary discharge without cause) without a Vested interest in his Accrued Benefit, or (iii) the Plan is terminated.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4NO EMPLOYEE CONTRIBUTIONS</w:t>
      </w:r>
    </w:p>
    <w:p>
      <w:pPr>
        <w:spacing w:after="0" w:line="206"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No contributions may be made to this Plan by Eligible Employees. To the extent that this policy shall change in the future, the rules with respect to such contributions will be set forth in this Section Four.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5CONTRIBUTIONS</w:t>
      </w:r>
    </w:p>
    <w:p>
      <w:pPr>
        <w:spacing w:after="0" w:line="220" w:lineRule="exact"/>
        <w:rPr>
          <w:sz w:val="20"/>
          <w:szCs w:val="20"/>
          <w:color w:val="auto"/>
        </w:rPr>
      </w:pPr>
    </w:p>
    <w:p>
      <w:pPr>
        <w:jc w:val="both"/>
        <w:ind w:firstLine="757"/>
        <w:spacing w:after="0" w:line="244" w:lineRule="auto"/>
        <w:tabs>
          <w:tab w:leader="none" w:pos="149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Determining the Employer Contributions</w:t>
      </w:r>
      <w:r>
        <w:rPr>
          <w:rFonts w:ascii="Times New Roman" w:cs="Times New Roman" w:eastAsia="Times New Roman" w:hAnsi="Times New Roman"/>
          <w:sz w:val="22"/>
          <w:szCs w:val="22"/>
          <w:color w:val="auto"/>
        </w:rPr>
        <w:t>. For each Plan Year of reference, the Employer of each Participant shall credit the Account of each such Participant with such amount of Employer Contribution, if any, as such Employer, in its sole discretion, shall deem appropriate with respect to such Participant, provided however that such Employer Contribution shall never exceed the Maximum Contribution for such Participant for such Plan Year.</w:t>
      </w:r>
    </w:p>
    <w:p>
      <w:pPr>
        <w:spacing w:after="0" w:line="172" w:lineRule="exact"/>
        <w:rPr>
          <w:rFonts w:ascii="Times New Roman" w:cs="Times New Roman" w:eastAsia="Times New Roman" w:hAnsi="Times New Roman"/>
          <w:sz w:val="22"/>
          <w:szCs w:val="22"/>
          <w:color w:val="auto"/>
        </w:rPr>
      </w:pPr>
    </w:p>
    <w:p>
      <w:pPr>
        <w:jc w:val="both"/>
        <w:ind w:firstLine="757"/>
        <w:spacing w:after="0" w:line="244" w:lineRule="auto"/>
        <w:tabs>
          <w:tab w:leader="none" w:pos="149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Crediting the Employer Contributions</w:t>
      </w:r>
      <w:r>
        <w:rPr>
          <w:rFonts w:ascii="Times New Roman" w:cs="Times New Roman" w:eastAsia="Times New Roman" w:hAnsi="Times New Roman"/>
          <w:sz w:val="22"/>
          <w:szCs w:val="22"/>
          <w:color w:val="auto"/>
        </w:rPr>
        <w:t>. The crediting of an Employer Contribution to a Participant with respect to a Plan Year shall be effective on the last day of the Quarter during which the Employer delivers a Designation Of Employer Contribution for such Participant to the Administrator (which delivery ordinarily would occur sometime after the Plan Year of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6ACCOUNTS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Administrator shall maintain an Account in the name of each Participant.</w:t>
      </w:r>
    </w:p>
    <w:p>
      <w:pPr>
        <w:spacing w:after="0" w:line="220" w:lineRule="exact"/>
        <w:rPr>
          <w:sz w:val="20"/>
          <w:szCs w:val="20"/>
          <w:color w:val="auto"/>
        </w:rPr>
      </w:pPr>
    </w:p>
    <w:p>
      <w:pPr>
        <w:jc w:val="both"/>
        <w:ind w:firstLine="757"/>
        <w:spacing w:after="0" w:line="253" w:lineRule="auto"/>
        <w:tabs>
          <w:tab w:leader="none" w:pos="1498"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Credits to each Account</w:t>
      </w:r>
      <w:r>
        <w:rPr>
          <w:rFonts w:ascii="Times New Roman" w:cs="Times New Roman" w:eastAsia="Times New Roman" w:hAnsi="Times New Roman"/>
          <w:sz w:val="21"/>
          <w:szCs w:val="21"/>
          <w:color w:val="auto"/>
        </w:rPr>
        <w:t>. The Administrator shall credit each Participant’s Account with (i) the Employer Contributions made for such Participant in the manner and at the time described in Section Five, and (ii) the earnings provided in</w:t>
      </w:r>
    </w:p>
    <w:p>
      <w:pPr>
        <w:ind w:left="320" w:hanging="312"/>
        <w:spacing w:after="0"/>
        <w:tabs>
          <w:tab w:leader="none" w:pos="3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 and shall debit the Account by the amount of any payments to the Participant or his Beneficiary with respect to such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w:t>
      </w:r>
    </w:p>
    <w:p>
      <w:pPr>
        <w:spacing w:after="0" w:line="18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3" w:name="page34"/>
    <w:bookmarkEnd w:id="33"/>
    <w:p>
      <w:pPr>
        <w:jc w:val="both"/>
        <w:ind w:firstLine="757"/>
        <w:spacing w:after="0" w:line="237" w:lineRule="auto"/>
        <w:tabs>
          <w:tab w:leader="none" w:pos="149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Credits to Accounts</w:t>
      </w:r>
      <w:r>
        <w:rPr>
          <w:rFonts w:ascii="Times New Roman" w:cs="Times New Roman" w:eastAsia="Times New Roman" w:hAnsi="Times New Roman"/>
          <w:sz w:val="22"/>
          <w:szCs w:val="22"/>
          <w:color w:val="auto"/>
        </w:rPr>
        <w:t>. Each Participant’s Account shall be credited, as of each Valuation Date, with earnings (or losses) equal to the amount which is deemed to be earned on his Account established to enable the Employer to determine its obligations to the Participant under the Plan. Each Valuation Date the Administrator or its delegate will determine the amount of earnings (or losses) to be allocated to a Participant’s Account and will credit (or debit) that amount to the Participant’s Account. For the purpose of determining the earnings (or losses) to be credited (or debited) to the Participant’s Account, the Administrator shall assume that the Participant’s Account is invested in investment units or shares of the investment options made available by the Administrator in the proportions selected by the Participant in accordance with procedures established by the Administrator. The amount accrued by the Administrator under this subsection (b) as additional deferred compensation shall be a part of the Employer’s obligation to the Participant under the Plan and payment of such amount shall be a general obligation of the Employer. The determination of earnings based on the income and appreciation of the Participant’s Account shall in no way affect the ability of the general creditors of the Employer to reach the assets of the Employer or any rabbi trust in the event of the insolvency or bankruptcy of the Employer or place the Participants in a secured position ahead of the general creditors of the Employer. Although a Participant’s investment selections made in accordance with the terms of the Plan and such procedures as may be established by the Administrator shall be relevant for purposes of determining the Employer’s obligation to the Participant under the Plan, there is no requirement that any assets of the Employer (including those held in any rabbi trust) shall be invested in accordance with the Participant’s investment selections.</w:t>
      </w:r>
    </w:p>
    <w:p>
      <w:pPr>
        <w:spacing w:after="0" w:line="201" w:lineRule="exact"/>
        <w:rPr>
          <w:rFonts w:ascii="Times New Roman" w:cs="Times New Roman" w:eastAsia="Times New Roman" w:hAnsi="Times New Roman"/>
          <w:sz w:val="22"/>
          <w:szCs w:val="22"/>
          <w:color w:val="auto"/>
        </w:rPr>
      </w:pPr>
    </w:p>
    <w:p>
      <w:pPr>
        <w:ind w:firstLine="757"/>
        <w:spacing w:after="0" w:line="258" w:lineRule="auto"/>
        <w:tabs>
          <w:tab w:leader="none" w:pos="149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Statements</w:t>
      </w:r>
      <w:r>
        <w:rPr>
          <w:rFonts w:ascii="Times New Roman" w:cs="Times New Roman" w:eastAsia="Times New Roman" w:hAnsi="Times New Roman"/>
          <w:sz w:val="22"/>
          <w:szCs w:val="22"/>
          <w:color w:val="auto"/>
        </w:rPr>
        <w:t>. Within 90 days after the end of each Plan Year, the Administrator shall furnish each Participant with a statement of his Account showing the Value of his Account as of the last day of such Plan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7VESTING</w:t>
      </w:r>
    </w:p>
    <w:p>
      <w:pPr>
        <w:spacing w:after="0" w:line="22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Each Participant shall be Vested in his Accrued Benefit in exactly the same percentage as he is “Vested” in his Profit Sharing Account or, if he does not have a Profit Sharing Account, his Employer Discretionary Contribution Account, at the time of reference and, upon termination of employment with the Employer for any reason, a Participant shall be entitled to a distribution under Section Eight of his Vested Accrued Benefit, and shall forfeit permanently the remaining, non-Vested, portion of his Accrued Benefit. Notwithstanding any other provision hereof to contrary, where (if ever) all or any portion of an Employer Contribution for a Participant for a Plan Year is credited to his Account before the end of such Plan Year then, regardless of his Vested percentage, the Participant permanently will forfeit 100% of such Employer Contribution(s) (and related earnings) unless he is entitled to share in the Profit Sharing Employer Contribution (if any) or the Employer Discretionary Contribution (if any) under the 401(k) Plan with respect to such Plan Year. The amount forfeited as provided in this Section Seven will simply remain the property of the Employer.</w:t>
      </w:r>
    </w:p>
    <w:p>
      <w:pPr>
        <w:spacing w:after="0" w:line="39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u w:val="single" w:color="auto"/>
          <w:color w:val="auto"/>
        </w:rPr>
        <w:t>SECTION 8PAYMENT</w:t>
      </w:r>
    </w:p>
    <w:p>
      <w:pPr>
        <w:spacing w:after="0" w:line="22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21"/>
          <w:szCs w:val="21"/>
          <w:color w:val="auto"/>
        </w:rPr>
        <w:t>Except as provided below, the Participant’s Vested Accrued Benefit shall be payable in a lump sum payment within 90 days after the earliest to occur of the date of the Participant’s (a) death, (b) termination of employment as a result of Disability, or</w:t>
      </w:r>
    </w:p>
    <w:p>
      <w:pPr>
        <w:spacing w:after="0"/>
        <w:rPr>
          <w:sz w:val="20"/>
          <w:szCs w:val="20"/>
          <w:color w:val="auto"/>
        </w:rPr>
      </w:pPr>
      <w:r>
        <w:rPr>
          <w:rFonts w:ascii="Times New Roman" w:cs="Times New Roman" w:eastAsia="Times New Roman" w:hAnsi="Times New Roman"/>
          <w:sz w:val="22"/>
          <w:szCs w:val="22"/>
          <w:color w:val="auto"/>
        </w:rPr>
        <w:t>(c) termination of employment with the Employer.</w:t>
      </w:r>
    </w:p>
    <w:p>
      <w:pPr>
        <w:spacing w:after="0" w:line="18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An Employee shall not have terminated employment for these purposes unless the Employee has incurred a “separation from service” with the Employer and all affiliates (as determined for purposes of Code Section 409A and the regulations and guidance issued thereunder).</w:t>
      </w:r>
    </w:p>
    <w:p>
      <w:pPr>
        <w:spacing w:after="0" w:line="16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Notwithstanding the foregoing, to the extent required under Code Section 409A, a distribution to a Participant who is a “specified employee” may not be made prior to six months following such Participant’s termination of employment. The determination of who is a specified employee will be made in accordance with Code Section 409A and Code Section 416(i) (without regard to paragraph (5) thereof) and the applicable regulations and other guidance of general applicability issued thereunder.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9SOURCE OF PAYMENT</w:t>
      </w:r>
    </w:p>
    <w:p>
      <w:pPr>
        <w:spacing w:after="0" w:line="20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All payments of the Vested Accrued Benefit shall be paid in cash from the general funds of the Employer, and no special or separate fund shall be established or other segregation of assets made to assure such payments in such a way as to make this Plan a “funded” plan for purposes of ERISA or the Code; provided, however, that the Employer may, in its sole discretion, establish a bookkeeping reserve to meet its obligations under the Plan. Nothing contained in the Plan shall create or be construed to create a trust of any kind, and nothing contained in the Plan nor any action taken pursuant to the provisions of the Plan shall create or be construed to create a fiduciary relationship between the Employer and a Participant, Beneficiary, employee or other person. To the extent that any person acquires a right to receive payments from the Employer under the Plan, such right shall be no greater than the right of any unsecured general creditor of the Employer.</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purposes of the Code, the Employer intends this Plan to be an unfunded, unsecured promise to pay on the part of the Employer. For purposes of ERISA, the Employer intends the Plan to be an unfunded plan primarily for the benefit of a select group of management or highly compensated employees of the Employer for the purpose of qualifying the Plan for the “top hat” plan exception under sections 201(2), 301(a)(3) and 401(a)(l) of ERISA.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10DESIGNATION OF BENEFICIARIES</w:t>
      </w:r>
    </w:p>
    <w:p>
      <w:pPr>
        <w:spacing w:after="0" w:line="220" w:lineRule="exact"/>
        <w:rPr>
          <w:sz w:val="20"/>
          <w:szCs w:val="20"/>
          <w:color w:val="auto"/>
        </w:rPr>
      </w:pPr>
    </w:p>
    <w:p>
      <w:pPr>
        <w:jc w:val="both"/>
        <w:ind w:firstLine="757"/>
        <w:spacing w:after="0" w:line="244" w:lineRule="auto"/>
        <w:tabs>
          <w:tab w:leader="none" w:pos="149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by Participant</w:t>
      </w:r>
      <w:r>
        <w:rPr>
          <w:rFonts w:ascii="Times New Roman" w:cs="Times New Roman" w:eastAsia="Times New Roman" w:hAnsi="Times New Roman"/>
          <w:sz w:val="22"/>
          <w:szCs w:val="22"/>
          <w:color w:val="auto"/>
        </w:rPr>
        <w:t>. A Participant’s written designation of one or more persons or entities as his Beneficiary shall operate to designate the Participant’s Beneficiaries under this Plan. The Participant shall file with the Administrator a copy of his Beneficiary designation under the Plan in such manner as designated from time to time by the Administrator. The last such Beneficiary designation received by the Administrator prior shall be controlling, and</w:t>
      </w:r>
    </w:p>
    <w:p>
      <w:pPr>
        <w:spacing w:after="0" w:line="172" w:lineRule="exact"/>
        <w:rPr>
          <w:rFonts w:ascii="Times New Roman" w:cs="Times New Roman" w:eastAsia="Times New Roman" w:hAnsi="Times New Roman"/>
          <w:sz w:val="22"/>
          <w:szCs w:val="22"/>
          <w:color w:val="auto"/>
        </w:rPr>
      </w:pPr>
    </w:p>
    <w:p>
      <w:pPr>
        <w:ind w:left="5780" w:hanging="120"/>
        <w:spacing w:after="0"/>
        <w:tabs>
          <w:tab w:leader="none" w:pos="57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5" w:name="page36"/>
    <w:bookmarkEnd w:id="35"/>
    <w:p>
      <w:pPr>
        <w:spacing w:after="0" w:line="271" w:lineRule="auto"/>
        <w:rPr>
          <w:sz w:val="20"/>
          <w:szCs w:val="20"/>
          <w:color w:val="auto"/>
        </w:rPr>
      </w:pPr>
      <w:r>
        <w:rPr>
          <w:rFonts w:ascii="Times New Roman" w:cs="Times New Roman" w:eastAsia="Times New Roman" w:hAnsi="Times New Roman"/>
          <w:sz w:val="22"/>
          <w:szCs w:val="22"/>
          <w:color w:val="auto"/>
        </w:rPr>
        <w:t>no designation, or change or revocation of a designation shall be effective unless received and acknowledged by the Administrator prior to the Participant’s death.</w:t>
      </w:r>
    </w:p>
    <w:p>
      <w:pPr>
        <w:spacing w:after="0" w:line="144" w:lineRule="exact"/>
        <w:rPr>
          <w:sz w:val="20"/>
          <w:szCs w:val="20"/>
          <w:color w:val="auto"/>
        </w:rPr>
      </w:pPr>
    </w:p>
    <w:p>
      <w:pPr>
        <w:jc w:val="both"/>
        <w:ind w:firstLine="757"/>
        <w:spacing w:after="0" w:line="241" w:lineRule="auto"/>
        <w:tabs>
          <w:tab w:leader="none" w:pos="149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Lack of Designation</w:t>
      </w:r>
      <w:r>
        <w:rPr>
          <w:rFonts w:ascii="Times New Roman" w:cs="Times New Roman" w:eastAsia="Times New Roman" w:hAnsi="Times New Roman"/>
          <w:sz w:val="22"/>
          <w:szCs w:val="22"/>
          <w:color w:val="auto"/>
        </w:rPr>
        <w:t>. If no Beneficiary designation is in effect at the time of a Participant’s death, if no designated Beneficiary survives the Participant or if the otherwise applicable Beneficiary designation conflicts with applicable law, the Participant’s estate shall be the Beneficiary. The Administrator may direct the Employer to retain any unpaid Vested Accrued Benefit, without liability for any interest, until all rights to the unpaid Vested Accrued Benefit are determined. Alternatively, the Administrator may direct the Employer to pay such Vested Accrued Benefit into any court of appropriate jurisdiction. Any such payment shall completely discharge the Employer of any liability under the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11AMENDMENT AND TERMINATION</w:t>
      </w:r>
    </w:p>
    <w:p>
      <w:pPr>
        <w:spacing w:after="0" w:line="206"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22"/>
          <w:szCs w:val="22"/>
          <w:color w:val="auto"/>
        </w:rPr>
        <w:t>The Plan may, without prior notice to any Participant or other person, be amended, suspended or terminated, in whole or in part, by the Board, but no such action shall retroactively impair the rights of any person to payment of his Vested Accrued Benefit under the Plan.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12GENERAL PROVISIONS</w:t>
      </w:r>
    </w:p>
    <w:p>
      <w:pPr>
        <w:spacing w:after="0" w:line="206" w:lineRule="exact"/>
        <w:rPr>
          <w:sz w:val="20"/>
          <w:szCs w:val="20"/>
          <w:color w:val="auto"/>
        </w:rPr>
      </w:pPr>
    </w:p>
    <w:p>
      <w:pPr>
        <w:jc w:val="both"/>
        <w:ind w:firstLine="757"/>
        <w:spacing w:after="0"/>
        <w:tabs>
          <w:tab w:leader="none" w:pos="149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The right of any Participant or other person to the payment of the Accrued Benefit shall not be assigned, transferred, pledged or encumbered, either voluntarily or by operation of law, except as provided in Section Ten with respect to designations of Beneficiaries. If any person shall attempt to assign, transfer, pledge or encumber any portion of his Accrued Benefit, or if by reason of his bankruptcy or other event happening at any time any such payment would be made subject to his debts or liabilities or would otherwise devolve upon anyone else and not be enjoyed by him or his Beneficiary, the Administrator may, in its sole discretion, terminate such person’s interest in any such payment and direct that the same be held and applied to or for the benefit of such person, his spouse, children or other dependents, or any other persons deemed to be the natural objects of his bounty, or any of them, in such manner as the Administrator may deem proper.</w:t>
      </w:r>
    </w:p>
    <w:p>
      <w:pPr>
        <w:spacing w:after="0" w:line="190" w:lineRule="exact"/>
        <w:rPr>
          <w:rFonts w:ascii="Times New Roman" w:cs="Times New Roman" w:eastAsia="Times New Roman" w:hAnsi="Times New Roman"/>
          <w:sz w:val="22"/>
          <w:szCs w:val="22"/>
          <w:color w:val="auto"/>
        </w:rPr>
      </w:pPr>
    </w:p>
    <w:p>
      <w:pPr>
        <w:jc w:val="both"/>
        <w:ind w:firstLine="757"/>
        <w:spacing w:after="0" w:line="241" w:lineRule="auto"/>
        <w:tabs>
          <w:tab w:leader="none" w:pos="149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Incapacity</w:t>
      </w:r>
      <w:r>
        <w:rPr>
          <w:rFonts w:ascii="Times New Roman" w:cs="Times New Roman" w:eastAsia="Times New Roman" w:hAnsi="Times New Roman"/>
          <w:sz w:val="22"/>
          <w:szCs w:val="22"/>
          <w:color w:val="auto"/>
        </w:rPr>
        <w:t>. If the Administrator shall find that any person is unable to care for his affairs because of illness or accident or is a minor, any payment due (unless a prior claim for such payment shall have been made by a duly appointed guardian or other legal representative) may be paid to his spouse, a child, a parent, or a brother or sister, or any other person deemed by the Administrator, in its sole discretion, to have incurred expenses for such person otherwise entitled to payment, in such manner and proportions as the Administrator may determine. Any such payment shall be a complete discharge of the liabilities of the Employer under the Plan as to the amount paid.</w:t>
      </w:r>
    </w:p>
    <w:p>
      <w:pPr>
        <w:spacing w:after="0" w:line="176" w:lineRule="exact"/>
        <w:rPr>
          <w:rFonts w:ascii="Times New Roman" w:cs="Times New Roman" w:eastAsia="Times New Roman" w:hAnsi="Times New Roman"/>
          <w:sz w:val="22"/>
          <w:szCs w:val="22"/>
          <w:color w:val="auto"/>
        </w:rPr>
      </w:pPr>
    </w:p>
    <w:p>
      <w:pPr>
        <w:jc w:val="both"/>
        <w:ind w:firstLine="757"/>
        <w:spacing w:after="0" w:line="268" w:lineRule="auto"/>
        <w:tabs>
          <w:tab w:leader="none" w:pos="149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Information Required</w:t>
      </w:r>
      <w:r>
        <w:rPr>
          <w:rFonts w:ascii="Times New Roman" w:cs="Times New Roman" w:eastAsia="Times New Roman" w:hAnsi="Times New Roman"/>
          <w:sz w:val="21"/>
          <w:szCs w:val="21"/>
          <w:color w:val="auto"/>
        </w:rPr>
        <w:t>. Each Participant shall file with the Administrator such pertinent information concerning himself and his Beneficiary as the Administrator may specify, and no Participant or Beneficiary or other person shall have any rights or be entitled to any benefits under the Plan unless such information has been filed by, or with respect to, him.</w:t>
      </w:r>
    </w:p>
    <w:p>
      <w:pPr>
        <w:spacing w:after="0" w:line="149" w:lineRule="exact"/>
        <w:rPr>
          <w:rFonts w:ascii="Times New Roman" w:cs="Times New Roman" w:eastAsia="Times New Roman" w:hAnsi="Times New Roman"/>
          <w:sz w:val="21"/>
          <w:szCs w:val="21"/>
          <w:color w:val="auto"/>
        </w:rPr>
      </w:pPr>
    </w:p>
    <w:p>
      <w:pPr>
        <w:ind w:left="5780" w:hanging="120"/>
        <w:spacing w:after="0"/>
        <w:tabs>
          <w:tab w:leader="none" w:pos="578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6" w:name="page37"/>
    <w:bookmarkEnd w:id="36"/>
    <w:p>
      <w:pPr>
        <w:jc w:val="both"/>
        <w:ind w:left="-757" w:firstLine="757"/>
        <w:spacing w:after="0" w:line="243" w:lineRule="auto"/>
        <w:tabs>
          <w:tab w:leader="none" w:pos="7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by Participant</w:t>
      </w:r>
      <w:r>
        <w:rPr>
          <w:rFonts w:ascii="Times New Roman" w:cs="Times New Roman" w:eastAsia="Times New Roman" w:hAnsi="Times New Roman"/>
          <w:sz w:val="22"/>
          <w:szCs w:val="22"/>
          <w:color w:val="auto"/>
        </w:rPr>
        <w:t>. All elections, designations, requests, notices, instructions and other communications from a Participant, Beneficiary or other person to the Administrator required or permitted under the Plan shall be in such form as is prescribed from time to time by the Administrator, shall be mailed by first-class mail or delivered to such location as shall be specified by the Administrator and shall be deemed to have been given and delivered only upon actual receipt by the Administrator at such location.</w:t>
      </w:r>
    </w:p>
    <w:p>
      <w:pPr>
        <w:spacing w:after="0" w:line="177" w:lineRule="exact"/>
        <w:rPr>
          <w:rFonts w:ascii="Times New Roman" w:cs="Times New Roman" w:eastAsia="Times New Roman" w:hAnsi="Times New Roman"/>
          <w:sz w:val="22"/>
          <w:szCs w:val="22"/>
          <w:color w:val="auto"/>
        </w:rPr>
      </w:pPr>
    </w:p>
    <w:p>
      <w:pPr>
        <w:jc w:val="both"/>
        <w:ind w:left="-757" w:firstLine="757"/>
        <w:spacing w:after="0" w:line="264" w:lineRule="auto"/>
        <w:tabs>
          <w:tab w:leader="none" w:pos="741"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by Administrator</w:t>
      </w:r>
      <w:r>
        <w:rPr>
          <w:rFonts w:ascii="Times New Roman" w:cs="Times New Roman" w:eastAsia="Times New Roman" w:hAnsi="Times New Roman"/>
          <w:sz w:val="21"/>
          <w:szCs w:val="21"/>
          <w:color w:val="auto"/>
        </w:rPr>
        <w:t>. All notices, statements, reports and other communications from the Administrator to any Employee, Eligible Employee, Participant, Beneficiary or other person required or permitted under the Plan shall be deemed to have been duly given when delivered to, or when mailed first-class mail, postage prepaid and addressed to, such employee, Eligible Employee, Participant, Beneficiary or other person at his address last appearing on the records of the Employer.</w:t>
      </w:r>
    </w:p>
    <w:p>
      <w:pPr>
        <w:spacing w:after="0" w:line="152" w:lineRule="exact"/>
        <w:rPr>
          <w:rFonts w:ascii="Times New Roman" w:cs="Times New Roman" w:eastAsia="Times New Roman" w:hAnsi="Times New Roman"/>
          <w:sz w:val="21"/>
          <w:szCs w:val="21"/>
          <w:color w:val="auto"/>
        </w:rPr>
      </w:pPr>
    </w:p>
    <w:p>
      <w:pPr>
        <w:jc w:val="both"/>
        <w:ind w:left="-757" w:firstLine="757"/>
        <w:spacing w:after="0" w:line="250" w:lineRule="auto"/>
        <w:tabs>
          <w:tab w:leader="none" w:pos="7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Rights</w:t>
      </w:r>
      <w:r>
        <w:rPr>
          <w:rFonts w:ascii="Times New Roman" w:cs="Times New Roman" w:eastAsia="Times New Roman" w:hAnsi="Times New Roman"/>
          <w:sz w:val="22"/>
          <w:szCs w:val="22"/>
          <w:color w:val="auto"/>
        </w:rPr>
        <w:t>. Neither the Plan nor any action taken under the Plan shall be construed as giving to any person the right to remain in the employ of the Employer or as affecting the right of the Employer to dismiss any Employee at any time, with or without cause.</w:t>
      </w:r>
    </w:p>
    <w:p>
      <w:pPr>
        <w:spacing w:after="0" w:line="167" w:lineRule="exact"/>
        <w:rPr>
          <w:rFonts w:ascii="Times New Roman" w:cs="Times New Roman" w:eastAsia="Times New Roman" w:hAnsi="Times New Roman"/>
          <w:sz w:val="22"/>
          <w:szCs w:val="22"/>
          <w:color w:val="auto"/>
        </w:rPr>
      </w:pPr>
    </w:p>
    <w:p>
      <w:pPr>
        <w:jc w:val="both"/>
        <w:ind w:left="-757" w:firstLine="757"/>
        <w:spacing w:after="0" w:line="243" w:lineRule="auto"/>
        <w:tabs>
          <w:tab w:leader="none" w:pos="7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of Taxes</w:t>
      </w:r>
      <w:r>
        <w:rPr>
          <w:rFonts w:ascii="Times New Roman" w:cs="Times New Roman" w:eastAsia="Times New Roman" w:hAnsi="Times New Roman"/>
          <w:sz w:val="22"/>
          <w:szCs w:val="22"/>
          <w:color w:val="auto"/>
        </w:rPr>
        <w:t>. The Employer shall deduct (i) from the Participant’s nondeferred Compensation any amount required to be paid by the Participant as of the effective date of crediting an amount to his Account hereunder, as a Federal or state tax; and (ii) from the amount of any payment made pursuant to this Plan, any amounts required to be paid or withheld by the Employer or Administrator with respect to Federal or state taxes. By his participation in the Plan, each Participant agrees to all such deductions.</w:t>
      </w:r>
    </w:p>
    <w:p>
      <w:pPr>
        <w:spacing w:after="0" w:line="177" w:lineRule="exact"/>
        <w:rPr>
          <w:rFonts w:ascii="Times New Roman" w:cs="Times New Roman" w:eastAsia="Times New Roman" w:hAnsi="Times New Roman"/>
          <w:sz w:val="22"/>
          <w:szCs w:val="22"/>
          <w:color w:val="auto"/>
        </w:rPr>
      </w:pPr>
    </w:p>
    <w:p>
      <w:pPr>
        <w:ind w:left="-757" w:firstLine="757"/>
        <w:spacing w:after="0" w:line="258" w:lineRule="auto"/>
        <w:tabs>
          <w:tab w:leader="none" w:pos="7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Any waiver of any right granted pursuant to this Plan shall not be valid unless the same is in writing and signed by the party waiving such right. Any such waiver shall not be deemed to be a waiver of any other rights.</w:t>
      </w:r>
    </w:p>
    <w:p>
      <w:pPr>
        <w:spacing w:after="0" w:line="171" w:lineRule="exact"/>
        <w:rPr>
          <w:rFonts w:ascii="Times New Roman" w:cs="Times New Roman" w:eastAsia="Times New Roman" w:hAnsi="Times New Roman"/>
          <w:sz w:val="22"/>
          <w:szCs w:val="22"/>
          <w:color w:val="auto"/>
        </w:rPr>
      </w:pPr>
    </w:p>
    <w:p>
      <w:pPr>
        <w:jc w:val="both"/>
        <w:ind w:left="-757" w:firstLine="757"/>
        <w:spacing w:after="0" w:line="250" w:lineRule="auto"/>
        <w:tabs>
          <w:tab w:leader="none" w:pos="7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w:t>
      </w:r>
      <w:r>
        <w:rPr>
          <w:rFonts w:ascii="Times New Roman" w:cs="Times New Roman" w:eastAsia="Times New Roman" w:hAnsi="Times New Roman"/>
          <w:sz w:val="22"/>
          <w:szCs w:val="22"/>
          <w:color w:val="auto"/>
        </w:rPr>
        <w:t>. This Plan and the rights and obligations under this Plan shall be binding upon all parties and inure to the benefit of only the Participants, Beneficiaries and their respective legal representatives, and the Employer to the extent provided in the Plan,</w:t>
      </w:r>
    </w:p>
    <w:p>
      <w:pPr>
        <w:spacing w:after="0" w:line="167" w:lineRule="exact"/>
        <w:rPr>
          <w:rFonts w:ascii="Times New Roman" w:cs="Times New Roman" w:eastAsia="Times New Roman" w:hAnsi="Times New Roman"/>
          <w:sz w:val="22"/>
          <w:szCs w:val="22"/>
          <w:color w:val="auto"/>
        </w:rPr>
      </w:pPr>
    </w:p>
    <w:p>
      <w:pPr>
        <w:jc w:val="both"/>
        <w:ind w:left="-757" w:firstLine="757"/>
        <w:spacing w:after="0" w:line="250" w:lineRule="auto"/>
        <w:tabs>
          <w:tab w:leader="none" w:pos="7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case any one or more of the provisions contained in this Plan shall be invalid, illegal or unenforceable in any respect, the validity, legality and enforceability of the remaining provisions in this Plan shall not in any way be affected or impaired.</w:t>
      </w:r>
    </w:p>
    <w:p>
      <w:pPr>
        <w:spacing w:after="0" w:line="167" w:lineRule="exact"/>
        <w:rPr>
          <w:rFonts w:ascii="Times New Roman" w:cs="Times New Roman" w:eastAsia="Times New Roman" w:hAnsi="Times New Roman"/>
          <w:sz w:val="22"/>
          <w:szCs w:val="22"/>
          <w:color w:val="auto"/>
        </w:rPr>
      </w:pPr>
    </w:p>
    <w:p>
      <w:pPr>
        <w:jc w:val="both"/>
        <w:ind w:left="-757" w:firstLine="757"/>
        <w:spacing w:after="0" w:line="244" w:lineRule="auto"/>
        <w:tabs>
          <w:tab w:leader="none" w:pos="74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 and Gender</w:t>
      </w:r>
      <w:r>
        <w:rPr>
          <w:rFonts w:ascii="Times New Roman" w:cs="Times New Roman" w:eastAsia="Times New Roman" w:hAnsi="Times New Roman"/>
          <w:sz w:val="22"/>
          <w:szCs w:val="22"/>
          <w:color w:val="auto"/>
        </w:rPr>
        <w:t>. The captions preceding the Sections and subsections of this Plan have been inserted solely as a matter of convenience and in no way define or limit the scope or intent of any provisions of this Plan. Where the context admits or requires, words used in the masculine gender shall be construed to include the feminine and the neuter also, the plural shall include the singular, and the singular shall include the plural.</w:t>
      </w:r>
    </w:p>
    <w:p>
      <w:pPr>
        <w:spacing w:after="0" w:line="388" w:lineRule="exact"/>
        <w:rPr>
          <w:rFonts w:ascii="Times New Roman" w:cs="Times New Roman" w:eastAsia="Times New Roman" w:hAnsi="Times New Roman"/>
          <w:sz w:val="22"/>
          <w:szCs w:val="22"/>
          <w:color w:val="auto"/>
        </w:rPr>
      </w:pPr>
    </w:p>
    <w:p>
      <w:pPr>
        <w:ind w:left="4983" w:hanging="134"/>
        <w:spacing w:after="0"/>
        <w:tabs>
          <w:tab w:leader="none" w:pos="4983"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435610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71" w:right="339" w:bottom="1440" w:gutter="0" w:footer="0" w:header="0"/>
        </w:sectPr>
      </w:pPr>
    </w:p>
    <w:bookmarkStart w:id="37" w:name="page38"/>
    <w:bookmarkEnd w:id="37"/>
    <w:p>
      <w:pPr>
        <w:jc w:val="both"/>
        <w:ind w:firstLine="757"/>
        <w:spacing w:after="0" w:line="260" w:lineRule="auto"/>
        <w:tabs>
          <w:tab w:leader="none" w:pos="149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Choice of Law</w:t>
      </w:r>
      <w:r>
        <w:rPr>
          <w:rFonts w:ascii="Times New Roman" w:cs="Times New Roman" w:eastAsia="Times New Roman" w:hAnsi="Times New Roman"/>
          <w:sz w:val="21"/>
          <w:szCs w:val="21"/>
          <w:color w:val="auto"/>
        </w:rPr>
        <w:t>, The Plan and all rights under this Plan shall be governed by and construed in accordance with the laws of the State of Texas, without giving effect to the conflicts of laws principles thereof, except to the extent preempted by</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ERISA.</w:t>
      </w:r>
    </w:p>
    <w:p>
      <w:pPr>
        <w:spacing w:after="0" w:line="398" w:lineRule="exact"/>
        <w:rPr>
          <w:rFonts w:ascii="Times New Roman" w:cs="Times New Roman" w:eastAsia="Times New Roman" w:hAnsi="Times New Roman"/>
          <w:sz w:val="21"/>
          <w:szCs w:val="21"/>
          <w:color w:val="auto"/>
        </w:rPr>
      </w:pPr>
    </w:p>
    <w:p>
      <w:pPr>
        <w:ind w:left="5740" w:hanging="130"/>
        <w:spacing w:after="0"/>
        <w:tabs>
          <w:tab w:leader="none" w:pos="574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8" w:name="page39"/>
    <w:bookmarkEnd w:id="38"/>
    <w:p>
      <w:pPr>
        <w:ind w:left="760"/>
        <w:spacing w:after="0"/>
        <w:tabs>
          <w:tab w:leader="none" w:pos="9660" w:val="left"/>
          <w:tab w:leader="none" w:pos="9980" w:val="left"/>
        </w:tabs>
        <w:rPr>
          <w:sz w:val="20"/>
          <w:szCs w:val="20"/>
          <w:color w:val="auto"/>
        </w:rPr>
      </w:pPr>
      <w:r>
        <w:rPr>
          <w:rFonts w:ascii="Times New Roman" w:cs="Times New Roman" w:eastAsia="Times New Roman" w:hAnsi="Times New Roman"/>
          <w:sz w:val="22"/>
          <w:szCs w:val="22"/>
          <w:color w:val="auto"/>
        </w:rPr>
        <w:t>IN WITNESS WHEREOF, Kirby has executed this amendment and restatement of the Plan, on the</w:t>
        <w:tab/>
        <w:t>2</w:t>
      </w:r>
      <w:r>
        <w:rPr>
          <w:sz w:val="20"/>
          <w:szCs w:val="20"/>
          <w:color w:val="auto"/>
        </w:rPr>
        <w:tab/>
      </w:r>
      <w:r>
        <w:rPr>
          <w:rFonts w:ascii="Times New Roman" w:cs="Times New Roman" w:eastAsia="Times New Roman" w:hAnsi="Times New Roman"/>
          <w:sz w:val="21"/>
          <w:szCs w:val="21"/>
          <w:color w:val="auto"/>
        </w:rPr>
        <w:t>day of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6062980</wp:posOffset>
            </wp:positionH>
            <wp:positionV relativeFrom="paragraph">
              <wp:posOffset>-13970</wp:posOffset>
            </wp:positionV>
            <wp:extent cx="2400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KIRBY CORPORATION</w:t>
      </w:r>
    </w:p>
    <w:p>
      <w:pPr>
        <w:spacing w:after="0" w:line="19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By:</w:t>
        <w:tab/>
        <w:t>Kim B. Clarke</w:t>
      </w:r>
    </w:p>
    <w:p>
      <w:pPr>
        <w:spacing w:after="0" w:line="28"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22"/>
          <w:szCs w:val="22"/>
          <w:color w:val="auto"/>
        </w:rPr>
        <w:t>Its:</w:t>
        <w:tab/>
        <w:t>VP &amp; CHRO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-158115</wp:posOffset>
            </wp:positionV>
            <wp:extent cx="32061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4445</wp:posOffset>
            </wp:positionV>
            <wp:extent cx="32061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Maximum Contribution Limitation</w:t>
      </w:r>
    </w:p>
    <w:p>
      <w:pPr>
        <w:spacing w:after="0" w:line="21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The Maximum Contribution, for each Plan Year, for each Participant who is eligible to receive Profit Sharing Contributions shall be separately computed under the following Maximum Contribution Formulae, and the Employer Contribution for such Participant for such Plan Year may not exceed such Maximum Contribution:</w:t>
      </w:r>
    </w:p>
    <w:p>
      <w:pPr>
        <w:spacing w:after="0" w:line="168"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22"/>
          <w:szCs w:val="22"/>
          <w:color w:val="auto"/>
        </w:rPr>
        <w:t>([Compensation - 401(k) Limitation Compensation] x 3%) + (Compensation x Profit Sharing Percentage) - (Profit Sharing Amount + Cash Distribution Amount) = Maximum Contribution.</w:t>
      </w:r>
    </w:p>
    <w:p>
      <w:pPr>
        <w:spacing w:after="0" w:line="14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The Maximum Contribution, for each Plan Year, for each Participant who is not eligible to receive Profit Sharing Contributions shall be separately computed under the following Maximum Contribution Formulae, and the Employer Contribution for such Participant for such Plan Year may not exceed such Maximum Contribution:</w:t>
      </w:r>
    </w:p>
    <w:p>
      <w:pPr>
        <w:spacing w:after="0" w:line="168"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([Compensation - 401(k) Limitation Compensation] x 3%) + (Compensation x Employer Discretionary Contribution Percentage) - (Employer Discretionary Contribution Amount + Cash Distribution Amount) = Maximum Contribution.</w:t>
      </w:r>
    </w:p>
    <w:p>
      <w:pPr>
        <w:spacing w:after="0" w:line="14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31.1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92" w:lineRule="exact"/>
        <w:rPr>
          <w:sz w:val="20"/>
          <w:szCs w:val="20"/>
          <w:color w:val="auto"/>
        </w:rPr>
      </w:pPr>
    </w:p>
    <w:p>
      <w:pPr>
        <w:ind w:left="380" w:right="60"/>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March 31, 2022 by Kirby Corporation, David W. Grzebinski certifies that:</w:t>
      </w:r>
    </w:p>
    <w:p>
      <w:pPr>
        <w:spacing w:after="0" w:line="54"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50"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80" w:right="20" w:hanging="372"/>
        <w:spacing w:after="0" w:line="258"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760" w:right="280" w:hanging="378"/>
        <w:spacing w:after="0" w:line="258"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760" w:right="600" w:hanging="378"/>
        <w:spacing w:after="0" w:line="258"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760" w:right="760" w:hanging="378"/>
        <w:spacing w:after="0" w:line="296" w:lineRule="auto"/>
        <w:tabs>
          <w:tab w:leader="none" w:pos="7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760" w:right="40" w:hanging="378"/>
        <w:spacing w:after="0" w:line="296" w:lineRule="auto"/>
        <w:tabs>
          <w:tab w:leader="none" w:pos="7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0" w:lineRule="exact"/>
        <w:rPr>
          <w:rFonts w:ascii="Times New Roman" w:cs="Times New Roman" w:eastAsia="Times New Roman" w:hAnsi="Times New Roman"/>
          <w:sz w:val="17"/>
          <w:szCs w:val="17"/>
          <w:color w:val="auto"/>
        </w:rPr>
      </w:pPr>
    </w:p>
    <w:p>
      <w:pPr>
        <w:ind w:left="380" w:right="28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31.2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92" w:lineRule="exact"/>
        <w:rPr>
          <w:sz w:val="20"/>
          <w:szCs w:val="20"/>
          <w:color w:val="auto"/>
        </w:rPr>
      </w:pPr>
    </w:p>
    <w:p>
      <w:pPr>
        <w:ind w:left="380"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March 31, 2022 by Kirby Corporation, Raj Kumar certifies that:</w:t>
      </w:r>
    </w:p>
    <w:p>
      <w:pPr>
        <w:spacing w:after="0" w:line="54" w:lineRule="exact"/>
        <w:rPr>
          <w:sz w:val="20"/>
          <w:szCs w:val="20"/>
          <w:color w:val="auto"/>
        </w:rPr>
      </w:pPr>
    </w:p>
    <w:p>
      <w:pPr>
        <w:ind w:left="380" w:hanging="372"/>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Kirby Corporation (the “registrant”);</w:t>
      </w:r>
    </w:p>
    <w:p>
      <w:pPr>
        <w:spacing w:after="0" w:line="117" w:lineRule="exact"/>
        <w:rPr>
          <w:rFonts w:ascii="Times New Roman" w:cs="Times New Roman" w:eastAsia="Times New Roman" w:hAnsi="Times New Roman"/>
          <w:sz w:val="18"/>
          <w:szCs w:val="18"/>
          <w:color w:val="auto"/>
        </w:rPr>
      </w:pPr>
    </w:p>
    <w:p>
      <w:pPr>
        <w:jc w:val="both"/>
        <w:ind w:left="380" w:right="400" w:hanging="372"/>
        <w:spacing w:after="0" w:line="250"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80" w:right="20" w:hanging="372"/>
        <w:spacing w:after="0" w:line="258"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760" w:right="280" w:hanging="378"/>
        <w:spacing w:after="0" w:line="258"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760" w:right="600" w:hanging="378"/>
        <w:spacing w:after="0" w:line="258"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760" w:right="760" w:hanging="378"/>
        <w:spacing w:after="0" w:line="296" w:lineRule="auto"/>
        <w:tabs>
          <w:tab w:leader="none" w:pos="7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7"/>
          <w:szCs w:val="17"/>
          <w:color w:val="auto"/>
        </w:rPr>
      </w:pPr>
    </w:p>
    <w:p>
      <w:pPr>
        <w:ind w:left="760" w:right="40" w:hanging="378"/>
        <w:spacing w:after="0" w:line="296" w:lineRule="auto"/>
        <w:tabs>
          <w:tab w:leader="none" w:pos="76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0" w:lineRule="exact"/>
        <w:rPr>
          <w:rFonts w:ascii="Times New Roman" w:cs="Times New Roman" w:eastAsia="Times New Roman" w:hAnsi="Times New Roman"/>
          <w:sz w:val="17"/>
          <w:szCs w:val="17"/>
          <w:color w:val="auto"/>
        </w:rPr>
      </w:pPr>
    </w:p>
    <w:p>
      <w:pPr>
        <w:ind w:left="380" w:right="280" w:hanging="372"/>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32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18 U.S.C. Section 1350</w:t>
      </w:r>
    </w:p>
    <w:p>
      <w:pPr>
        <w:spacing w:after="0" w:line="192"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for the quarter ended March 31, 2022 (the “Report”) by Kirby Corporation (the “Company”), each of the undersigned hereby certifies that:</w:t>
      </w:r>
    </w:p>
    <w:p>
      <w:pPr>
        <w:spacing w:after="0" w:line="54"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David W. Grzebinski</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Raj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Raj Kumar</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
      <w:numFmt w:val="bullet"/>
      <w:start w:val="1"/>
    </w:lvl>
  </w:abstractNum>
  <w:abstractNum w:abstractNumId="1">
    <w:nsid w:val="25E45D32"/>
    <w:multiLevelType w:val="hybridMultilevel"/>
    <w:lvl w:ilvl="0">
      <w:lvlJc w:val="left"/>
      <w:lvlText w:val=" "/>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4"/>
    </w:lvl>
  </w:abstractNum>
  <w:abstractNum w:abstractNumId="5">
    <w:nsid w:val="7C83E458"/>
    <w:multiLevelType w:val="hybridMultilevel"/>
    <w:lvl w:ilvl="0">
      <w:lvlJc w:val="left"/>
      <w:lvlText w:val="(%1)"/>
      <w:numFmt w:val="decimal"/>
      <w:start w:val="5"/>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decimal"/>
      <w:start w:val="7"/>
    </w:lvl>
  </w:abstractNum>
  <w:abstractNum w:abstractNumId="9">
    <w:nsid w:val="628C895D"/>
    <w:multiLevelType w:val="hybridMultilevel"/>
    <w:lvl w:ilvl="0">
      <w:lvlJc w:val="left"/>
      <w:lvlText w:val="(%1)"/>
      <w:numFmt w:val="decimal"/>
      <w:start w:val="8"/>
    </w:lvl>
  </w:abstractNum>
  <w:abstractNum w:abstractNumId="10">
    <w:nsid w:val="333AB105"/>
    <w:multiLevelType w:val="hybridMultilevel"/>
    <w:lvl w:ilvl="0">
      <w:lvlJc w:val="left"/>
      <w:lvlText w:val="%1"/>
      <w:numFmt w:val="decimal"/>
      <w:start w:val="1"/>
    </w:lvl>
    <w:lvl w:ilvl="1">
      <w:lvlJc w:val="left"/>
      <w:lvlText w:val="(%2)"/>
      <w:numFmt w:val="lowerLetter"/>
      <w:start w:val="1"/>
    </w:lvl>
  </w:abstractNum>
  <w:abstractNum w:abstractNumId="11">
    <w:nsid w:val="721DA317"/>
    <w:multiLevelType w:val="hybridMultilevel"/>
    <w:lvl w:ilvl="0">
      <w:lvlJc w:val="left"/>
      <w:lvlText w:val="(%1)"/>
      <w:numFmt w:val="decimal"/>
      <w:start w:val="13"/>
    </w:lvl>
    <w:lvl w:ilvl="1">
      <w:lvlJc w:val="left"/>
      <w:lvlText w:val="%2"/>
      <w:numFmt w:val="lowerLetter"/>
      <w:start w:val="1"/>
    </w:lvl>
  </w:abstractNum>
  <w:abstractNum w:abstractNumId="12">
    <w:nsid w:val="2443A858"/>
    <w:multiLevelType w:val="hybridMultilevel"/>
    <w:lvl w:ilvl="0">
      <w:lvlJc w:val="left"/>
      <w:lvlText w:val="(%1)"/>
      <w:numFmt w:val="lowerLetter"/>
      <w:start w:val="1"/>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4"/>
    </w:lvl>
  </w:abstractNum>
  <w:abstractNum w:abstractNumId="17">
    <w:nsid w:val="79838CB2"/>
    <w:multiLevelType w:val="hybridMultilevel"/>
    <w:lvl w:ilvl="0">
      <w:lvlJc w:val="left"/>
      <w:lvlText w:val="(%1)"/>
      <w:numFmt w:val="lowerLetter"/>
      <w:start w:val="5"/>
    </w:lvl>
  </w:abstractNum>
  <w:abstractNum w:abstractNumId="18">
    <w:nsid w:val="4353D0CD"/>
    <w:multiLevelType w:val="hybridMultilevel"/>
    <w:lvl w:ilvl="0">
      <w:lvlJc w:val="left"/>
      <w:lvlText w:val="(%1)"/>
      <w:numFmt w:val="lowerLetter"/>
      <w:start w:val="6"/>
    </w:lvl>
    <w:lvl w:ilvl="1">
      <w:lvlJc w:val="left"/>
      <w:lvlText w:val="-"/>
      <w:numFmt w:val="bullet"/>
      <w:start w:val="1"/>
    </w:lvl>
  </w:abstractNum>
  <w:abstractNum w:abstractNumId="19">
    <w:nsid w:val="B03E0C6"/>
    <w:multiLevelType w:val="hybridMultilevel"/>
    <w:lvl w:ilvl="0">
      <w:lvlJc w:val="left"/>
      <w:lvlText w:val="(%1)"/>
      <w:numFmt w:val="lowerRoman"/>
      <w:start w:val="1"/>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Letter"/>
      <w:start w:val="1"/>
    </w:lvl>
    <w:lvl w:ilvl="1">
      <w:lvlJc w:val="left"/>
      <w:lvlText w:val="(%2)"/>
      <w:numFmt w:val="lowerLetter"/>
      <w:start w:val="1"/>
    </w:lvl>
  </w:abstractNum>
  <w:abstractNum w:abstractNumId="22">
    <w:nsid w:val="71F32454"/>
    <w:multiLevelType w:val="hybridMultilevel"/>
    <w:lvl w:ilvl="0">
      <w:lvlJc w:val="left"/>
      <w:lvlText w:val="(%1)"/>
      <w:numFmt w:val="lowerLetter"/>
      <w:start w:val="2"/>
    </w:lvl>
    <w:lvl w:ilvl="1">
      <w:lvlJc w:val="left"/>
      <w:lvlText w:val="%2"/>
      <w:numFmt w:val="lowerLetter"/>
      <w:start w:val="1"/>
    </w:lvl>
  </w:abstractNum>
  <w:abstractNum w:abstractNumId="23">
    <w:nsid w:val="2CA88611"/>
    <w:multiLevelType w:val="hybridMultilevel"/>
    <w:lvl w:ilvl="0">
      <w:lvlJc w:val="left"/>
      <w:lvlText w:val="(%1)"/>
      <w:numFmt w:val="lowerLetter"/>
      <w:start w:val="2"/>
    </w:lvl>
  </w:abstractNum>
  <w:abstractNum w:abstractNumId="24">
    <w:nsid w:val="836C40E"/>
    <w:multiLevelType w:val="hybridMultilevel"/>
    <w:lvl w:ilvl="0">
      <w:lvlJc w:val="left"/>
      <w:lvlText w:val="(%1)"/>
      <w:numFmt w:val="lowerLetter"/>
      <w:start w:val="1"/>
    </w:lvl>
    <w:lvl w:ilvl="1">
      <w:lvlJc w:val="left"/>
      <w:lvlText w:val="-"/>
      <w:numFmt w:val="bullet"/>
      <w:start w:val="1"/>
    </w:lvl>
  </w:abstractNum>
  <w:abstractNum w:abstractNumId="25">
    <w:nsid w:val="2901D82"/>
    <w:multiLevelType w:val="hybridMultilevel"/>
    <w:lvl w:ilvl="0">
      <w:lvlJc w:val="left"/>
      <w:lvlText w:val="(%1)"/>
      <w:numFmt w:val="lowerLetter"/>
      <w:start w:val="2"/>
    </w:lvl>
  </w:abstractNum>
  <w:abstractNum w:abstractNumId="26">
    <w:nsid w:val="3A95F874"/>
    <w:multiLevelType w:val="hybridMultilevel"/>
    <w:lvl w:ilvl="0">
      <w:lvlJc w:val="left"/>
      <w:lvlText w:val="(%1)"/>
      <w:numFmt w:val="lowerLetter"/>
      <w:start w:val="1"/>
    </w:lvl>
    <w:lvl w:ilvl="1">
      <w:lvlJc w:val="left"/>
      <w:lvlText w:val="-"/>
      <w:numFmt w:val="bullet"/>
      <w:start w:val="1"/>
    </w:lvl>
  </w:abstractNum>
  <w:abstractNum w:abstractNumId="27">
    <w:nsid w:val="8138641"/>
    <w:multiLevelType w:val="hybridMultilevel"/>
    <w:lvl w:ilvl="0">
      <w:lvlJc w:val="left"/>
      <w:lvlText w:val="(%1)"/>
      <w:numFmt w:val="lowerLetter"/>
      <w:start w:val="4"/>
    </w:lvl>
    <w:lvl w:ilvl="1">
      <w:lvlJc w:val="left"/>
      <w:lvlText w:val="-"/>
      <w:numFmt w:val="bullet"/>
      <w:start w:val="1"/>
    </w:lvl>
  </w:abstractNum>
  <w:abstractNum w:abstractNumId="28">
    <w:nsid w:val="1E7FF521"/>
    <w:multiLevelType w:val="hybridMultilevel"/>
    <w:lvl w:ilvl="0">
      <w:lvlJc w:val="left"/>
      <w:lvlText w:val="(%1)"/>
      <w:numFmt w:val="lowerLetter"/>
      <w:start w:val="12"/>
    </w:lvl>
    <w:lvl w:ilvl="1">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35" Type="http://schemas.openxmlformats.org/officeDocument/2006/relationships/hyperlink" Target="https://www.sec.gov/Archives/edgar/data/56047/000114036115008395/ex3_1.htm" TargetMode="External"/><Relationship Id="rId236" Type="http://schemas.openxmlformats.org/officeDocument/2006/relationships/hyperlink" Target="https://www.sec.gov/Archives/edgar/data/56047/000114036115008395/ex3_2.htm" TargetMode="External"/><Relationship Id="rId237" Type="http://schemas.openxmlformats.org/officeDocument/2006/relationships/hyperlink" Target="https://www.sec.gov/Archives/edgar/data/56047/000114036120006365/ex3_1.htm" TargetMode="External"/><Relationship Id="rId238" Type="http://schemas.openxmlformats.org/officeDocument/2006/relationships/hyperlink" Target="https://www.sec.gov/Archives/edgar/data/56047/000095017022000893/kex-ex10_1.htm" TargetMode="External"/><Relationship Id="rId239" Type="http://schemas.openxmlformats.org/officeDocument/2006/relationships/hyperlink" Target="https://www.sec.gov/Archives/edgar/data/56047/000095017022001486/kex-ex10_6.htm" TargetMode="External"/><Relationship Id="rId240" Type="http://schemas.openxmlformats.org/officeDocument/2006/relationships/hyperlink" Target="https://www.sec.gov/Archives/edgar/data/56047/000095017022001486/kex-ex10_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2022-05-09T14:13:20Z</dcterms:created>
  <dcterms:modified xsi:type="dcterms:W3CDTF">2022-05-09T14:13:20Z</dcterms:modified>
</cp:coreProperties>
</file>