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Husted Amy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WAUGH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KIRBY CORP</w:t>
              </w:r>
            </w:hyperlink>
            <w:r>
              <w:rPr/>
              <w:t xml:space="preserve"> [ </w:t>
            </w:r>
            <w:r>
              <w:rPr>
                <w:rFonts w:ascii="Times;serif" w:hAnsi="Times;serif"/>
                <w:color w:val="0000FF"/>
                <w:sz w:val="24"/>
                <w:shd w:fill="FFFFFF" w:val="clear"/>
              </w:rPr>
              <w:t>KEX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 VP General Counsel &amp;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$0.10 per share</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$0.10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10,926</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cash or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stock units granted on August 5, 2024, vest in five equal annual installments beginning on August 5, 2025. Cash or shares of common stock of the issuer, at the election of the issuer, will be delivered to the reporting person on or as soon as practicable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Ronald A. Dragg, Agent 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3809" TargetMode="External"/><Relationship Id="rId5" Type="http://schemas.openxmlformats.org/officeDocument/2006/relationships/hyperlink" Target="http://www.sec.gov/cgi-bin/browse-edgar?action=getcompany&amp;CIK=00000560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3553</Characters>
  <CharactersWithSpaces>4140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