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765175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7" w:lineRule="exact"/>
        <w:rPr>
          <w:sz w:val="24"/>
          <w:szCs w:val="24"/>
          <w:color w:val="auto"/>
        </w:rPr>
      </w:pPr>
    </w:p>
    <w:p>
      <w:pPr>
        <w:ind w:left="440" w:hanging="432"/>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r>
      <w:tr>
        <w:trPr>
          <w:trHeight w:val="261"/>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1"/>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55 Waugh Drive, Suite 1000</w:t>
            </w:r>
          </w:p>
        </w:tc>
        <w:tc>
          <w:tcPr>
            <w:tcW w:w="3760" w:type="dxa"/>
            <w:vAlign w:val="bottom"/>
          </w:tcPr>
          <w:p>
            <w:pPr>
              <w:spacing w:after="0"/>
              <w:rPr>
                <w:sz w:val="24"/>
                <w:szCs w:val="24"/>
                <w:color w:val="auto"/>
              </w:rPr>
            </w:pPr>
          </w:p>
        </w:tc>
      </w:tr>
      <w:tr>
        <w:trPr>
          <w:trHeight w:val="238"/>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r>
      <w:tr>
        <w:trPr>
          <w:trHeight w:val="243"/>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75"/>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0"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0"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20"/>
              <w:spacing w:after="0"/>
              <w:rPr>
                <w:sz w:val="20"/>
                <w:szCs w:val="20"/>
                <w:color w:val="auto"/>
              </w:rPr>
            </w:pPr>
            <w:r>
              <w:rPr>
                <w:rFonts w:ascii="Wingdings" w:cs="Wingdings" w:eastAsia="Wingdings" w:hAnsi="Wingdings"/>
                <w:sz w:val="18"/>
                <w:szCs w:val="18"/>
                <w:b w:val="1"/>
                <w:bCs w:val="1"/>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43"/>
        </w:trPr>
        <w:tc>
          <w:tcPr>
            <w:tcW w:w="21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76"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2024, 57.9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620" w:type="dxa"/>
            <w:vAlign w:val="bottom"/>
            <w:gridSpan w:val="3"/>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550,159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526,691</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 net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445,304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454,389</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69,479</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1,166,615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1,135,161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5,990,523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5,824,038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Pr>
          <w:p>
            <w:pPr>
              <w:spacing w:after="0"/>
              <w:rPr>
                <w:sz w:val="20"/>
                <w:szCs w:val="20"/>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(2,015,776 )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(1,962,933 )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3,974,747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152,216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92,040</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5,865,898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6"/>
        </w:trPr>
        <w:tc>
          <w:tcPr>
            <w:tcW w:w="8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1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266,820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269,378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211,276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153,964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134,577</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684,623</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675,795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1,039,120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1,008,527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720,679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696,557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144,250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1,918,597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21"/>
        </w:trPr>
        <w:tc>
          <w:tcPr>
            <w:tcW w:w="8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2,845,587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2,691,665</w:t>
            </w:r>
          </w:p>
        </w:tc>
        <w:tc>
          <w:tcPr>
            <w:tcW w:w="100" w:type="dxa"/>
            <w:vAlign w:val="bottom"/>
          </w:tcPr>
          <w:p>
            <w:pPr>
              <w:spacing w:after="0"/>
              <w:rPr>
                <w:sz w:val="20"/>
                <w:szCs w:val="20"/>
                <w:color w:val="auto"/>
              </w:rPr>
            </w:pPr>
          </w:p>
        </w:tc>
      </w:tr>
      <w:tr>
        <w:trPr>
          <w:trHeight w:val="243"/>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at cost, 7.5 million shares at June 30, 2024 and 6.8 million at December 31, 2023</w:t>
            </w: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(488,059 )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(411,750 )</w:t>
            </w:r>
          </w:p>
        </w:tc>
      </w:tr>
      <w:tr>
        <w:trPr>
          <w:trHeight w:val="236"/>
        </w:trPr>
        <w:tc>
          <w:tcPr>
            <w:tcW w:w="8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3,261,457</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3,185,431</w:t>
            </w:r>
          </w:p>
        </w:tc>
        <w:tc>
          <w:tcPr>
            <w:tcW w:w="100" w:type="dxa"/>
            <w:vAlign w:val="bottom"/>
            <w:tcBorders>
              <w:top w:val="single" w:sz="8" w:color="CFF0FC"/>
            </w:tcBorders>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3,262,678</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3,186,677</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5,865,898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-5847715</wp:posOffset>
            </wp:positionV>
            <wp:extent cx="7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-5847715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-5290820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-5290820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-4425950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-4408805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-2927985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-2063115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-667385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-350520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426,962</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839,457</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777,248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1,527,692</w:t>
            </w:r>
          </w:p>
        </w:tc>
        <w:tc>
          <w:tcPr>
            <w:tcW w:w="100" w:type="dxa"/>
            <w:vAlign w:val="bottom"/>
          </w:tcPr>
          <w:p>
            <w:pPr>
              <w:spacing w:after="0"/>
              <w:rPr>
                <w:sz w:val="20"/>
                <w:szCs w:val="20"/>
                <w:color w:val="auto"/>
              </w:rPr>
            </w:pPr>
          </w:p>
        </w:tc>
      </w:tr>
      <w:tr>
        <w:trPr>
          <w:trHeight w:val="240"/>
        </w:trPr>
        <w:tc>
          <w:tcPr>
            <w:tcW w:w="4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554,232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546,069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1,104,913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1,088,149</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171,745</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102,806</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(472 )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(589 )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(2,702 )</w:t>
            </w:r>
          </w:p>
        </w:tc>
      </w:tr>
      <w:tr>
        <w:trPr>
          <w:trHeight w:val="236"/>
        </w:trPr>
        <w:tc>
          <w:tcPr>
            <w:tcW w:w="49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703,892</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689,948</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1,410,391</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1,378,942</w:t>
            </w:r>
          </w:p>
        </w:tc>
        <w:tc>
          <w:tcPr>
            <w:tcW w:w="100" w:type="dxa"/>
            <w:vAlign w:val="bottom"/>
            <w:tcBorders>
              <w:top w:val="single" w:sz="8" w:color="CFF0FC"/>
            </w:tcBorders>
          </w:tcPr>
          <w:p>
            <w:pPr>
              <w:spacing w:after="0"/>
              <w:rPr>
                <w:sz w:val="20"/>
                <w:szCs w:val="20"/>
                <w:color w:val="auto"/>
              </w:rPr>
            </w:pPr>
          </w:p>
        </w:tc>
      </w:tr>
      <w:tr>
        <w:trPr>
          <w:trHeight w:val="240"/>
        </w:trPr>
        <w:tc>
          <w:tcPr>
            <w:tcW w:w="4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148,750</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(12,819 )</w:t>
            </w: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(12,286 )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(25,970 )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(25,507 )</w:t>
            </w:r>
          </w:p>
        </w:tc>
      </w:tr>
      <w:tr>
        <w:trPr>
          <w:trHeight w:val="240"/>
        </w:trPr>
        <w:tc>
          <w:tcPr>
            <w:tcW w:w="49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130,950</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(26,785 )</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(18,960 )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(48,511 )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(33,011 )</w:t>
            </w:r>
          </w:p>
        </w:tc>
      </w:tr>
      <w:tr>
        <w:trPr>
          <w:trHeight w:val="240"/>
        </w:trPr>
        <w:tc>
          <w:tcPr>
            <w:tcW w:w="49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153,897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97,939</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r>
      <w:tr>
        <w:trPr>
          <w:trHeight w:val="240"/>
        </w:trPr>
        <w:tc>
          <w:tcPr>
            <w:tcW w:w="49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153,922</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98,065</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-4126230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-4126230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-4126230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-4126230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-2876550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-2876550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-2876550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-1617345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-1617345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-1617345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-205105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-205105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-205105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83,982</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57,318</w:t>
            </w: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153,897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97,939</w:t>
            </w:r>
          </w:p>
        </w:tc>
        <w:tc>
          <w:tcPr>
            <w:tcW w:w="100" w:type="dxa"/>
            <w:vAlign w:val="bottom"/>
            <w:shd w:val="clear" w:color="auto" w:fill="CFF0FC"/>
          </w:tcPr>
          <w:p>
            <w:pPr>
              <w:spacing w:after="0"/>
              <w:rPr>
                <w:sz w:val="20"/>
                <w:szCs w:val="20"/>
                <w:color w:val="auto"/>
              </w:rPr>
            </w:pPr>
          </w:p>
        </w:tc>
      </w:tr>
      <w:tr>
        <w:trPr>
          <w:trHeight w:val="240"/>
        </w:trPr>
        <w:tc>
          <w:tcPr>
            <w:tcW w:w="492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(473 )</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(473 )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8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top w:val="single" w:sz="8" w:color="CFF0FC"/>
            </w:tcBorders>
          </w:tcPr>
          <w:p>
            <w:pPr>
              <w:spacing w:after="0"/>
              <w:rPr>
                <w:sz w:val="20"/>
                <w:szCs w:val="20"/>
                <w:color w:val="auto"/>
              </w:rPr>
            </w:pPr>
          </w:p>
        </w:tc>
      </w:tr>
      <w:tr>
        <w:trPr>
          <w:trHeight w:val="240"/>
        </w:trPr>
        <w:tc>
          <w:tcPr>
            <w:tcW w:w="49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84,495</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59,297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100,082</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r>
      <w:tr>
        <w:trPr>
          <w:trHeight w:val="240"/>
        </w:trPr>
        <w:tc>
          <w:tcPr>
            <w:tcW w:w="492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78"/>
        </w:trPr>
        <w:tc>
          <w:tcPr>
            <w:tcW w:w="4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840" w:type="dxa"/>
            <w:vAlign w:val="bottom"/>
            <w:tcBorders>
              <w:bottom w:val="single" w:sz="8" w:color="auto"/>
            </w:tcBorders>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84,367</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59,346</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154,040</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7920" w:type="dxa"/>
            <w:vAlign w:val="bottom"/>
            <w:gridSpan w:val="6"/>
          </w:tcPr>
          <w:p>
            <w:pPr>
              <w:ind w:left="34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492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-2645410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-2645410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-2645410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-2019935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-2019935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-2019935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-1386205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-1386205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-1386205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-1069975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-1052830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-1069975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-1052830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-1069975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-1052830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1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153,897</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97,939</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(3,111 )</w:t>
            </w:r>
          </w:p>
        </w:tc>
      </w:tr>
      <w:tr>
        <w:trPr>
          <w:trHeight w:val="243"/>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 cash flows resulting from changes in operating assets and liabilities, net</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(19,409 )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(22,878 )</w:t>
            </w:r>
          </w:p>
        </w:tc>
      </w:tr>
      <w:tr>
        <w:trPr>
          <w:trHeight w:val="236"/>
        </w:trPr>
        <w:tc>
          <w:tcPr>
            <w:tcW w:w="8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302,607</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227,949</w:t>
            </w:r>
          </w:p>
        </w:tc>
        <w:tc>
          <w:tcPr>
            <w:tcW w:w="100" w:type="dxa"/>
            <w:vAlign w:val="bottom"/>
            <w:tcBorders>
              <w:top w:val="single" w:sz="8" w:color="CFF0FC"/>
            </w:tcBorders>
          </w:tcPr>
          <w:p>
            <w:pPr>
              <w:spacing w:after="0"/>
              <w:rPr>
                <w:sz w:val="20"/>
                <w:szCs w:val="20"/>
                <w:color w:val="auto"/>
              </w:rPr>
            </w:pPr>
          </w:p>
        </w:tc>
      </w:tr>
      <w:tr>
        <w:trPr>
          <w:trHeight w:val="240"/>
        </w:trPr>
        <w:tc>
          <w:tcPr>
            <w:tcW w:w="8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(169,607 )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(171,245 )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businesses and marine equipment</w:t>
            </w:r>
          </w:p>
        </w:tc>
        <w:tc>
          <w:tcPr>
            <w:tcW w:w="320" w:type="dxa"/>
            <w:vAlign w:val="bottom"/>
          </w:tcPr>
          <w:p>
            <w:pPr>
              <w:spacing w:after="0"/>
              <w:rPr>
                <w:sz w:val="20"/>
                <w:szCs w:val="20"/>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(65,232 )</w:t>
            </w:r>
          </w:p>
        </w:tc>
        <w:tc>
          <w:tcPr>
            <w:tcW w:w="4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(225,785 )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(150,716 )</w:t>
            </w:r>
          </w:p>
        </w:tc>
      </w:tr>
      <w:tr>
        <w:trPr>
          <w:trHeight w:val="240"/>
        </w:trPr>
        <w:tc>
          <w:tcPr>
            <w:tcW w:w="8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on bank credit facilities, net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320" w:type="dxa"/>
            <w:vAlign w:val="bottom"/>
          </w:tcPr>
          <w:p>
            <w:pPr>
              <w:spacing w:after="0"/>
              <w:rPr>
                <w:sz w:val="20"/>
                <w:szCs w:val="20"/>
                <w:color w:val="auto"/>
              </w:rPr>
            </w:pPr>
          </w:p>
        </w:tc>
        <w:tc>
          <w:tcPr>
            <w:tcW w:w="13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(350,000 )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20" w:type="dxa"/>
            <w:vAlign w:val="bottom"/>
          </w:tcPr>
          <w:p>
            <w:pPr>
              <w:spacing w:after="0"/>
              <w:rPr>
                <w:sz w:val="20"/>
                <w:szCs w:val="20"/>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320" w:type="dxa"/>
            <w:vAlign w:val="bottom"/>
          </w:tcPr>
          <w:p>
            <w:pPr>
              <w:spacing w:after="0"/>
              <w:rPr>
                <w:sz w:val="20"/>
                <w:szCs w:val="20"/>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(5,339 )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(3,595 )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(85,466 )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(37,600 )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(49 )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8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(55,859 )</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(121,207 )</w:t>
            </w:r>
          </w:p>
        </w:tc>
      </w:tr>
      <w:tr>
        <w:trPr>
          <w:trHeight w:val="20"/>
        </w:trPr>
        <w:tc>
          <w:tcPr>
            <w:tcW w:w="8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(43,974 )</w:t>
            </w:r>
          </w:p>
        </w:tc>
      </w:tr>
      <w:tr>
        <w:trPr>
          <w:trHeight w:val="247"/>
        </w:trPr>
        <w:tc>
          <w:tcPr>
            <w:tcW w:w="8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80,577</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53,540</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8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(received) during the period: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(67,921 )</w:t>
            </w: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(2,015 )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(5,064 )</w:t>
            </w:r>
          </w:p>
        </w:tc>
      </w:tr>
      <w:tr>
        <w:trPr>
          <w:trHeight w:val="234"/>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-4857115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-4857115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-3915410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-3915410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-2040255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-2040255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-1406525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-1389380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-1406525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-1389380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80" w:type="dxa"/>
            <w:vAlign w:val="bottom"/>
            <w:gridSpan w:val="3"/>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2,761,73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859,150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(7,199 )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(998 )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(43,679 )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(43,679 )</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Excise taxes on treasury</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2,845,58</w:t>
            </w: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3,262,67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04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862,258</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4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80" w:type="dxa"/>
            <w:vAlign w:val="bottom"/>
            <w:gridSpan w:val="3"/>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2,509,42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(5,504 )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(1,819 )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(34,416 )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(34,416 )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Excise taxes on treasury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June 30, 2023</w:t>
            </w: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2,566,79</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(339,65</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857,965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3,112,809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-3098800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-3081655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-3398520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-3098800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-3081655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-3398520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-3098800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-3081655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-3398520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-3098800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-3081655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-3398520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-3098800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-3081655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-3398520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-3098800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-3081655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-3398520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-3098800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-3081655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-3398520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-3098800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-3081655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-3398520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-3098800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80" w:type="dxa"/>
            <w:vAlign w:val="bottom"/>
            <w:gridSpan w:val="3"/>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gridSpan w:val="2"/>
          </w:tcPr>
          <w:p>
            <w:pPr>
              <w:spacing w:after="0"/>
              <w:rPr>
                <w:sz w:val="14"/>
                <w:szCs w:val="14"/>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2,691,66</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(6,843 )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(12,538 )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(5,339 )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(5,339 )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(85,466 )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(85,466 )</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Excise taxes on treasury</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(704 )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(704 )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153,922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June 30, 2024</w:t>
            </w:r>
          </w:p>
        </w:tc>
        <w:tc>
          <w:tcPr>
            <w:tcW w:w="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gridSpan w:val="2"/>
            <w:shd w:val="clear" w:color="auto" w:fill="CFF0FC"/>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2,845,58</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(488,05</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3,262,67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4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shd w:val="clear" w:color="auto" w:fill="CFF0FC"/>
          </w:tcPr>
          <w:p>
            <w:pPr>
              <w:spacing w:after="0"/>
              <w:rPr>
                <w:sz w:val="24"/>
                <w:szCs w:val="2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$ 6,547</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862,258</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4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Borders>
              <w:top w:val="single" w:sz="8" w:color="CFF0FC"/>
            </w:tcBorders>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80" w:type="dxa"/>
            <w:vAlign w:val="bottom"/>
            <w:gridSpan w:val="3"/>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gridSpan w:val="2"/>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2,468,73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859,345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(10,075 )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(3,595 )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(3,595 )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(522 )</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(37,600 )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(37,600 )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Excise taxes on treasury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6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tcBorders>
              <w:top w:val="single" w:sz="8" w:color="CFF0FC"/>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June 30, 2023</w:t>
            </w: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2,566,79</w:t>
            </w: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(339,65</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857,965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3,112,809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-3227705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-3210560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-3227705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-3210560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-3227705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-3210560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-3227705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-3210560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-3227705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-3210560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-3227705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-3210560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-3227705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-3210560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-3227705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-3210560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-324485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-324485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-324485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-324485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-324485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-324485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-324485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-324485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88"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2023. Certain reclassifications have been made to reflect the current presentation of financial information.</w:t>
      </w:r>
    </w:p>
    <w:p>
      <w:pPr>
        <w:spacing w:after="0" w:line="159"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Effective January 1, 2024, the power generation revenue source within the distribution and services segment has been broken out from the commercial and industrial and oil and gas revenue sources due to the significance of the power generation market to the Company’s growth. This change had no net impact on overall Company or segment revenues and has been reflected retrospectively for all periods presented.</w:t>
      </w:r>
    </w:p>
    <w:p>
      <w:pPr>
        <w:spacing w:after="0" w:line="133"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8"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approximately $65.2 million in cash. The 13 tank barges, including three specialty barges, transport petrochemicals and refined products on the Mississippi River System and Gulf Intracoastal Waterway. The average age of the 13 barges was 15 years.</w:t>
      </w:r>
    </w:p>
    <w:p>
      <w:pPr>
        <w:spacing w:after="0" w:line="150"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37"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w:t>
      </w:r>
    </w:p>
    <w:p>
      <w:pPr>
        <w:spacing w:after="0" w:line="118"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391,835</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351,807</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777,842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689,695</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92,973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182,378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426,962</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839,457</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165,658</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152,045</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308,282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305,099</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Power generation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243,452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189,315</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120,458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193,821</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-992505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-992505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-992505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or at a point in time as the related performance obligation is satisfied. Revenues recognized during the six months ended June 30, 2024 and 2023 that were included in the opening contract liability balances were $81.5 million and $60.3 million, respectively. The Company presents all contract liabilities within the deferred revenues financial statement caption on the balance sheets. The Company did not have any contract assets at June 30, 2024 or December 31, 2023. The Company applies the practical expedient that allows non-disclosure of information about remaining performance obligations that have original expected durations of one year or less.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2"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and related equipment used in oilfield services, marine, power generation, on-highway, backup power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and specialized electrical distribution and control equipment.</w:t>
      </w:r>
    </w:p>
    <w:p>
      <w:pPr>
        <w:spacing w:after="0" w:line="15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$7.5 million and $14.1 million for the three months and six months ended June 30, 2024, respectively, and $10.3 million and $19.7 million for the three months and six months ended June 30, 2023, respectively, as well as the related intersegment profit of $0.7 million and $1.4 million for the three months and six months ended June 30, 2024, respectively, and $1.0 million and $2.0 million for the three months and six months ended June 30, 2023, respectively, have been eliminated from the tables below.</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Company’s revenues and profit or loss by reportable segment and total assets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426,962</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839,457</w:t>
            </w:r>
          </w:p>
        </w:tc>
        <w:tc>
          <w:tcPr>
            <w:tcW w:w="10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777,248</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1,527,692</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94,876</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(13,545 )</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(17,815 )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(26,901 )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(28,971 )</w:t>
            </w: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202,408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-992505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-992505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-992505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p>
      <w:pPr>
        <w:spacing w:after="0" w:line="20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8" w:lineRule="exact"/>
        <w:rPr>
          <w:sz w:val="20"/>
          <w:szCs w:val="20"/>
          <w:color w:val="auto"/>
        </w:rPr>
      </w:pPr>
    </w:p>
    <w:p>
      <w:pPr>
        <w:sectPr>
          <w:pgSz w:w="11900" w:h="16838" w:orient="portrait"/>
          <w:cols w:equalWidth="0" w:num="2">
            <w:col w:w="9320" w:space="720"/>
            <w:col w:w="1200"/>
          </w:cols>
          <w:pgMar w:left="320" w:top="115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4,557,755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4,454,931</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1,178,801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1,156,384</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5,865,898</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656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(4,329 )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(7,265 )</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(7,877 )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(13,873 )</w:t>
            </w: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(12,819 )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(12,286 )</w:t>
            </w: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(25,970 )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(25,507 )</w:t>
            </w: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tcPr>
          <w:p>
            <w:pPr>
              <w:spacing w:after="0"/>
              <w:rPr>
                <w:sz w:val="20"/>
                <w:szCs w:val="20"/>
                <w:color w:val="auto"/>
              </w:rPr>
            </w:pPr>
          </w:p>
        </w:tc>
      </w:tr>
      <w:tr>
        <w:trPr>
          <w:trHeight w:val="276"/>
        </w:trPr>
        <w:tc>
          <w:tcPr>
            <w:tcW w:w="492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(13,545 )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(17,815 )</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(26,901 )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(28,971 )</w:t>
            </w:r>
          </w:p>
        </w:tc>
      </w:tr>
      <w:tr>
        <w:trPr>
          <w:trHeight w:val="565"/>
        </w:trPr>
        <w:tc>
          <w:tcPr>
            <w:tcW w:w="49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4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-2311400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-2294255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-881380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-864235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-881380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-864235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-881380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-864235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bookmarkStart w:id="9" w:name="page10"/>
    <w:bookmarkEnd w:id="9"/>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126,949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108,306</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129,342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02" w:lineRule="exact"/>
        <w:rPr>
          <w:sz w:val="20"/>
          <w:szCs w:val="20"/>
          <w:color w:val="auto"/>
        </w:rPr>
      </w:pPr>
    </w:p>
    <w:p>
      <w:pPr>
        <w:ind w:right="160"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9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483,222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475,920</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49,955</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207,577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200,698</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1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1,052,970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(4,880 )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(5,473 )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1,048,090</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995,450</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10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-504825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-504825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Variable interest rate of 6.6% at June 30, 2024 and 6.8% at December 31, 2023.</w:t>
      </w:r>
    </w:p>
    <w:p>
      <w:pPr>
        <w:spacing w:after="0" w:line="184"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On July 29, 2022, the Company entered into a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No repayments are required until June 30, 2025.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$426.0 million as of June 30, 2024.</w:t>
      </w:r>
    </w:p>
    <w:p>
      <w:pPr>
        <w:spacing w:after="0" w:line="159"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w:t>
      </w:r>
    </w:p>
    <w:p>
      <w:pPr>
        <w:spacing w:after="0" w:line="141"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has a $15 million line of credit (“Credit Line”) with Bank of America, N.A. (“Bank of America”) for short-term liquidity needs and letters of credit, with a maturity date of June 30, 2026. Outstanding letters of credit under the Credit Line were $6.8 million and available borrowing capacity was $8.2 million as of June 30, 2024.</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 w:name="page11"/>
    <w:bookmarkEnd w:id="10"/>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60" w:firstLine="562"/>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6"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217,516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(39,867 )</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(40,290 )</w:t>
            </w:r>
          </w:p>
        </w:tc>
        <w:tc>
          <w:tcPr>
            <w:tcW w:w="6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177,649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172,151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492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10,653</w:t>
            </w:r>
          </w:p>
        </w:tc>
        <w:tc>
          <w:tcPr>
            <w:tcW w:w="2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(830 )</w:t>
            </w:r>
          </w:p>
        </w:tc>
        <w:tc>
          <w:tcPr>
            <w:tcW w:w="8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(1,684 )</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(1,641 )</w:t>
            </w:r>
          </w:p>
        </w:tc>
        <w:tc>
          <w:tcPr>
            <w:tcW w:w="6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19,756</w:t>
            </w:r>
          </w:p>
        </w:tc>
        <w:tc>
          <w:tcPr>
            <w:tcW w:w="2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41,255</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76"/>
        </w:trPr>
        <w:tc>
          <w:tcPr>
            <w:tcW w:w="816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4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4.6 %</w:t>
            </w:r>
          </w:p>
        </w:tc>
        <w:tc>
          <w:tcPr>
            <w:tcW w:w="1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 years</w:t>
            </w:r>
          </w:p>
        </w:tc>
        <w:tc>
          <w:tcPr>
            <w:tcW w:w="180" w:type="dxa"/>
            <w:vAlign w:val="bottom"/>
          </w:tcPr>
          <w:p>
            <w:pPr>
              <w:spacing w:after="0"/>
              <w:rPr>
                <w:sz w:val="20"/>
                <w:szCs w:val="20"/>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-2277110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-2259965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-881380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-864235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-881380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-864235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-881380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-864235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8"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1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1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1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shd w:val="clear" w:color="auto" w:fill="CFF0FC"/>
          </w:tcPr>
          <w:p>
            <w:pPr>
              <w:spacing w:after="0"/>
              <w:rPr>
                <w:sz w:val="20"/>
                <w:szCs w:val="20"/>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1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164,848 restricted stock units (“RSUs”) to selected officers and other key employees under the employee stock award plan, the majority of which vest ratably over five years. During April 2024, the Company granted 14,624 shares of restricted stock to nonemployee directors of the Company under the director stock plan which vest six months after the date of grant.</w:t>
      </w:r>
    </w:p>
    <w:p>
      <w:pPr>
        <w:spacing w:after="0" w:line="1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0" w:right="279" w:bottom="1440" w:gutter="0" w:footer="0" w:header="0"/>
        </w:sectPr>
      </w:pPr>
    </w:p>
    <w:bookmarkStart w:id="11" w:name="page12"/>
    <w:bookmarkEnd w:id="11"/>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111,091</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76,162</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202,745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130,025</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(324 )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21"/>
                <w:szCs w:val="21"/>
                <w:color w:val="auto"/>
              </w:rPr>
            </w:pPr>
          </w:p>
        </w:tc>
      </w:tr>
      <w:tr>
        <w:trPr>
          <w:trHeight w:val="236"/>
        </w:trPr>
        <w:tc>
          <w:tcPr>
            <w:tcW w:w="49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110,767</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76,278</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202,408</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130,950</w:t>
            </w:r>
          </w:p>
        </w:tc>
        <w:tc>
          <w:tcPr>
            <w:tcW w:w="10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current</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18,960</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48,511</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-1609090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-1609090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-1609090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83,854</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57,367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98,065</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40"/>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8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83,841</w:t>
            </w:r>
          </w:p>
        </w:tc>
        <w:tc>
          <w:tcPr>
            <w:tcW w:w="28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57,345</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153,909</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98,044</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8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36"/>
        </w:trPr>
        <w:tc>
          <w:tcPr>
            <w:tcW w:w="4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83,841</w:t>
            </w:r>
          </w:p>
        </w:tc>
        <w:tc>
          <w:tcPr>
            <w:tcW w:w="28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57,345</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153,909</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98,044</w:t>
            </w:r>
          </w:p>
        </w:tc>
        <w:tc>
          <w:tcPr>
            <w:tcW w:w="10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9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58,190</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59,829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59,905</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8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40"/>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8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58,181</w:t>
            </w:r>
          </w:p>
        </w:tc>
        <w:tc>
          <w:tcPr>
            <w:tcW w:w="28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59,806</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58,324</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59,892</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8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58,592</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60,085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4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20"/>
                <w:szCs w:val="20"/>
                <w:color w:val="auto"/>
              </w:rPr>
            </w:pPr>
          </w:p>
        </w:tc>
        <w:tc>
          <w:tcPr>
            <w:tcW w:w="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-2114550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-2114550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-2114550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-829945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-812800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-829945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-812800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-829945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-812800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Certain outstanding options to purchase approximately 279,000 shares of common stock were excluded in the computation of diluted earnings per share as of June 30, 2023, as such stock options would have been antidilutive. There were no antidilutive stock options as of June 30, 2024. There were no antidilutive RSUs as of June 30, 2024 and 2023.</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373,438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351,050</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103,339</w:t>
            </w:r>
          </w:p>
        </w:tc>
        <w:tc>
          <w:tcPr>
            <w:tcW w:w="100" w:type="dxa"/>
            <w:vAlign w:val="bottom"/>
          </w:tcPr>
          <w:p>
            <w:pPr>
              <w:spacing w:after="0"/>
              <w:rPr>
                <w:sz w:val="20"/>
                <w:szCs w:val="20"/>
                <w:color w:val="auto"/>
              </w:rPr>
            </w:pPr>
          </w:p>
        </w:tc>
      </w:tr>
      <w:tr>
        <w:trPr>
          <w:trHeight w:val="276"/>
        </w:trPr>
        <w:tc>
          <w:tcPr>
            <w:tcW w:w="420" w:type="dxa"/>
            <w:vAlign w:val="bottom"/>
            <w:shd w:val="clear" w:color="auto" w:fill="CFF0FC"/>
          </w:tcPr>
          <w:p>
            <w:pPr>
              <w:spacing w:after="0"/>
              <w:rPr>
                <w:sz w:val="24"/>
                <w:szCs w:val="24"/>
                <w:color w:val="auto"/>
              </w:rPr>
            </w:pPr>
          </w:p>
        </w:tc>
        <w:tc>
          <w:tcPr>
            <w:tcW w:w="77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445,304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454,389</w:t>
            </w:r>
          </w:p>
        </w:tc>
        <w:tc>
          <w:tcPr>
            <w:tcW w:w="100" w:type="dxa"/>
            <w:vAlign w:val="bottom"/>
            <w:shd w:val="clear" w:color="auto" w:fill="CFF0FC"/>
          </w:tcPr>
          <w:p>
            <w:pPr>
              <w:spacing w:after="0"/>
              <w:rPr>
                <w:sz w:val="24"/>
                <w:szCs w:val="24"/>
                <w:color w:val="auto"/>
              </w:rPr>
            </w:pPr>
          </w:p>
        </w:tc>
      </w:tr>
      <w:tr>
        <w:trPr>
          <w:trHeight w:val="416"/>
        </w:trPr>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77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-299085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-281940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22"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2024.</w:t>
      </w:r>
    </w:p>
    <w:p>
      <w:pPr>
        <w:spacing w:after="0" w:line="15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$0.6 million to the Higman pension plan during the six months ended June 30, 2024. The Company expects to make additional contributions of $1.1 million during the remainder of 2024.</w:t>
      </w:r>
    </w:p>
    <w:p>
      <w:pPr>
        <w:spacing w:after="0" w:line="141"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20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394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47160" cy="825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p>
      <w:pPr>
        <w:spacing w:after="0" w:line="28"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19094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8"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19094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8" w:lineRule="exact"/>
        <w:rPr>
          <w:sz w:val="20"/>
          <w:szCs w:val="20"/>
          <w:color w:val="auto"/>
        </w:rPr>
      </w:pPr>
    </w:p>
    <w:p>
      <w:pPr>
        <w:ind w:left="546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16510</wp:posOffset>
            </wp:positionV>
            <wp:extent cx="185801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16510</wp:posOffset>
            </wp:positionV>
            <wp:extent cx="18580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8020" w:space="720"/>
            <w:col w:w="2500"/>
          </w:cols>
          <w:pgMar w:left="320" w:top="980"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3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(6,224 )</w:t>
            </w:r>
          </w:p>
        </w:tc>
        <w:tc>
          <w:tcPr>
            <w:tcW w:w="5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(5,732 )</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(692 )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1"/>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-1035685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-1035685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-1035685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SERP</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19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(12,442 )</w:t>
            </w:r>
          </w:p>
        </w:tc>
        <w:tc>
          <w:tcPr>
            <w:tcW w:w="4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(11,455 )</w:t>
            </w:r>
          </w:p>
        </w:tc>
        <w:tc>
          <w:tcPr>
            <w:tcW w:w="4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(1,165 )</w:t>
            </w:r>
          </w:p>
        </w:tc>
        <w:tc>
          <w:tcPr>
            <w:tcW w:w="4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FF0FC"/>
          </w:tcPr>
          <w:p>
            <w:pPr>
              <w:spacing w:after="0"/>
              <w:rPr>
                <w:sz w:val="21"/>
                <w:szCs w:val="2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(3,320 )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(70 )</w:t>
            </w: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(86 )</w:t>
            </w:r>
          </w:p>
        </w:tc>
        <w:tc>
          <w:tcPr>
            <w:tcW w:w="9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0"/>
        </w:trPr>
        <w:tc>
          <w:tcPr>
            <w:tcW w:w="4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(65 )</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(81 )</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r>
      <w:tr>
        <w:trPr>
          <w:trHeight w:val="20"/>
        </w:trPr>
        <w:tc>
          <w:tcPr>
            <w:tcW w:w="4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changes in other comprehensive income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(Provision)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gains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(518 )</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(446 )</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(473 )</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(Provision)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gains</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(518 )</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(446 )</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(473 )</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-1515110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-1497965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-1515110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-1497965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-1515110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-1497965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-1515110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-1497965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-1515110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-1497965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-24765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1000" w:hanging="423"/>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are amortized into other income (expense). (See Note 11, Retirement Plans)</w:t>
      </w:r>
    </w:p>
    <w:p>
      <w:pPr>
        <w:spacing w:after="0" w:line="19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8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55"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4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$31.5 million at June 30, 2024, including $11.6 million in letters of credit and $19.9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5" w:name="page16"/>
    <w:bookmarkEnd w:id="1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8" w:lineRule="exact"/>
        <w:rPr>
          <w:sz w:val="20"/>
          <w:szCs w:val="20"/>
          <w:color w:val="auto"/>
        </w:rPr>
      </w:pPr>
    </w:p>
    <w:p>
      <w:pPr>
        <w:jc w:val="both"/>
        <w:ind w:firstLine="562"/>
        <w:spacing w:after="0" w:line="217"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backup power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and specialized electrical distribution and control equipment.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777,248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1,527,692</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98,065</w:t>
            </w:r>
          </w:p>
        </w:tc>
        <w:tc>
          <w:tcPr>
            <w:tcW w:w="100" w:type="dxa"/>
            <w:vAlign w:val="bottom"/>
          </w:tcPr>
          <w:p>
            <w:pPr>
              <w:spacing w:after="0"/>
              <w:rPr>
                <w:sz w:val="20"/>
                <w:szCs w:val="20"/>
                <w:color w:val="auto"/>
              </w:rPr>
            </w:pPr>
          </w:p>
        </w:tc>
      </w:tr>
      <w:tr>
        <w:trPr>
          <w:trHeight w:val="215"/>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227,949</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169,607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171,245</w:t>
            </w:r>
          </w:p>
        </w:tc>
        <w:tc>
          <w:tcPr>
            <w:tcW w:w="100" w:type="dxa"/>
            <w:vAlign w:val="bottom"/>
            <w:shd w:val="clear" w:color="auto" w:fill="CFF0FC"/>
          </w:tcPr>
          <w:p>
            <w:pPr>
              <w:spacing w:after="0"/>
              <w:rPr>
                <w:sz w:val="21"/>
                <w:szCs w:val="21"/>
                <w:color w:val="auto"/>
              </w:rPr>
            </w:pPr>
          </w:p>
        </w:tc>
      </w:tr>
    </w:tbl>
    <w:p>
      <w:pPr>
        <w:spacing w:after="0" w:line="170"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The 2023 first quarter included $3.0 million before taxes, $2.4 million after taxes, or $0.04 per share of costs related to strategic review and shareholder engagement and $2.7 million before taxes, $2.2 million after taxes, or $0.04 per share of other income associated with the interest on the refund from the IRS.</w:t>
      </w:r>
    </w:p>
    <w:p>
      <w:pPr>
        <w:spacing w:after="0" w:line="137"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Cash provided by operating activities for the 2024 first six months increased in comparison to the 2023 first six months primarily due to higher business activity levels. For the 2024 first six months, capital expenditures of $169.6 million included $123.1 million in KMT and $46.5 million in KDS and corporate, each more fully described under Cash Flow and Capital Expenditures below.</w:t>
      </w:r>
    </w:p>
    <w:p>
      <w:pPr>
        <w:spacing w:after="0" w:line="137"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projects that capital expenditures for 2024 will be in the $300 million to $330 million range. Approximately $200 million to $240 million is associated with marine maintenance capital and improvements to existing inland and coastal marine equipment, and facility improvements. Approximately $90 million is associated with growth capital spending in both segments.</w:t>
      </w:r>
    </w:p>
    <w:p>
      <w:pPr>
        <w:spacing w:after="0" w:line="150"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Company’s debt-to-capitalization ratio was 24.3% at June 30, 2024 compared to 24.2% at December 31, 2023. Total equity increased as of June 30, 2024 as compared to December 31, 2023 primarily from net earnings attributable to Kirby of $153.9 million, partially offset by treasury stock purchases of $85.5 million. The Company’s debt outstanding as of June 30, 2024 and December 31, 2023 is detailed in Long-Term Financing below.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For both the 2024 second quarter and first six months, KMT generated 59% of the Company’s revenues compared to 55% for both the 2023 second quarter and first six months.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3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19"/>
                <w:szCs w:val="19"/>
                <w:color w:val="auto"/>
              </w:rPr>
            </w:pPr>
          </w:p>
        </w:tc>
      </w:tr>
      <w:tr>
        <w:trPr>
          <w:trHeight w:val="243"/>
        </w:trPr>
        <w:tc>
          <w:tcPr>
            <w:tcW w:w="8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r>
      <w:tr>
        <w:trPr>
          <w:trHeight w:val="247"/>
        </w:trPr>
        <w:tc>
          <w:tcPr>
            <w:tcW w:w="8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4"/>
                <w:szCs w:val="24"/>
                <w:color w:val="auto"/>
              </w:rPr>
            </w:pPr>
          </w:p>
        </w:tc>
      </w:tr>
      <w:tr>
        <w:trPr>
          <w:trHeight w:val="227"/>
        </w:trPr>
        <w:tc>
          <w:tcPr>
            <w:tcW w:w="816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-3367405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-3367405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-2408555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-1440815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-1423670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-481965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-464820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-481965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ind w:firstLine="569"/>
        <w:spacing w:after="0" w:line="288" w:lineRule="auto"/>
        <w:rPr>
          <w:sz w:val="20"/>
          <w:szCs w:val="20"/>
          <w:color w:val="auto"/>
        </w:rPr>
      </w:pPr>
      <w:r>
        <w:rPr>
          <w:rFonts w:ascii="Times New Roman" w:cs="Times New Roman" w:eastAsia="Times New Roman" w:hAnsi="Times New Roman"/>
          <w:sz w:val="17"/>
          <w:szCs w:val="17"/>
          <w:color w:val="auto"/>
        </w:rPr>
        <w:t>The Company also owns shifting operations and fleeting facilities for dry cargo barges and tank barges in the Houston Ship Channel and in Freeport and Port Arthur, Texas, and Lake Charles, Louisiana and a shipyard for building towboats and performing routine maintenance near the Houston Ship Channel. Furthermore, the Company owns a two-thirds interest in Osprey Line, L.L.C., which transports project cargoes and cargo containers by barge.</w:t>
      </w:r>
    </w:p>
    <w:p>
      <w:pPr>
        <w:spacing w:after="0" w:line="132"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During the 2024 first six months, the Company brought back into service three inland tank barges, purchased 13 inland tank barges, purchased a newly constructed inland specialty tank barge, chartered one inland tank barge, and retired one inland tank barge, increasing its capacity by approximately 0.4 million barrels.</w:t>
      </w:r>
    </w:p>
    <w:p>
      <w:pPr>
        <w:spacing w:after="0" w:line="13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KMT revenues for both the 2024 second quarter and first six months increased 14% and operating income increased 48% and 66%, respectively, compared to the 2023 second quarter and first six months. The increase in revenues was primarily due to higher term and spot pricing in the inland and coastal markets. The 2024 second quarter was modestly impacted by heavy rains, which briefly closed the Houston Ship Channel, and the closure of two major locks on the lower Mississippi River for repairs. The 2024 and 2023 first quarters were impacted by poor operating conditions including seasonal wind and fog along the Gulf Coast and various lock closures. For both the 2024 second quarter and first six months, the inland tank barge fleet contributed 81% and the coastal fleet contributed 19% of KMT revenues. For both the 2023 second quarter and first six months, the inland tank barge fleet contributed 82% and the coastal fleet contributed 18% of KMT revenues.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7" w:name="page18"/>
    <w:bookmarkEnd w:id="17"/>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both the 2024 first and second quarters and the 2023 first quarter, and the low 90% range during the 2023 second quarter. The 2024 second quarter was modestly impacted by heavy rains, which briefly closed the Houston Ship Channel, and the closure of two major locks on the lower Mississippi River for repairs. The 2024 and 2023 first quarters were impacted by high winds and heavy fog along the Gulf Coast and lock delays.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Coastal tank barge utilization levels averaged in the mid to high 90% range during both the 2024 and 2023 first and second quarters.</w:t>
      </w:r>
    </w:p>
    <w:p>
      <w:pPr>
        <w:spacing w:after="0" w:line="184"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both the 2024 second quarter and first six months, approximately 65% of KMT inland revenues were under term contracts and 35% were spot contract revenues. During both the 2023 second quarter and first six months, approximately 55% of KMT inland revenues were under term contracts and 45% were spot contract revenues. Inland time charters during the 2024 second quarter and first six months represented approximately 59% and 60%, respectively, of inland revenues under term contracts compared with 62% and 61% in the 2023 second quarter and first six months, respectively. During the 2024 second quarter and first six months, approximately 100% and 98%, respectively, of KMT coastal revenues were under term contracts and none and 2%, respectively, were under spot contracts. During the 2023 second quarter and first six months, approximately 85% and 80%, respectively, of KMT coastal revenues were under term contracts and 15% and 20%, respectively, were under spot contracts. Coastal time charters represented approximately 97% of coastal revenues under term contracts during both the 2024 second quarter and first six months compared to 90% during both the 2023 second quarter and first six months. Term contracts have contract terms of 12 months or longer, while spot contracts have contract terms of less than 12 months.</w:t>
      </w:r>
    </w:p>
    <w:p>
      <w:pPr>
        <w:spacing w:after="0" w:line="145"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2024 compared to contracts renewed during the corresponding quarter of 2023:</w:t>
      </w:r>
    </w:p>
    <w:p>
      <w:pPr>
        <w:spacing w:after="0" w:line="1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72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8"/>
        </w:trPr>
        <w:tc>
          <w:tcPr>
            <w:tcW w:w="7640" w:type="dxa"/>
            <w:vAlign w:val="bottom"/>
          </w:tcPr>
          <w:p>
            <w:pPr>
              <w:jc w:val="center"/>
              <w:ind w:right="6130"/>
              <w:spacing w:after="0"/>
              <w:rPr>
                <w:sz w:val="20"/>
                <w:szCs w:val="20"/>
                <w:color w:val="auto"/>
              </w:rPr>
            </w:pPr>
            <w:r>
              <w:rPr>
                <w:rFonts w:ascii="Times New Roman" w:cs="Times New Roman" w:eastAsia="Times New Roman" w:hAnsi="Times New Roman"/>
                <w:sz w:val="18"/>
                <w:szCs w:val="18"/>
                <w:color w:val="auto"/>
                <w:w w:val="99"/>
              </w:rPr>
              <w:t>Term increase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12%</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r>
      <w:tr>
        <w:trPr>
          <w:trHeight w:val="247"/>
        </w:trPr>
        <w:tc>
          <w:tcPr>
            <w:tcW w:w="7640" w:type="dxa"/>
            <w:vAlign w:val="bottom"/>
            <w:shd w:val="clear" w:color="auto" w:fill="CFF0FC"/>
          </w:tcPr>
          <w:p>
            <w:pPr>
              <w:jc w:val="center"/>
              <w:ind w:right="6190"/>
              <w:spacing w:after="0"/>
              <w:rPr>
                <w:sz w:val="20"/>
                <w:szCs w:val="20"/>
                <w:color w:val="auto"/>
              </w:rPr>
            </w:pPr>
            <w:r>
              <w:rPr>
                <w:rFonts w:ascii="Times New Roman" w:cs="Times New Roman" w:eastAsia="Times New Roman" w:hAnsi="Times New Roman"/>
                <w:sz w:val="18"/>
                <w:szCs w:val="18"/>
                <w:color w:val="auto"/>
                <w:w w:val="99"/>
              </w:rPr>
              <w:t>Spot increase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 17%</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r>
      <w:tr>
        <w:trPr>
          <w:trHeight w:val="238"/>
        </w:trPr>
        <w:tc>
          <w:tcPr>
            <w:tcW w:w="7640" w:type="dxa"/>
            <w:vAlign w:val="bottom"/>
          </w:tcPr>
          <w:p>
            <w:pPr>
              <w:jc w:val="center"/>
              <w:ind w:right="613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7"/>
        </w:trPr>
        <w:tc>
          <w:tcPr>
            <w:tcW w:w="7640" w:type="dxa"/>
            <w:vAlign w:val="bottom"/>
            <w:shd w:val="clear" w:color="auto" w:fill="CFF0FC"/>
          </w:tcPr>
          <w:p>
            <w:pPr>
              <w:jc w:val="center"/>
              <w:ind w:right="6130"/>
              <w:spacing w:after="0"/>
              <w:rPr>
                <w:sz w:val="20"/>
                <w:szCs w:val="20"/>
                <w:color w:val="auto"/>
              </w:rPr>
            </w:pPr>
            <w:r>
              <w:rPr>
                <w:rFonts w:ascii="Times New Roman" w:cs="Times New Roman" w:eastAsia="Times New Roman" w:hAnsi="Times New Roman"/>
                <w:sz w:val="18"/>
                <w:szCs w:val="18"/>
                <w:color w:val="auto"/>
                <w:w w:val="99"/>
              </w:rPr>
              <w:t>Term increase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 21%</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 20%</w:t>
            </w:r>
          </w:p>
        </w:tc>
      </w:tr>
      <w:tr>
        <w:trPr>
          <w:trHeight w:val="234"/>
        </w:trPr>
        <w:tc>
          <w:tcPr>
            <w:tcW w:w="7640" w:type="dxa"/>
            <w:vAlign w:val="bottom"/>
          </w:tcPr>
          <w:p>
            <w:pPr>
              <w:jc w:val="center"/>
              <w:ind w:right="6190"/>
              <w:spacing w:after="0"/>
              <w:rPr>
                <w:sz w:val="20"/>
                <w:szCs w:val="20"/>
                <w:color w:val="auto"/>
              </w:rPr>
            </w:pPr>
            <w:r>
              <w:rPr>
                <w:rFonts w:ascii="Times New Roman" w:cs="Times New Roman" w:eastAsia="Times New Roman" w:hAnsi="Times New Roman"/>
                <w:sz w:val="18"/>
                <w:szCs w:val="18"/>
                <w:color w:val="auto"/>
                <w:w w:val="99"/>
              </w:rPr>
              <w:t>Spot increase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32%</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 26%</w:t>
            </w:r>
          </w:p>
        </w:tc>
      </w:tr>
    </w:tbl>
    <w:p>
      <w:pPr>
        <w:spacing w:after="0" w:line="179" w:lineRule="exact"/>
        <w:rPr>
          <w:sz w:val="20"/>
          <w:szCs w:val="20"/>
          <w:color w:val="auto"/>
        </w:rPr>
      </w:pPr>
    </w:p>
    <w:p>
      <w:pPr>
        <w:ind w:left="940" w:hanging="371"/>
        <w:spacing w:after="0" w:line="281"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2"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Effective January 1, 2024, annual escalators for labor and the producer price index on a number of inland multi-year contracts resulted in rate increases on those contracts of approximately 9.5%, excluding fuel.</w:t>
      </w:r>
    </w:p>
    <w:p>
      <w:pPr>
        <w:spacing w:after="0" w:line="122"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KMT operating margin was 19.6% and 18.5% for the 2024 second quarter and first six months, respectively, compared to 15.0% and 12.8% for the 2023 second quarter and first six months,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8"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backup power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and specialized electric distribution and control equipment.</w:t>
      </w:r>
    </w:p>
    <w:p>
      <w:pPr>
        <w:spacing w:after="0" w:line="145"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For both the 2024 second quarter and first six months, KDS generated 41% of the Company’s revenues, of which 83% and 78%, respectively, were generated from service and parts and 17% and 22%, respectively, from manufacturing. The results of KDS are largely influenced by the economic cycles of the oil and gas, marine, power generation, on-highway, and other related industrial markets.</w:t>
      </w:r>
    </w:p>
    <w:p>
      <w:pPr>
        <w:spacing w:after="0" w:line="150"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KDS revenues for the 2024 second quarter and first six months decreased 3% and 2%, respectively, and operating income decreased 1% and 2%, respectively, compared with the 2023 second quarter and first six months. In the commercial and industrial market, revenues increased compared to the 2023 second quarter and first six months, as higher business levels in marine repair were partially offset by lower on-highway activity. Operating income in the commercial and industrial market was up compared to the 2023 second quarter and first six months mainly due to sales mix. For the 2024 second quarter and first six months, the commercial and industrial market contributed 49% and 46%, respectively, of KDS revenues.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8" w:name="page19"/>
    <w:bookmarkEnd w:id="18"/>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In the power generation market, revenues and operating income increased compared to the 2023 second quarter and first six months with several large project awards from data center customers as well as other backup power industrial customers. For the 2024 second quarter and first six months, the power generation market contributed 32% and 36%, respectively, of KDS revenues.</w:t>
      </w:r>
    </w:p>
    <w:p>
      <w:pPr>
        <w:spacing w:after="0" w:line="150"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In the oil and gas market, revenues and operating income declined compared to the 2023 second quarter and first six months due to lower levels of conventional oilfield activity which resulted in decreased demand for new transmissions and parts, partially offset by deliveries of electric fracturing equipment. For the 2024 second quarter and first six months, the oil and gas market contributed 19% and 18%, respectively, of KDS revenues.</w:t>
      </w:r>
    </w:p>
    <w:p>
      <w:pPr>
        <w:spacing w:after="0" w:line="137"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KDS operating margin was 8.7% and 7.7% for the 2024 second quarter and first six months, respectively, compared to 8.5% and 7.6% for the 2023 second quarter and first six months,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2024. In KMT, barge utilization and customer demand remain strong, and rates continue to increase. In KDS, demand for products and services remains steady, and the Company continues to receive new orders in manufacturing. The Company remains mindful of the ever-changing economic landscape related to the impact of continued high interest rates, and possible recessionary headwinds as it moves through 2024.</w:t>
      </w:r>
    </w:p>
    <w:p>
      <w:pPr>
        <w:spacing w:after="0" w:line="182"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In the inland marine transportation market, the Company anticipates continued positive market dynamics for the remainder of 2024 with steady customer demand and limited new barge construction in the industry. In addition, many industry units are scheduled for maintenance in 2024 and 2025. The Company expects inland barge utilization rates to remain in the low to mid-90% range throughout the remainder of the year. In coastal marine, strong customer demand is expected throughout the year with barge utilization in the low to mid-90% range.</w:t>
      </w:r>
    </w:p>
    <w:p>
      <w:pPr>
        <w:spacing w:after="0" w:line="182"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KDS results are largely influenced by power generation needs, as well as the cycles of the oil and gas, marine, on-highway and other related industrial markets. Despite economic uncertainty, the Company expects to yield incremental demand for OEM products, parts, and services in the segment. In commercial and industrial, the demand outlook in marine repair is strong while on-highway is somewhat weak with the exception of Thermo King refrigeration products and services. In power generation, the Company anticipates continued strong growth as data center demand and the need for backup power is strong. In oil and gas, activity levels are lower but seem to be bottoming with improved revenues and operating income in the 2024 second quarter as compared to the 2024 first quarter. The Company anticipates extended lead times for certain OEM products to continue contributing to a volatile delivery schedule of new products in 2024 and into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8"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approximately $65.2 million in cash. The 13 tank barges, including three specialty barges, transport petrochemicals and refined products on the Mississippi River System and Gulf Intracoastal Waterway. The average age of the 13 barges was 15 years. Financing of the equipment acquisition was through borrowings under the Company’s revolving credit facility.</w:t>
      </w:r>
    </w:p>
    <w:p>
      <w:pPr>
        <w:spacing w:after="0" w:line="141"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 Financing of the equipment acquisition was through borrowings under the Company’s revolving credit facility.</w:t>
      </w:r>
    </w:p>
    <w:p>
      <w:pPr>
        <w:spacing w:after="0" w:line="150"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 Financing of the equipment acquisition was through borrowings under the Company’s revolving credit facility.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Marine transportation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426,962</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839,457</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240" w:type="dxa"/>
            <w:vAlign w:val="bottom"/>
            <w:vMerge w:val="restart"/>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240" w:type="dxa"/>
            <w:vAlign w:val="bottom"/>
            <w:vMerge w:val="restart"/>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20" w:type="dxa"/>
            <w:vAlign w:val="bottom"/>
            <w:vMerge w:val="restart"/>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688,235</w:t>
            </w:r>
          </w:p>
        </w:tc>
        <w:tc>
          <w:tcPr>
            <w:tcW w:w="220" w:type="dxa"/>
            <w:vAlign w:val="bottom"/>
            <w:vMerge w:val="restart"/>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777,248</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1,632,412</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1,527,692</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484,808</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960,220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839,457</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601,237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557,641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68,592</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96,896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90,668</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389,932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362,711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782,361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732,170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94,876</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48 % </w:t>
            </w:r>
            <w:r>
              <w:rPr>
                <w:rFonts w:ascii="Times New Roman" w:cs="Times New Roman" w:eastAsia="Times New Roman" w:hAnsi="Times New Roman"/>
                <w:sz w:val="27"/>
                <w:szCs w:val="27"/>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177,859</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107,287</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19.6 %</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18.5 %</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12.8 %</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-530225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-530225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-530225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-530225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202"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8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Second Quarter</w:t>
            </w:r>
          </w:p>
        </w:tc>
        <w:tc>
          <w:tcPr>
            <w:tcW w:w="1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Six Months</w:t>
            </w:r>
          </w:p>
        </w:tc>
        <w:tc>
          <w:tcPr>
            <w:tcW w:w="1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40" w:type="dxa"/>
            <w:vAlign w:val="bottom"/>
          </w:tcPr>
          <w:p>
            <w:pPr>
              <w:spacing w:after="0"/>
              <w:rPr>
                <w:sz w:val="12"/>
                <w:szCs w:val="12"/>
                <w:color w:val="auto"/>
              </w:rPr>
            </w:pPr>
          </w:p>
        </w:tc>
        <w:tc>
          <w:tcPr>
            <w:tcW w:w="22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87"/>
        </w:trPr>
        <w:tc>
          <w:tcPr>
            <w:tcW w:w="1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Petrochemicals</w:t>
            </w:r>
          </w:p>
        </w:tc>
        <w:tc>
          <w:tcPr>
            <w:tcW w:w="1560" w:type="dxa"/>
            <w:vAlign w:val="bottom"/>
            <w:gridSpan w:val="2"/>
            <w:shd w:val="clear" w:color="auto" w:fill="CFF0FC"/>
          </w:tcPr>
          <w:p>
            <w:pPr>
              <w:jc w:val="center"/>
              <w:ind w:left="70"/>
              <w:spacing w:after="0" w:line="204" w:lineRule="exact"/>
              <w:rPr>
                <w:sz w:val="20"/>
                <w:szCs w:val="20"/>
                <w:color w:val="auto"/>
              </w:rPr>
            </w:pPr>
            <w:r>
              <w:rPr>
                <w:rFonts w:ascii="Times New Roman" w:cs="Times New Roman" w:eastAsia="Times New Roman" w:hAnsi="Times New Roman"/>
                <w:sz w:val="18"/>
                <w:szCs w:val="18"/>
                <w:color w:val="auto"/>
                <w:w w:val="96"/>
              </w:rPr>
              <w:t>52%</w:t>
            </w:r>
          </w:p>
        </w:tc>
        <w:tc>
          <w:tcPr>
            <w:tcW w:w="1540" w:type="dxa"/>
            <w:vAlign w:val="bottom"/>
            <w:gridSpan w:val="2"/>
            <w:shd w:val="clear" w:color="auto" w:fill="CFF0FC"/>
          </w:tcPr>
          <w:p>
            <w:pPr>
              <w:jc w:val="center"/>
              <w:ind w:left="50"/>
              <w:spacing w:after="0" w:line="204" w:lineRule="exact"/>
              <w:rPr>
                <w:sz w:val="20"/>
                <w:szCs w:val="20"/>
                <w:color w:val="auto"/>
              </w:rPr>
            </w:pPr>
            <w:r>
              <w:rPr>
                <w:rFonts w:ascii="Times New Roman" w:cs="Times New Roman" w:eastAsia="Times New Roman" w:hAnsi="Times New Roman"/>
                <w:sz w:val="18"/>
                <w:szCs w:val="18"/>
                <w:color w:val="auto"/>
                <w:w w:val="96"/>
              </w:rPr>
              <w:t>51%</w:t>
            </w:r>
          </w:p>
        </w:tc>
        <w:tc>
          <w:tcPr>
            <w:tcW w:w="160" w:type="dxa"/>
            <w:vAlign w:val="bottom"/>
            <w:shd w:val="clear" w:color="auto" w:fill="CFF0FC"/>
          </w:tcPr>
          <w:p>
            <w:pPr>
              <w:spacing w:after="0"/>
              <w:rPr>
                <w:sz w:val="17"/>
                <w:szCs w:val="17"/>
                <w:color w:val="auto"/>
              </w:rPr>
            </w:pPr>
          </w:p>
        </w:tc>
        <w:tc>
          <w:tcPr>
            <w:tcW w:w="360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14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Consumer non-durables –</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1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70%, Consumer durables –</w:t>
            </w:r>
          </w:p>
        </w:tc>
        <w:tc>
          <w:tcPr>
            <w:tcW w:w="0" w:type="dxa"/>
            <w:vAlign w:val="bottom"/>
          </w:tcPr>
          <w:p>
            <w:pPr>
              <w:spacing w:after="0"/>
              <w:rPr>
                <w:sz w:val="1"/>
                <w:szCs w:val="1"/>
                <w:color w:val="auto"/>
              </w:rPr>
            </w:pPr>
          </w:p>
        </w:tc>
      </w:tr>
      <w:tr>
        <w:trPr>
          <w:trHeight w:val="248"/>
        </w:trPr>
        <w:tc>
          <w:tcPr>
            <w:tcW w:w="1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Propylene</w:t>
            </w:r>
          </w:p>
        </w:tc>
        <w:tc>
          <w:tcPr>
            <w:tcW w:w="2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Black Oil</w:t>
            </w:r>
          </w:p>
        </w:tc>
        <w:tc>
          <w:tcPr>
            <w:tcW w:w="1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25%</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26%</w:t>
            </w: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Residual Fuel Oil, Coker Feedstock, Vacuum</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Fuel for Power Plants and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Gas Oil, Asphalt, Carbon Black Feedstock,</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Ships, Feedstock for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Crude Oil, Natural Gas Condensate, Ship</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Refineries, Road Construction</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Bunkers</w:t>
            </w: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Refined Petroleum</w:t>
            </w:r>
          </w:p>
        </w:tc>
        <w:tc>
          <w:tcPr>
            <w:tcW w:w="15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20%</w:t>
            </w:r>
          </w:p>
        </w:tc>
        <w:tc>
          <w:tcPr>
            <w:tcW w:w="15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6"/>
              </w:rPr>
              <w:t>20%</w:t>
            </w: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1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 Usage, Air Travel,</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Ethanol</w:t>
            </w:r>
          </w:p>
        </w:tc>
        <w:tc>
          <w:tcPr>
            <w:tcW w:w="1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Weather Conditions, Refinery</w:t>
            </w:r>
          </w:p>
        </w:tc>
        <w:tc>
          <w:tcPr>
            <w:tcW w:w="0" w:type="dxa"/>
            <w:vAlign w:val="bottom"/>
          </w:tcPr>
          <w:p>
            <w:pPr>
              <w:spacing w:after="0"/>
              <w:rPr>
                <w:sz w:val="1"/>
                <w:szCs w:val="1"/>
                <w:color w:val="auto"/>
              </w:rPr>
            </w:pPr>
          </w:p>
        </w:tc>
      </w:tr>
      <w:tr>
        <w:trPr>
          <w:trHeight w:val="248"/>
        </w:trPr>
        <w:tc>
          <w:tcPr>
            <w:tcW w:w="1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Chemicals</w:t>
            </w:r>
          </w:p>
        </w:tc>
        <w:tc>
          <w:tcPr>
            <w:tcW w:w="1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Anhydrous Ammonia, Nitrogen – Based Liquid</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Corn, Cotton and Wheat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1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Production, Chemical</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Feedstock Usage</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60" w:firstLine="569"/>
        <w:spacing w:after="0" w:line="256" w:lineRule="auto"/>
        <w:rPr>
          <w:sz w:val="20"/>
          <w:szCs w:val="20"/>
          <w:color w:val="auto"/>
        </w:rPr>
      </w:pPr>
      <w:r>
        <w:rPr>
          <w:rFonts w:ascii="Times New Roman" w:cs="Times New Roman" w:eastAsia="Times New Roman" w:hAnsi="Times New Roman"/>
          <w:sz w:val="18"/>
          <w:szCs w:val="18"/>
          <w:color w:val="auto"/>
        </w:rPr>
        <w:t>KMT revenues for both the 2024 second quarter and first six months increased 14% and operating income increased 48% and 66%, respectively, compared to the 2023 second quarter and first six months. The increase in revenues for the 2024 second quarter and first six months was primarily due to higher term and spot pricing in the inland and coastal markets. The 2024 second quarter was modestly impacted by heavy rains, which briefly closed the Houston Ship Channel, and the closure of two major locks on the lower Mississippi River for repairs. The 2024 and 2023 first quarters were impacted by poor operating conditions including seasonal wind and fog along the Gulf Coast and various lock closures. For both the 2024 second quarter and first six months, the inland tank barge fleet</w:t>
      </w:r>
    </w:p>
    <w:p>
      <w:pPr>
        <w:spacing w:after="0" w:line="1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5" w:right="279" w:bottom="1440" w:gutter="0" w:footer="0" w:header="0"/>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18"/>
          <w:szCs w:val="18"/>
          <w:color w:val="auto"/>
        </w:rPr>
        <w:t>contributed 81% and the coastal fleet contributed 19% of KMT revenues. For both the 2023 second quarter and first six months, the inland tank barge fleet contributed 82% and the coastal fleet contributed 18% of KMT revenues.</w:t>
      </w:r>
    </w:p>
    <w:p>
      <w:pPr>
        <w:spacing w:after="0" w:line="136"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both the 2024 first and second quarters and the 2023 first quarter, and the low 90% range during the 2023 second quarter. The 2024 second quarter was modestly impacted by heavy rains, which briefly closed the Houston Ship Channel, and the closure of two major locks on the lower Mississippi River for repairs. The 2024 and 2023 first quarters were impacted by high winds and heavy fog along the Gulf Coast and lock delays.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Coastal tank barge utilization levels averaged in the mid to high 90% range during both the 2024 and 2023 first and second quarters.</w:t>
      </w:r>
    </w:p>
    <w:p>
      <w:pPr>
        <w:spacing w:after="0" w:line="184"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The petrochemical market, which is the Company’s largest market, contributed 52% and 51% of KMT revenues for the 2024 second quarter and first six months, respectively, reflecting increased rates, volumes and utilization from Gulf Coast petrochemical plants as a result of improved economic conditions and a reduced supply of barges across the industry due to a heavier than normal maintenance cycle as compared to the 2023 second quarter and first six months.</w:t>
      </w:r>
    </w:p>
    <w:p>
      <w:pPr>
        <w:spacing w:after="0" w:line="15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25% and 26% of KMT revenues for the 2024 second quarter and first six months, respectively, reflected stable demand as refinery utilization and production levels of refined petroleum products and fuel oils increased. During the 2024 first six months, the Company transported crude oil and natural gas condensate produced from major U.S. shale basins along the Gulf Intracoastal Waterway with inland vessels and in the Gulf of Mexico with coastal equipment. Additionally, the Company transported volumes of Utica natural gas condensate downriver from the Mid-Atlantic to the Gulf Coast.</w:t>
      </w:r>
    </w:p>
    <w:p>
      <w:pPr>
        <w:spacing w:after="0" w:line="141" w:lineRule="exact"/>
        <w:rPr>
          <w:sz w:val="20"/>
          <w:szCs w:val="20"/>
          <w:color w:val="auto"/>
        </w:rPr>
      </w:pPr>
    </w:p>
    <w:p>
      <w:pPr>
        <w:jc w:val="both"/>
        <w:ind w:right="20" w:firstLine="569"/>
        <w:spacing w:after="0" w:line="281" w:lineRule="auto"/>
        <w:rPr>
          <w:sz w:val="20"/>
          <w:szCs w:val="20"/>
          <w:color w:val="auto"/>
        </w:rPr>
      </w:pPr>
      <w:r>
        <w:rPr>
          <w:rFonts w:ascii="Times New Roman" w:cs="Times New Roman" w:eastAsia="Times New Roman" w:hAnsi="Times New Roman"/>
          <w:sz w:val="18"/>
          <w:szCs w:val="18"/>
          <w:color w:val="auto"/>
        </w:rPr>
        <w:t>The refined petroleum products market, which contributed 20% of KMT revenues for both the 2024 second quarter and first six months, reflected stable volumes in the inland market with steady refinery utilization and product levels as compared to the 2023 second quarter and first six months.</w:t>
      </w:r>
    </w:p>
    <w:p>
      <w:pPr>
        <w:spacing w:after="0" w:line="122"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agricultural chemical market, which contributed 3% of KMT revenues for both the 2024 second quarter and first six months, reflected improved demand for transportation of both domestically produced and imported products as compared to the 2023 second quarter and first six months.</w:t>
      </w:r>
    </w:p>
    <w:p>
      <w:pPr>
        <w:spacing w:after="0" w:line="136"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For the 2024 second quarter, inland operations incurred 3,334 delay days, 44% more than the 2,317 delay days that occurred during the 2023 second quarter. For the 2024 first six months, inland operations incurred 6,841 delay days, 6% more than the 6,442 delay days that occurred during the 2023 first six months. Delay days measure the lost time incurred by a tow (towboat and one or more tank barges) during transit when the tow is stopped due to weather, lock conditions, or other navigational factors. Delay days reflected the modest impact of heavy rains, which briefly closed the Houston Ship Channel, and the closure of two major locks on the lower Mississippi River for repairs during the 2024 second quarter and poor operating conditions due to heavy wind and fog along the Gulf Coast and lock delays during the 2024 and 2023 first quarters.</w:t>
      </w:r>
    </w:p>
    <w:p>
      <w:pPr>
        <w:spacing w:after="0" w:line="145"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both the 2024 second quarter and first six months, approximately 65% of KMT inland revenues were under term contracts and 35% were spot contract revenues. During both the 2023 second quarter and first six months, approximately 55% of KMT inland revenues were under term contracts and 45% were spot contract revenues. Inland time charters during the 2024 second quarter and first six months represented approximately 59% and 60%, respectively, of inland revenues under term contracts compared with 62% and 61% in the 2023 second quarter and first six months, respectively. During the 2024 second quarter and first six months, approximately 100% and 98%, respectively, of KMT coastal revenues were under term contracts and none and 2%, respectively, were under spot contracts. During the 2023 second quarter and first six months, approximately 85% and 80%, respectively, of KMT coastal revenues were under term contracts and 15% and 20%, respectively, were under spot contracts. Coastal time charters represented approximately 97% of coastal revenues under term contracts during both the 2024 second quarter and first six months compared to 90% during both the 2023 second quarter and first six months. Term contracts have contract terms of 12 months or longer, while spot contracts have contract terms of less than 12 months.</w:t>
      </w:r>
    </w:p>
    <w:p>
      <w:pPr>
        <w:spacing w:after="0" w:line="145"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2024 compared to contracts renewed during the corresponding quarter of 2023:</w:t>
      </w:r>
    </w:p>
    <w:p>
      <w:pPr>
        <w:spacing w:after="0" w:line="1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4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r>
      <w:tr>
        <w:trPr>
          <w:trHeight w:val="238"/>
        </w:trPr>
        <w:tc>
          <w:tcPr>
            <w:tcW w:w="34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Term increase</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12%</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r>
      <w:tr>
        <w:trPr>
          <w:trHeight w:val="247"/>
        </w:trPr>
        <w:tc>
          <w:tcPr>
            <w:tcW w:w="3460" w:type="dxa"/>
            <w:vAlign w:val="bottom"/>
            <w:shd w:val="clear" w:color="auto" w:fill="CFF0FC"/>
          </w:tcPr>
          <w:p>
            <w:pPr>
              <w:jc w:val="center"/>
              <w:ind w:right="2010"/>
              <w:spacing w:after="0"/>
              <w:rPr>
                <w:sz w:val="20"/>
                <w:szCs w:val="20"/>
                <w:color w:val="auto"/>
              </w:rPr>
            </w:pPr>
            <w:r>
              <w:rPr>
                <w:rFonts w:ascii="Times New Roman" w:cs="Times New Roman" w:eastAsia="Times New Roman" w:hAnsi="Times New Roman"/>
                <w:sz w:val="18"/>
                <w:szCs w:val="18"/>
                <w:color w:val="auto"/>
                <w:w w:val="99"/>
              </w:rPr>
              <w:t>Spot increase</w:t>
            </w:r>
          </w:p>
        </w:tc>
        <w:tc>
          <w:tcPr>
            <w:tcW w:w="5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 17%</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r>
      <w:tr>
        <w:trPr>
          <w:trHeight w:val="238"/>
        </w:trPr>
        <w:tc>
          <w:tcPr>
            <w:tcW w:w="34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4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7"/>
        </w:trPr>
        <w:tc>
          <w:tcPr>
            <w:tcW w:w="3460" w:type="dxa"/>
            <w:vAlign w:val="bottom"/>
            <w:shd w:val="clear" w:color="auto" w:fill="CFF0FC"/>
          </w:tcPr>
          <w:p>
            <w:pPr>
              <w:jc w:val="center"/>
              <w:ind w:right="1950"/>
              <w:spacing w:after="0"/>
              <w:rPr>
                <w:sz w:val="20"/>
                <w:szCs w:val="20"/>
                <w:color w:val="auto"/>
              </w:rPr>
            </w:pPr>
            <w:r>
              <w:rPr>
                <w:rFonts w:ascii="Times New Roman" w:cs="Times New Roman" w:eastAsia="Times New Roman" w:hAnsi="Times New Roman"/>
                <w:sz w:val="18"/>
                <w:szCs w:val="18"/>
                <w:color w:val="auto"/>
                <w:w w:val="99"/>
              </w:rPr>
              <w:t>Term increase</w:t>
            </w:r>
          </w:p>
        </w:tc>
        <w:tc>
          <w:tcPr>
            <w:tcW w:w="5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 21%</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 20%</w:t>
            </w:r>
          </w:p>
        </w:tc>
      </w:tr>
      <w:tr>
        <w:trPr>
          <w:trHeight w:val="234"/>
        </w:trPr>
        <w:tc>
          <w:tcPr>
            <w:tcW w:w="3460" w:type="dxa"/>
            <w:vAlign w:val="bottom"/>
          </w:tcPr>
          <w:p>
            <w:pPr>
              <w:jc w:val="center"/>
              <w:ind w:right="2010"/>
              <w:spacing w:after="0"/>
              <w:rPr>
                <w:sz w:val="20"/>
                <w:szCs w:val="20"/>
                <w:color w:val="auto"/>
              </w:rPr>
            </w:pPr>
            <w:r>
              <w:rPr>
                <w:rFonts w:ascii="Times New Roman" w:cs="Times New Roman" w:eastAsia="Times New Roman" w:hAnsi="Times New Roman"/>
                <w:sz w:val="18"/>
                <w:szCs w:val="18"/>
                <w:color w:val="auto"/>
                <w:w w:val="99"/>
              </w:rPr>
              <w:t>Spot increase</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32%</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 26%</w:t>
            </w:r>
          </w:p>
        </w:tc>
      </w:tr>
      <w:tr>
        <w:trPr>
          <w:trHeight w:val="588"/>
        </w:trPr>
        <w:tc>
          <w:tcPr>
            <w:tcW w:w="3460" w:type="dxa"/>
            <w:vAlign w:val="bottom"/>
          </w:tcPr>
          <w:p>
            <w:pPr>
              <w:spacing w:after="0"/>
              <w:rPr>
                <w:sz w:val="24"/>
                <w:szCs w:val="24"/>
                <w:color w:val="auto"/>
              </w:rPr>
            </w:pPr>
          </w:p>
        </w:tc>
        <w:tc>
          <w:tcPr>
            <w:tcW w:w="418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62"/>
        </w:trPr>
        <w:tc>
          <w:tcPr>
            <w:tcW w:w="34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ind w:left="940" w:hanging="371"/>
        <w:spacing w:after="0" w:line="28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Effective January 1, 2024, annual escalators for labor and the producer price index on a number of inland multi-year contracts resulted in rate increases on those contracts of approximately 9.5%, excluding fuel.</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8"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Costs and expenses for the 2024 second quarter and first six months increased 8% and 7%, respectively, compared to the 2023 second quarter and first six months. Costs of sales and operating expenses for the 2024 second quarter and first six months increased 9% and 8%, respectively, compared with the 2023 second quarter and first six months. The increase during the 2024 second quarter and first six months reflected improved business activity levels and inflationary cost pressures, partially offset by lower fuel costs.</w:t>
      </w:r>
    </w:p>
    <w:p>
      <w:pPr>
        <w:spacing w:after="0" w:line="15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287 towboats during the 2024 second quarter, of which an average of 74 were chartered, compared to 281 during the 2023 second quarter, of which an average of 66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41"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During the 2024 second quarter, inland operations consumed 12.1 million gallons of diesel fuel compared to 12.2 million gallons consumed during the 2023 second quarter. The average price per gallon of diesel fuel consumed during the 2024 second quarter was $2.83 per gallon compared with $2.87 per gallon for the 2023 second quarter. During the 2024 first six months, inland operations consumed 24.0 million gallons of diesel fuel compared to 24.4 million gallons consumed during the 2023 first six months. The average price per gallon of diesel fuel consumed during the 2024 first six months was $2.83 per gallon compared with $3.09 per gallon for the 2023 first six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46"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2024 second quarter and first six months decreased 3% and increased 2%, respectively, compared to the 2023 second quarter and first six months. The decrease in selling, general and administrative expenses for the 2024 second quarter as compared to the 2023 second quarter was primarily due to lower legal costs, which was partially offset by higher business activity levels and inflationary cost pressures. The increase in selling, general and administrative expenses for the 2024 first six months as compared to the 2023 first six months was primarily due to higher business activity levels and inflationary cost pressures, which was partially offset by lower legal costs. Both the 2024 second quarter and first six months were also impacted by salary and wage increases that went into effect July 1, 2023.</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18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KMT operating income for the 2024 second quarter and first six months increased 48% and 66%, respectively, compared with the 2023 second quarter and first six months. The 2024 second quarter operating margin was 19.6% compared with 15.0% for the 2023 second quarter. The 2024 first six months operating margin was 18.5% compared with 12.8% for the 2023 first six months. The increases in operating income and operating margin were primarily due to higher term and spot contract pricing in the inland and coastal markets as a result of improving business activity levels, high utilization and a reduced supply of barges across the industry due to a heavier than normal maintenance cycle.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339,582</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672,192</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688,235</w:t>
            </w: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503,145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528,521</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94,883</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310,146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620,742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635,601</w:t>
            </w:r>
          </w:p>
        </w:tc>
        <w:tc>
          <w:tcPr>
            <w:tcW w:w="2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(1 )% </w:t>
            </w:r>
            <w:r>
              <w:rPr>
                <w:rFonts w:ascii="Times New Roman" w:cs="Times New Roman" w:eastAsia="Times New Roman" w:hAnsi="Times New Roman"/>
                <w:sz w:val="27"/>
                <w:szCs w:val="27"/>
                <w:color w:val="auto"/>
                <w:vertAlign w:val="superscript"/>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8.7 %</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-530225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-530225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-530225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-530225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Second Quarter</w:t>
            </w:r>
          </w:p>
        </w:tc>
        <w:tc>
          <w:tcPr>
            <w:tcW w:w="1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Six Months</w:t>
            </w:r>
          </w:p>
        </w:tc>
        <w:tc>
          <w:tcPr>
            <w:tcW w:w="1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468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87"/>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0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Commercial and Industrial</w:t>
            </w:r>
          </w:p>
        </w:tc>
        <w:tc>
          <w:tcPr>
            <w:tcW w:w="1720" w:type="dxa"/>
            <w:vAlign w:val="bottom"/>
            <w:gridSpan w:val="2"/>
            <w:shd w:val="clear" w:color="auto" w:fill="CFF0FC"/>
          </w:tcPr>
          <w:p>
            <w:pPr>
              <w:jc w:val="center"/>
              <w:ind w:left="90"/>
              <w:spacing w:after="0" w:line="204" w:lineRule="exact"/>
              <w:rPr>
                <w:sz w:val="20"/>
                <w:szCs w:val="20"/>
                <w:color w:val="auto"/>
              </w:rPr>
            </w:pPr>
            <w:r>
              <w:rPr>
                <w:rFonts w:ascii="Times New Roman" w:cs="Times New Roman" w:eastAsia="Times New Roman" w:hAnsi="Times New Roman"/>
                <w:sz w:val="18"/>
                <w:szCs w:val="18"/>
                <w:color w:val="auto"/>
              </w:rPr>
              <w:t>49%</w:t>
            </w:r>
          </w:p>
        </w:tc>
        <w:tc>
          <w:tcPr>
            <w:tcW w:w="1680" w:type="dxa"/>
            <w:vAlign w:val="bottom"/>
            <w:gridSpan w:val="2"/>
            <w:shd w:val="clear" w:color="auto" w:fill="CFF0FC"/>
          </w:tcPr>
          <w:p>
            <w:pPr>
              <w:jc w:val="center"/>
              <w:ind w:left="70"/>
              <w:spacing w:after="0" w:line="204" w:lineRule="exact"/>
              <w:rPr>
                <w:sz w:val="20"/>
                <w:szCs w:val="20"/>
                <w:color w:val="auto"/>
              </w:rPr>
            </w:pPr>
            <w:r>
              <w:rPr>
                <w:rFonts w:ascii="Times New Roman" w:cs="Times New Roman" w:eastAsia="Times New Roman" w:hAnsi="Times New Roman"/>
                <w:sz w:val="18"/>
                <w:szCs w:val="18"/>
                <w:color w:val="auto"/>
                <w:w w:val="96"/>
              </w:rPr>
              <w:t>46%</w:t>
            </w:r>
          </w:p>
        </w:tc>
        <w:tc>
          <w:tcPr>
            <w:tcW w:w="160" w:type="dxa"/>
            <w:vAlign w:val="bottom"/>
            <w:shd w:val="clear" w:color="auto" w:fill="CFF0FC"/>
          </w:tcPr>
          <w:p>
            <w:pPr>
              <w:spacing w:after="0"/>
              <w:rPr>
                <w:sz w:val="17"/>
                <w:szCs w:val="17"/>
                <w:color w:val="auto"/>
              </w:rPr>
            </w:pPr>
          </w:p>
        </w:tc>
        <w:tc>
          <w:tcPr>
            <w:tcW w:w="46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Inland River Carriers — Dry and Liquid, Offshore Towing —</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Dry and Liquid, Offshore Oilfield Services — Drilling Rigs &amp;</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Supply Boats, Harbor Towing, Dredging, Great Lakes Ore</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Carriers, Pleasure Crafts, On and Off-Highway Transportation,</w:t>
            </w: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Pumping Stations, Mining</w:t>
            </w:r>
          </w:p>
        </w:tc>
        <w:tc>
          <w:tcPr>
            <w:tcW w:w="0" w:type="dxa"/>
            <w:vAlign w:val="bottom"/>
          </w:tcPr>
          <w:p>
            <w:pPr>
              <w:spacing w:after="0"/>
              <w:rPr>
                <w:sz w:val="1"/>
                <w:szCs w:val="1"/>
                <w:color w:val="auto"/>
              </w:rPr>
            </w:pPr>
          </w:p>
        </w:tc>
      </w:tr>
      <w:tr>
        <w:trPr>
          <w:trHeight w:val="21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w:t>
            </w:r>
          </w:p>
        </w:tc>
        <w:tc>
          <w:tcPr>
            <w:tcW w:w="1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36%</w:t>
            </w:r>
          </w:p>
        </w:tc>
        <w:tc>
          <w:tcPr>
            <w:tcW w:w="1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&amp; Standby Power Generation Equipment,</w:t>
            </w: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Rentals &amp; Related Service, Data Centers</w:t>
            </w:r>
          </w:p>
        </w:tc>
        <w:tc>
          <w:tcPr>
            <w:tcW w:w="0" w:type="dxa"/>
            <w:vAlign w:val="bottom"/>
          </w:tcPr>
          <w:p>
            <w:pPr>
              <w:spacing w:after="0"/>
              <w:rPr>
                <w:sz w:val="1"/>
                <w:szCs w:val="1"/>
                <w:color w:val="auto"/>
              </w:rPr>
            </w:pPr>
          </w:p>
        </w:tc>
      </w:tr>
      <w:tr>
        <w:trPr>
          <w:trHeight w:val="24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17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19%</w:t>
            </w:r>
          </w:p>
        </w:tc>
        <w:tc>
          <w:tcPr>
            <w:tcW w:w="16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18%</w:t>
            </w:r>
          </w:p>
        </w:tc>
        <w:tc>
          <w:tcPr>
            <w:tcW w:w="160" w:type="dxa"/>
            <w:vAlign w:val="bottom"/>
            <w:shd w:val="clear" w:color="auto" w:fill="CFF0FC"/>
          </w:tcPr>
          <w:p>
            <w:pPr>
              <w:spacing w:after="0"/>
              <w:rPr>
                <w:sz w:val="21"/>
                <w:szCs w:val="21"/>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100" w:firstLine="569"/>
        <w:spacing w:after="0" w:line="254" w:lineRule="auto"/>
        <w:rPr>
          <w:sz w:val="20"/>
          <w:szCs w:val="20"/>
          <w:color w:val="auto"/>
        </w:rPr>
      </w:pPr>
      <w:r>
        <w:rPr>
          <w:rFonts w:ascii="Times New Roman" w:cs="Times New Roman" w:eastAsia="Times New Roman" w:hAnsi="Times New Roman"/>
          <w:sz w:val="18"/>
          <w:szCs w:val="18"/>
          <w:color w:val="auto"/>
        </w:rPr>
        <w:t>KDS revenues for the 2024 second quarter and first six months decreased 3% and 2%, respectively, compared to the 2023 second quarter and first six months. In the commercial and industrial market, revenues increased compared to the 2023 second quarter and first six months, as higher business levels in marine repair were partially offset by lower on-highway activity. Operating income in the commercial and industrial market was up compared to the 2023 second quarter and first six months mainly due to sales mix. In the power generation market, revenues and operating income increased compared to the 2023 second quarter and first six months with several large project awards from data center customers as well as other backup power industrial customers. In the oil and gas market, revenues and operating income declined compared to the 2023 second quarter and first six months due to lower levels of conventional oilfield activity which resulted in decreased demand for new transmissions and parts, partially offset by deliveries of electric fracturing equipment.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88"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Costs and expenses for the 2024 second quarter and first six months decreased 3% and 2%, respectively, compared with the 2023 second quarter and first six months. Costs of sales and operating expenses for the 2024 second quarter and first six months decreased 6% and 5%, respectively, compared with the 2023 second quarter and first six months, reflecting lower on-highway and conventional oilfield activity.</w:t>
      </w:r>
    </w:p>
    <w:p>
      <w:pPr>
        <w:spacing w:after="0" w:line="150"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for the 2024 second quarter and first six months increased 1% and 3%, respectively, compared to the 2023 second quarter and first six months, primarily due to continued inflationary cost pressures and salary and wage increases that went into effect July 1, 2023.</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188" w:lineRule="exact"/>
        <w:rPr>
          <w:sz w:val="20"/>
          <w:szCs w:val="20"/>
          <w:color w:val="auto"/>
        </w:rPr>
      </w:pPr>
    </w:p>
    <w:p>
      <w:pPr>
        <w:jc w:val="both"/>
        <w:ind w:right="100" w:firstLine="569"/>
        <w:spacing w:after="0" w:line="281" w:lineRule="auto"/>
        <w:rPr>
          <w:sz w:val="20"/>
          <w:szCs w:val="20"/>
          <w:color w:val="auto"/>
        </w:rPr>
      </w:pPr>
      <w:r>
        <w:rPr>
          <w:rFonts w:ascii="Times New Roman" w:cs="Times New Roman" w:eastAsia="Times New Roman" w:hAnsi="Times New Roman"/>
          <w:sz w:val="18"/>
          <w:szCs w:val="18"/>
          <w:color w:val="auto"/>
        </w:rPr>
        <w:t>KDS operating income for the 2024 second quarter and first six months decreased 1% and 2%, respectively, compared with the 2023 second quarter and first six months. The 2024 second quarter operating margin was 8.7% compared to 8.5% for the 2023 second</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5" w:right="239" w:bottom="1440" w:gutter="0" w:footer="0" w:header="0"/>
        </w:sectPr>
      </w:pPr>
    </w:p>
    <w:bookmarkStart w:id="23" w:name="page24"/>
    <w:bookmarkEnd w:id="23"/>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quarter. The 2024 first six months operating margin was 7.7% compared to 7.6% for the 2023 first six months. The results reflect increased power generation and marine repair activity offset by lower on-highway and conventional oilfield activity.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188" w:lineRule="exact"/>
        <w:rPr>
          <w:sz w:val="20"/>
          <w:szCs w:val="20"/>
          <w:color w:val="auto"/>
        </w:rPr>
      </w:pPr>
    </w:p>
    <w:p>
      <w:pPr>
        <w:jc w:val="both"/>
        <w:ind w:right="100" w:firstLine="569"/>
        <w:spacing w:after="0" w:line="281" w:lineRule="auto"/>
        <w:rPr>
          <w:sz w:val="20"/>
          <w:szCs w:val="20"/>
          <w:color w:val="auto"/>
        </w:rPr>
      </w:pPr>
      <w:r>
        <w:rPr>
          <w:rFonts w:ascii="Times New Roman" w:cs="Times New Roman" w:eastAsia="Times New Roman" w:hAnsi="Times New Roman"/>
          <w:sz w:val="18"/>
          <w:szCs w:val="18"/>
          <w:color w:val="auto"/>
        </w:rPr>
        <w:t>General corporate expenses for the 2024 second quarter and first six months decreased compared to the 2023 second quarter and first six months primarily due to lower legal and insurance costs. The 2023 first six months also included costs related to strategic review and shareholder engagement.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02"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$0.5 million for both the 2024 and 2023 second quarters. The Company reported a net gain on disposition of assets of $0.6 million for the 2024 first six months and $2.7 million for the 2023 first six months. The net gains were primarily from sales of marine transportation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2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(12,819 )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(12,286 )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(25,970 )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(25,507 )</w:t>
            </w:r>
          </w:p>
        </w:tc>
        <w:tc>
          <w:tcPr>
            <w:tcW w:w="1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8"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Other income for the 2024 and 2023 second quarters includes income of $2.7 million and $1.2 million, respectively, and the 2024 and 2023 first six months includes income of $5.1 million and $2.4 million, respectively, for all components of net benefit costs except the service cost component related to the Company’s defined benefit plans. The 2023 first six months also includes interest income associated with an Internal Revenue Service refund.</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1,062,620</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1,024,071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1,063,768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1,112,956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3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4.8 %</w:t>
            </w:r>
          </w:p>
        </w:tc>
        <w:tc>
          <w:tcPr>
            <w:tcW w:w="3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3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166"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Interest expense for the 2024 second quarter and first six months increased 4% and 2%, respectively, compared with the 2023 second quarter and first six months, primarily due to a higher average interest rate in the 2024 second quarter and first six months, as well as higher debt levels in the 2024 second quarter. There was no capitalized interest excluded from interest expense during the 2024 or 2023 first six months.</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9"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1,166,615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1,135,161</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3,974,747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92,040</w:t>
            </w:r>
          </w:p>
        </w:tc>
        <w:tc>
          <w:tcPr>
            <w:tcW w:w="17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5,865,898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684,623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675,795</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1,039,120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1,008,527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720,679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696,557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3,262,678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3,186,677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5,865,898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-1609090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-1609090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7"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Current assets as of June 30, 2024 increased 3% compared with December 31, 2023. Trade accounts receivable increased 4% primarily due to higher business activity levels in KMT. Inventories – net decreased by 2% primarily due to strong deliveries of power generation units during the 2024 first six months.</w:t>
      </w:r>
    </w:p>
    <w:p>
      <w:pPr>
        <w:spacing w:after="0" w:line="150" w:lineRule="exact"/>
        <w:rPr>
          <w:sz w:val="20"/>
          <w:szCs w:val="20"/>
          <w:color w:val="auto"/>
        </w:rPr>
      </w:pPr>
    </w:p>
    <w:p>
      <w:pPr>
        <w:jc w:val="both"/>
        <w:ind w:right="60" w:firstLine="562"/>
        <w:spacing w:after="0" w:line="260" w:lineRule="auto"/>
        <w:rPr>
          <w:sz w:val="20"/>
          <w:szCs w:val="20"/>
          <w:color w:val="auto"/>
        </w:rPr>
      </w:pPr>
      <w:r>
        <w:rPr>
          <w:rFonts w:ascii="Times New Roman" w:cs="Times New Roman" w:eastAsia="Times New Roman" w:hAnsi="Times New Roman"/>
          <w:sz w:val="18"/>
          <w:szCs w:val="18"/>
          <w:color w:val="auto"/>
        </w:rPr>
        <w:t>Property and equipment, net of accumulated depreciation, at June 30, 2024 increased 3% compared with December 31, 2023. The increase reflected $171.6 million of capital additions (including an increase in accrued capital expenditures of $2.0 million) and a $65.2 million equipment acquisition in the 2024 second quarter, partially offset by $112.8 million of depreciation expense and $10.4 million of property disposals more fully described under Cash Flow and Capital Expenditures below.</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intangibles, net, as of June 30, 2024 decreased 10% compared with December 31, 2023, due to amortization during the 2024 first six months.</w:t>
      </w:r>
    </w:p>
    <w:p>
      <w:pPr>
        <w:spacing w:after="0" w:line="184" w:lineRule="exact"/>
        <w:rPr>
          <w:sz w:val="20"/>
          <w:szCs w:val="20"/>
          <w:color w:val="auto"/>
        </w:rPr>
      </w:pPr>
    </w:p>
    <w:p>
      <w:pPr>
        <w:jc w:val="both"/>
        <w:ind w:right="80" w:firstLine="562"/>
        <w:spacing w:after="0" w:line="281" w:lineRule="auto"/>
        <w:rPr>
          <w:sz w:val="20"/>
          <w:szCs w:val="20"/>
          <w:color w:val="auto"/>
        </w:rPr>
      </w:pPr>
      <w:r>
        <w:rPr>
          <w:rFonts w:ascii="Times New Roman" w:cs="Times New Roman" w:eastAsia="Times New Roman" w:hAnsi="Times New Roman"/>
          <w:sz w:val="18"/>
          <w:szCs w:val="18"/>
          <w:color w:val="auto"/>
        </w:rPr>
        <w:t>Other assets as of June 30, 2024 decreased 3% compared with December 31, 2023, primarily due to amortization of drydock expenditures, partially offset by additional deferred major maintenance drydock expenditures incurred during the 2024 first six months.</w:t>
      </w:r>
    </w:p>
    <w:p>
      <w:pPr>
        <w:spacing w:after="0" w:line="136" w:lineRule="exact"/>
        <w:rPr>
          <w:sz w:val="20"/>
          <w:szCs w:val="20"/>
          <w:color w:val="auto"/>
        </w:rPr>
      </w:pPr>
    </w:p>
    <w:p>
      <w:pPr>
        <w:jc w:val="both"/>
        <w:ind w:right="60" w:firstLine="569"/>
        <w:spacing w:after="0" w:line="260" w:lineRule="auto"/>
        <w:rPr>
          <w:sz w:val="20"/>
          <w:szCs w:val="20"/>
          <w:color w:val="auto"/>
        </w:rPr>
      </w:pPr>
      <w:r>
        <w:rPr>
          <w:rFonts w:ascii="Times New Roman" w:cs="Times New Roman" w:eastAsia="Times New Roman" w:hAnsi="Times New Roman"/>
          <w:sz w:val="18"/>
          <w:szCs w:val="18"/>
          <w:color w:val="auto"/>
        </w:rPr>
        <w:t>Current liabilities as of June 30, 2024 increased 1% compared with December 31, 2023. Income taxes payable increased by $8.7 million as the Company expects to utilize its remaining federal net operating losses during 2024 due to improved profitability. Accounts payable decreased 1% primarily due to timing of inventory purchases. Accrued liabilities decreased 8% primarily from payment during the 2024 first quarter of employee incentive compensation accrued during 2023. Deferred revenue increased 14% primarily due to deposits on equipment expected to be shipped later in 2024 in KDS.</w:t>
      </w:r>
    </w:p>
    <w:p>
      <w:pPr>
        <w:spacing w:after="0" w:line="141"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Long-term debt, net – less current portion, as of June 30, 2024 increased 3% compared with December 31, 2023, primarily reflecting borrowings under the 2027 Revolving Credit Facility.</w:t>
      </w:r>
    </w:p>
    <w:p>
      <w:pPr>
        <w:spacing w:after="0" w:line="122"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Deferred income taxes as of June 30, 2024 increased 3% compared with December 31, 2023, primarily reflecting the deferred tax provision of $23.9 million.</w:t>
      </w:r>
    </w:p>
    <w:p>
      <w:pPr>
        <w:spacing w:after="0" w:line="136" w:lineRule="exact"/>
        <w:rPr>
          <w:sz w:val="20"/>
          <w:szCs w:val="20"/>
          <w:color w:val="auto"/>
        </w:rPr>
      </w:pPr>
    </w:p>
    <w:p>
      <w:pPr>
        <w:jc w:val="both"/>
        <w:ind w:right="60" w:firstLine="569"/>
        <w:spacing w:after="0" w:line="265" w:lineRule="auto"/>
        <w:rPr>
          <w:sz w:val="20"/>
          <w:szCs w:val="20"/>
          <w:color w:val="auto"/>
        </w:rPr>
      </w:pPr>
      <w:r>
        <w:rPr>
          <w:rFonts w:ascii="Times New Roman" w:cs="Times New Roman" w:eastAsia="Times New Roman" w:hAnsi="Times New Roman"/>
          <w:sz w:val="18"/>
          <w:szCs w:val="18"/>
          <w:color w:val="auto"/>
        </w:rPr>
        <w:t>Total equity as of June 30, 2024 increased 2% compared with December 31, 2023. The increase was primarily due to the net earnings attributable to Kirby of $153.9 million, amortization of share-based compensation of $9.4 million, and stock option exercises of $4.1 million, partially offset by treasury stock purchases of $85.5 million and tax withholdings of $5.3 million on RSU vestings.</w:t>
      </w:r>
    </w:p>
    <w:p>
      <w:pPr>
        <w:spacing w:after="0" w:line="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5"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Pr>
          <w:p>
            <w:pPr>
              <w:spacing w:after="0"/>
              <w:rPr>
                <w:sz w:val="20"/>
                <w:szCs w:val="20"/>
                <w:color w:val="auto"/>
              </w:rPr>
            </w:pPr>
          </w:p>
        </w:tc>
      </w:tr>
      <w:tr>
        <w:trPr>
          <w:trHeight w:val="240"/>
        </w:trPr>
        <w:tc>
          <w:tcPr>
            <w:tcW w:w="8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1,052,970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(4,880 )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(5,473 )</w:t>
            </w:r>
          </w:p>
        </w:tc>
      </w:tr>
      <w:tr>
        <w:trPr>
          <w:trHeight w:val="276"/>
        </w:trPr>
        <w:tc>
          <w:tcPr>
            <w:tcW w:w="8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1,048,090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Variable interest rate of 6.6% at June 30, 2024 and 6.8% at December 31, 2023.</w:t>
      </w:r>
    </w:p>
    <w:p>
      <w:pPr>
        <w:spacing w:after="0" w:line="184"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No repayments are required until June 30, 2025.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$426.0 million as of June 30, 2024.</w:t>
      </w:r>
    </w:p>
    <w:p>
      <w:pPr>
        <w:spacing w:after="0" w:line="155"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w:t>
      </w:r>
    </w:p>
    <w:p>
      <w:pPr>
        <w:spacing w:after="0" w:line="137"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Company has a $15 million Credit Line with Bank of America for short-term liquidity needs and letters of credit, with a maturity date of June 30, 2026. Outstanding letters of credit under the Credit Line were $6.8 million and available borrowing capacity was $8.2 million as of June 30, 2024.</w:t>
      </w:r>
    </w:p>
    <w:p>
      <w:pPr>
        <w:spacing w:after="0" w:line="122"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As of June 30, 2024,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2024 first six months with net cash provided by operating activities of $302.6 million compared with $227.9 million for the 2023 first six months, a 33% increase. The improvement in operating cash flows was due to higher revenues and operating income in KMT and a favorable change in inventories, primarily due to timing of shipments. The 2023 first six months includes the receipt of the Internal Revenue Service refund of $70.4 million plus accrued interest in April 2023. Increases in KMT revenues and operating income were driven by higher term and spot contract pricing during the 2024 first six months. During the 2024 and 2023 first six months, the Company generated cash of $9.1 million and $20.5 million, respectively, from proceeds from the disposition of assets, and $4.1 million and $0.1 million, respectively, from proceeds from the exercise of stock options.</w:t>
      </w:r>
    </w:p>
    <w:p>
      <w:pPr>
        <w:spacing w:after="0" w:line="146"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For the 2024 first six months, cash generated was used for capital expenditures of $169.6 million, including $111.1 million associated with marine maintenance capital and improvements to existing inland and coastal marine equipment and facility improvements, as well as $58.5 million for growth spending in both segments. The growth spending is related to inland equipment construction and equipment for use in a variety of KDS markets including electric fracturing equipment, generators, and other related equipment.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During the 2024 first six months, the Company purchased 870,770 shares of its common stock for $85.5 million, at an average price of $98.15 per share. Subsequent to June 30, 2024 and through August 8, 2024, the Company purchased an additional 98,854 shares of its common stock for $11.1 million, at an average price of $111.85 per share. As of August 8, 2024, the Company had approximately 3.6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2024 second quarter, see Part II, Item 2. Unregistered Sales of Equity Securities and Use of Proceeds.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8"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flows provided by operating activities, as of August 8, 2024 the Company also had cash and cash equivalents of $53.5 million, availability of $444.9 million under its 2027 Revolving Credit Facility, and $8.2 million available under its Credit Line.</w:t>
      </w:r>
    </w:p>
    <w:p>
      <w:pPr>
        <w:spacing w:after="0" w:line="155" w:lineRule="exact"/>
        <w:rPr>
          <w:sz w:val="20"/>
          <w:szCs w:val="20"/>
          <w:color w:val="auto"/>
        </w:rPr>
      </w:pPr>
    </w:p>
    <w:p>
      <w:pPr>
        <w:jc w:val="both"/>
        <w:ind w:right="20" w:firstLine="562"/>
        <w:spacing w:after="0" w:line="281"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22"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purchases, repayment of borrowings, and for other operating requirements from a combination of available cash and cash equivalents, funds generated from operating activities, and available financing arrangements.</w:t>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$500 million 4.2% senior unsecured notes do not mature until March 1, 2028 and require no prepayments. The 2033 Notes do not mature until January 19, 2033 and require no prepayments. The 2027 Term Loan in the amount of $250 million is subject to quarterly installments, beginning June 30, 2025,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5"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2024.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2023.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2023.</w:t>
      </w:r>
    </w:p>
    <w:p>
      <w:pPr>
        <w:spacing w:after="0" w:line="14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$31.5 million at June 30, 2024, including $11.6 million in letters of credit and $19.9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7" w:name="page28"/>
    <w:bookmarkEnd w:id="27"/>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The repair portion of KDS is based on prevailing current market rates.</w:t>
      </w:r>
    </w:p>
    <w:p>
      <w:pPr>
        <w:spacing w:after="0" w:line="15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8"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the Company’s Annual Report on Form 10-K. The Company’s exposure to market risk has not changed materially since December 31, 2023.</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June 30, 2024, as required by Rule 13a-15(b) under the Exchange Act. Based on that evaluation, the Chief Executive Officer and the Chief Financial Officer concluded that, as of June 30, 2024,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8"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June 30, 2024 that have materially affected, or are reasonably likely to materially affect, the Company’s internal control over financial reporting.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Part I, Item 1A of the Company’s Annual Report on Form 10-K for the year ended December 31, 2023.</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 April 30, 2024</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120,057</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 June 30, 2024</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252,208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372,265</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2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Purchases of the Company’s common stock during the 2024 second quarter were made in the open market pursuant to a discretionary authorization by the Board of Directors. For more information about stock purchases in the 2024 second quarter and other information responsive to this Item, see “Treasury Stock Purchases” in Financial Condition, Capital Resources and Liquidity included in Part I, Item 2. Management’s Discussion and Analysis of Financial Condition and Results of Operations.</w:t>
      </w:r>
    </w:p>
    <w:p>
      <w:pPr>
        <w:spacing w:after="0" w:line="1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During the 2024 second quarter, the following Section 16 officer adopted, modified or terminated a “Rule 10b5-1 trading arrangement” (as defined in Item 408 of Regulation S-K of the Exchange Act):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Character of</w:t>
            </w:r>
          </w:p>
        </w:tc>
        <w:tc>
          <w:tcPr>
            <w:tcW w:w="20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 Shares of Common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w w:val="81"/>
              </w:rPr>
              <w:t>(b)</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79"/>
        </w:trPr>
        <w:tc>
          <w:tcPr>
            <w:tcW w:w="23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2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20" w:type="dxa"/>
            <w:vAlign w:val="bottom"/>
          </w:tcPr>
          <w:p>
            <w:pPr>
              <w:spacing w:after="0"/>
              <w:rPr>
                <w:sz w:val="6"/>
                <w:szCs w:val="6"/>
                <w:color w:val="auto"/>
              </w:rPr>
            </w:pPr>
          </w:p>
        </w:tc>
        <w:tc>
          <w:tcPr>
            <w:tcW w:w="980" w:type="dxa"/>
            <w:vAlign w:val="bottom"/>
            <w:vMerge w:val="restart"/>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be Purchased or Sold Pursuant to Trading</w:t>
            </w:r>
          </w:p>
        </w:tc>
        <w:tc>
          <w:tcPr>
            <w:tcW w:w="120" w:type="dxa"/>
            <w:vAlign w:val="bottom"/>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Duration</w:t>
            </w:r>
          </w:p>
        </w:tc>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Material</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w:t>
            </w:r>
          </w:p>
        </w:tc>
        <w:tc>
          <w:tcPr>
            <w:tcW w:w="20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Terminated</w:t>
            </w:r>
          </w:p>
        </w:tc>
        <w:tc>
          <w:tcPr>
            <w:tcW w:w="0" w:type="dxa"/>
            <w:vAlign w:val="bottom"/>
          </w:tcPr>
          <w:p>
            <w:pPr>
              <w:spacing w:after="0"/>
              <w:rPr>
                <w:sz w:val="1"/>
                <w:szCs w:val="1"/>
                <w:color w:val="auto"/>
              </w:rPr>
            </w:pPr>
          </w:p>
        </w:tc>
      </w:tr>
      <w:tr>
        <w:trPr>
          <w:trHeight w:val="121"/>
        </w:trPr>
        <w:tc>
          <w:tcPr>
            <w:tcW w:w="2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ind w:left="160"/>
              <w:spacing w:after="0" w:line="121" w:lineRule="exact"/>
              <w:rPr>
                <w:sz w:val="20"/>
                <w:szCs w:val="20"/>
                <w:color w:val="auto"/>
              </w:rPr>
            </w:pPr>
            <w:r>
              <w:rPr>
                <w:rFonts w:ascii="Times New Roman" w:cs="Times New Roman" w:eastAsia="Times New Roman" w:hAnsi="Times New Roman"/>
                <w:sz w:val="14"/>
                <w:szCs w:val="14"/>
                <w:b w:val="1"/>
                <w:bCs w:val="1"/>
                <w:color w:val="auto"/>
                <w:w w:val="98"/>
              </w:rPr>
              <w:t>Arrangement</w:t>
            </w:r>
          </w:p>
        </w:tc>
        <w:tc>
          <w:tcPr>
            <w:tcW w:w="2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Arrangement</w:t>
            </w:r>
          </w:p>
        </w:tc>
        <w:tc>
          <w:tcPr>
            <w:tcW w:w="1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Terms</w:t>
            </w:r>
          </w:p>
        </w:tc>
        <w:tc>
          <w:tcPr>
            <w:tcW w:w="1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Scott P. Miller</w:t>
            </w:r>
          </w:p>
        </w:tc>
        <w:tc>
          <w:tcPr>
            <w:tcW w:w="1140" w:type="dxa"/>
            <w:vAlign w:val="bottom"/>
            <w:gridSpan w:val="2"/>
            <w:shd w:val="clear" w:color="auto" w:fill="CFF0FC"/>
          </w:tcPr>
          <w:p>
            <w:pPr>
              <w:jc w:val="right"/>
              <w:ind w:right="68"/>
              <w:spacing w:after="0" w:line="191" w:lineRule="exact"/>
              <w:rPr>
                <w:sz w:val="20"/>
                <w:szCs w:val="20"/>
                <w:color w:val="auto"/>
              </w:rPr>
            </w:pPr>
            <w:r>
              <w:rPr>
                <w:rFonts w:ascii="Times New Roman" w:cs="Times New Roman" w:eastAsia="Times New Roman" w:hAnsi="Times New Roman"/>
                <w:sz w:val="18"/>
                <w:szCs w:val="18"/>
                <w:color w:val="auto"/>
              </w:rPr>
              <w:t>5/20/2024</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Rule 10b5-1</w:t>
            </w:r>
          </w:p>
        </w:tc>
        <w:tc>
          <w:tcPr>
            <w:tcW w:w="200" w:type="dxa"/>
            <w:vAlign w:val="bottom"/>
            <w:shd w:val="clear" w:color="auto" w:fill="CFF0FC"/>
          </w:tcPr>
          <w:p>
            <w:pPr>
              <w:spacing w:after="0"/>
              <w:rPr>
                <w:sz w:val="16"/>
                <w:szCs w:val="16"/>
                <w:color w:val="auto"/>
              </w:rPr>
            </w:pPr>
          </w:p>
        </w:tc>
        <w:tc>
          <w:tcPr>
            <w:tcW w:w="30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Up to 7,742 shares to be sold</w:t>
            </w:r>
          </w:p>
        </w:tc>
        <w:tc>
          <w:tcPr>
            <w:tcW w:w="1260" w:type="dxa"/>
            <w:vAlign w:val="bottom"/>
            <w:gridSpan w:val="3"/>
            <w:shd w:val="clear" w:color="auto" w:fill="CFF0FC"/>
          </w:tcPr>
          <w:p>
            <w:pPr>
              <w:jc w:val="right"/>
              <w:ind w:right="172"/>
              <w:spacing w:after="0" w:line="191" w:lineRule="exact"/>
              <w:rPr>
                <w:sz w:val="20"/>
                <w:szCs w:val="20"/>
                <w:color w:val="auto"/>
              </w:rPr>
            </w:pPr>
            <w:r>
              <w:rPr>
                <w:rFonts w:ascii="Times New Roman" w:cs="Times New Roman" w:eastAsia="Times New Roman" w:hAnsi="Times New Roman"/>
                <w:sz w:val="18"/>
                <w:szCs w:val="18"/>
                <w:color w:val="auto"/>
              </w:rPr>
              <w:t>2/5/2025 -</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and Chief</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left="139"/>
              <w:spacing w:after="0"/>
              <w:rPr>
                <w:sz w:val="20"/>
                <w:szCs w:val="20"/>
                <w:color w:val="auto"/>
              </w:rPr>
            </w:pPr>
            <w:r>
              <w:rPr>
                <w:rFonts w:ascii="Times New Roman" w:cs="Times New Roman" w:eastAsia="Times New Roman" w:hAnsi="Times New Roman"/>
                <w:sz w:val="18"/>
                <w:szCs w:val="18"/>
                <w:color w:val="auto"/>
                <w:w w:val="98"/>
              </w:rPr>
              <w:t>Trading</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8/5/2025</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Information Officer</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Arrangement</w:t>
            </w:r>
          </w:p>
        </w:tc>
        <w:tc>
          <w:tcPr>
            <w:tcW w:w="20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504"/>
        <w:spacing w:after="0" w:line="268"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by footnote, each trading arrangement marked as a “Rule 10b5-1 Trading Arrangement” is intended to satisfy the affirmative defense of Rule 10b5-1(c), as amended (the “Rule”).</w:t>
      </w:r>
    </w:p>
    <w:p>
      <w:pPr>
        <w:spacing w:after="0" w:line="1" w:lineRule="exact"/>
        <w:rPr>
          <w:rFonts w:ascii="Times New Roman" w:cs="Times New Roman" w:eastAsia="Times New Roman" w:hAnsi="Times New Roman"/>
          <w:sz w:val="16"/>
          <w:szCs w:val="16"/>
          <w:color w:val="auto"/>
        </w:rPr>
      </w:pPr>
    </w:p>
    <w:p>
      <w:pPr>
        <w:jc w:val="both"/>
        <w:ind w:left="1020" w:hanging="504"/>
        <w:spacing w:after="0" w:line="271"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by footnote, each trading arrangement permitted or permits transactions through and including the earlier to occur of (a) the completion of all purchases or sales or (b) the date listed in the table, subject to certain conditions. Each trading arrangement marked as a “Rule 10b5-1 Trading Arrangement” only permitted or only permits transactions upon expiration of the applicable mandatory cooling-off period under the Rule, which is at least 90 days for executive officers and directors under the Company’s insider trading policies.</w:t>
      </w:r>
    </w:p>
    <w:p>
      <w:pPr>
        <w:spacing w:after="0" w:line="168"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2024 second quarter by the Company’s directors and Section 16 officers. Each of the trading arrangements are in accordance with the Company’s policy against insider trading, and actual sale transactions made pursuant to such trading arrangements have been or will be disclosed publicly in Section 16 filings with the SEC in accordance with applicable securities laws, rules and regulations.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36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8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6"/>
                <w:szCs w:val="16"/>
                <w:color w:val="auto"/>
              </w:rPr>
            </w:pPr>
          </w:p>
        </w:tc>
        <w:tc>
          <w:tcPr>
            <w:tcW w:w="10220" w:type="dxa"/>
            <w:vAlign w:val="bottom"/>
            <w:gridSpan w:val="16"/>
            <w:shd w:val="clear" w:color="auto" w:fill="CFF0FC"/>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9">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5960" w:type="dxa"/>
            <w:vAlign w:val="bottom"/>
            <w:tcBorders>
              <w:top w:val="single" w:sz="8" w:color="0000FF"/>
              <w:bottom w:val="single" w:sz="8" w:color="0000FF"/>
            </w:tcBorders>
            <w:gridSpan w:val="7"/>
            <w:shd w:val="clear" w:color="auto" w:fill="CFF0FC"/>
          </w:tcPr>
          <w:p>
            <w:pPr>
              <w:spacing w:after="0" w:line="195"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Registrant’s Annual Report on Form 10-K for the year ended December 31, 2014).</w:t>
              </w:r>
            </w:hyperlink>
          </w:p>
        </w:tc>
        <w:tc>
          <w:tcPr>
            <w:tcW w:w="3240" w:type="dxa"/>
            <w:vAlign w:val="bottom"/>
            <w:tcBorders>
              <w:top w:val="single" w:sz="8" w:color="0000FF"/>
              <w:bottom w:val="single" w:sz="8" w:color="CFF0FC"/>
            </w:tcBorders>
            <w:gridSpan w:val="5"/>
            <w:shd w:val="clear" w:color="auto" w:fill="CFF0FC"/>
          </w:tcPr>
          <w:p>
            <w:pPr>
              <w:spacing w:after="0"/>
              <w:rPr>
                <w:sz w:val="19"/>
                <w:szCs w:val="19"/>
                <w:color w:val="auto"/>
              </w:rPr>
            </w:pPr>
          </w:p>
        </w:tc>
        <w:tc>
          <w:tcPr>
            <w:tcW w:w="680" w:type="dxa"/>
            <w:vAlign w:val="bottom"/>
            <w:tcBorders>
              <w:top w:val="single" w:sz="8" w:color="CFF0FC"/>
              <w:bottom w:val="single" w:sz="8" w:color="CFF0FC"/>
            </w:tcBorders>
            <w:gridSpan w:val="3"/>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6"/>
                <w:szCs w:val="16"/>
                <w:color w:val="auto"/>
              </w:rPr>
            </w:pPr>
          </w:p>
        </w:tc>
        <w:tc>
          <w:tcPr>
            <w:tcW w:w="10220" w:type="dxa"/>
            <w:vAlign w:val="bottom"/>
            <w:gridSpan w:val="16"/>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50">
              <w:r>
                <w:rPr>
                  <w:rFonts w:ascii="Times New Roman" w:cs="Times New Roman" w:eastAsia="Times New Roman" w:hAnsi="Times New Roman"/>
                  <w:sz w:val="18"/>
                  <w:szCs w:val="18"/>
                  <w:color w:val="0000FF"/>
                </w:rPr>
                <w:t>Bylaws of the Company, as amended to April 25, 2024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tcBorders>
              <w:top w:val="single" w:sz="8" w:color="0000FF"/>
            </w:tcBorders>
            <w:gridSpan w:val="13"/>
          </w:tcPr>
          <w:p>
            <w:pPr>
              <w:spacing w:after="0" w:line="195"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Form 8-K filed with the Commission on October 28, 2022).</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6"/>
                <w:szCs w:val="16"/>
                <w:color w:val="auto"/>
              </w:rPr>
            </w:pPr>
          </w:p>
        </w:tc>
        <w:tc>
          <w:tcPr>
            <w:tcW w:w="10220" w:type="dxa"/>
            <w:vAlign w:val="bottom"/>
            <w:gridSpan w:val="16"/>
            <w:shd w:val="clear" w:color="auto" w:fill="CFF0FC"/>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51">
              <w:r>
                <w:rPr>
                  <w:rFonts w:ascii="Times New Roman" w:cs="Times New Roman" w:eastAsia="Times New Roman" w:hAnsi="Times New Roman"/>
                  <w:sz w:val="18"/>
                  <w:szCs w:val="18"/>
                  <w:color w:val="0000FF"/>
                </w:rPr>
                <w:t>Amendment to Bylaws of Kirby Corporation dated April 26, 2024 (incorporated by reference to Exhibit 3.2 to the Registrant’s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740" w:type="dxa"/>
            <w:vAlign w:val="bottom"/>
            <w:tcBorders>
              <w:top w:val="single" w:sz="8" w:color="0000FF"/>
            </w:tcBorders>
            <w:gridSpan w:val="14"/>
            <w:shd w:val="clear" w:color="auto" w:fill="CFF0FC"/>
          </w:tcPr>
          <w:p>
            <w:pPr>
              <w:spacing w:after="0" w:line="195"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Report on Form 8-K filed with the Commission on April 26, 2024).</w:t>
              </w:r>
            </w:hyperlink>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right w:val="single" w:sz="8" w:color="CFF0FC"/>
            </w:tcBorders>
            <w:shd w:val="clear" w:color="auto" w:fill="CFF0FC"/>
          </w:tcPr>
          <w:p>
            <w:pPr>
              <w:spacing w:after="0"/>
              <w:rPr>
                <w:sz w:val="2"/>
                <w:szCs w:val="2"/>
                <w:color w:val="auto"/>
              </w:rPr>
            </w:pPr>
          </w:p>
        </w:tc>
        <w:tc>
          <w:tcPr>
            <w:tcW w:w="17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022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rPr>
              <w:t>–  See Exhibits 3.1, 3.2 and 3.3 hereof for provisions of our Restated Articles of Incorporation of the Company with all amendments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1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and the Bylaws of the Company with all amendments to date (incorporated, respectively, by reference to Exhibit </w:t>
            </w:r>
            <w:hyperlink r:id="rId349">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Registrant’s Annual Report on Form 10-K for the year ended December 31, 2014, Exhibit </w:t>
            </w:r>
            <w:hyperlink r:id="rId350">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5"/>
          </w:tcPr>
          <w:p>
            <w:pPr>
              <w:spacing w:after="0" w:line="195"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Form 8-K filed with the Commission on October 28, 2022, and Exhibit </w:t>
            </w:r>
            <w:hyperlink r:id="rId351">
              <w:r>
                <w:rPr>
                  <w:rFonts w:ascii="Times New Roman" w:cs="Times New Roman" w:eastAsia="Times New Roman" w:hAnsi="Times New Roman"/>
                  <w:sz w:val="18"/>
                  <w:szCs w:val="18"/>
                  <w:color w:val="0000FF"/>
                  <w:w w:val="99"/>
                </w:rPr>
                <w:t>3.2</w:t>
              </w:r>
              <w:r>
                <w:rPr>
                  <w:rFonts w:ascii="Times New Roman" w:cs="Times New Roman" w:eastAsia="Times New Roman" w:hAnsi="Times New Roman"/>
                  <w:sz w:val="18"/>
                  <w:szCs w:val="18"/>
                  <w:color w:val="auto"/>
                  <w:w w:val="99"/>
                </w:rPr>
                <w:t xml:space="preserve"> </w:t>
              </w:r>
            </w:hyperlink>
            <w:r>
              <w:rPr>
                <w:rFonts w:ascii="Times New Roman" w:cs="Times New Roman" w:eastAsia="Times New Roman" w:hAnsi="Times New Roman"/>
                <w:sz w:val="18"/>
                <w:szCs w:val="18"/>
                <w:color w:val="auto"/>
                <w:w w:val="99"/>
              </w:rPr>
              <w:t>to the Registrant’s Current Report on Form 8-K filed with the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Commission on April 26, 2024).</w:t>
            </w:r>
          </w:p>
        </w:tc>
        <w:tc>
          <w:tcPr>
            <w:tcW w:w="220" w:type="dxa"/>
            <w:vAlign w:val="bottom"/>
            <w:tcBorders>
              <w:top w:val="single" w:sz="8" w:color="0000FF"/>
            </w:tcBorders>
          </w:tcPr>
          <w:p>
            <w:pPr>
              <w:spacing w:after="0"/>
              <w:rPr>
                <w:sz w:val="20"/>
                <w:szCs w:val="20"/>
                <w:color w:val="auto"/>
              </w:rPr>
            </w:pPr>
          </w:p>
        </w:tc>
        <w:tc>
          <w:tcPr>
            <w:tcW w:w="44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7"/>
                <w:szCs w:val="17"/>
                <w:color w:val="auto"/>
              </w:rPr>
            </w:pPr>
          </w:p>
        </w:tc>
        <w:tc>
          <w:tcPr>
            <w:tcW w:w="10220" w:type="dxa"/>
            <w:vAlign w:val="bottom"/>
            <w:gridSpan w:val="16"/>
            <w:shd w:val="clear" w:color="auto" w:fill="CFF0FC"/>
          </w:tcPr>
          <w:p>
            <w:pPr>
              <w:ind w:left="12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right w:val="single" w:sz="8" w:color="CFF0FC"/>
            </w:tcBorders>
            <w:shd w:val="clear" w:color="auto" w:fill="CFF0FC"/>
          </w:tcPr>
          <w:p>
            <w:pPr>
              <w:spacing w:after="0"/>
              <w:rPr>
                <w:sz w:val="2"/>
                <w:szCs w:val="2"/>
                <w:color w:val="auto"/>
              </w:rPr>
            </w:pPr>
          </w:p>
        </w:tc>
        <w:tc>
          <w:tcPr>
            <w:tcW w:w="17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6"/>
                <w:szCs w:val="16"/>
                <w:color w:val="auto"/>
              </w:rPr>
            </w:pPr>
          </w:p>
        </w:tc>
        <w:tc>
          <w:tcPr>
            <w:tcW w:w="10220" w:type="dxa"/>
            <w:vAlign w:val="bottom"/>
            <w:gridSpan w:val="16"/>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6"/>
                <w:szCs w:val="16"/>
                <w:color w:val="auto"/>
              </w:rPr>
            </w:pPr>
          </w:p>
        </w:tc>
        <w:tc>
          <w:tcPr>
            <w:tcW w:w="10220" w:type="dxa"/>
            <w:vAlign w:val="bottom"/>
            <w:gridSpan w:val="16"/>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52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right w:val="single" w:sz="8" w:color="CFF0FC"/>
            </w:tcBorders>
            <w:shd w:val="clear" w:color="auto" w:fill="CFF0FC"/>
          </w:tcPr>
          <w:p>
            <w:pPr>
              <w:spacing w:after="0"/>
              <w:rPr>
                <w:sz w:val="2"/>
                <w:szCs w:val="2"/>
                <w:color w:val="auto"/>
              </w:rPr>
            </w:pPr>
          </w:p>
        </w:tc>
        <w:tc>
          <w:tcPr>
            <w:tcW w:w="17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8"/>
                <w:szCs w:val="18"/>
                <w:color w:val="auto"/>
              </w:rPr>
            </w:pPr>
          </w:p>
        </w:tc>
        <w:tc>
          <w:tcPr>
            <w:tcW w:w="1022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FF0FC"/>
          </w:tcPr>
          <w:p>
            <w:pPr>
              <w:spacing w:after="0"/>
              <w:rPr>
                <w:sz w:val="21"/>
                <w:szCs w:val="21"/>
                <w:color w:val="auto"/>
              </w:rPr>
            </w:pPr>
          </w:p>
        </w:tc>
        <w:tc>
          <w:tcPr>
            <w:tcW w:w="10220" w:type="dxa"/>
            <w:vAlign w:val="bottom"/>
            <w:gridSpan w:val="16"/>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With Embedded Linkbase Documents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20"/>
                <w:szCs w:val="20"/>
                <w:color w:val="auto"/>
              </w:rPr>
            </w:pPr>
          </w:p>
        </w:tc>
        <w:tc>
          <w:tcPr>
            <w:tcW w:w="10220" w:type="dxa"/>
            <w:vAlign w:val="bottom"/>
            <w:tcBorders>
              <w:bottom w:val="single" w:sz="8" w:color="auto"/>
            </w:tcBorders>
            <w:gridSpan w:val="16"/>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78" w:lineRule="exact"/>
        <w:rPr>
          <w:sz w:val="20"/>
          <w:szCs w:val="20"/>
          <w:color w:val="auto"/>
        </w:rPr>
      </w:pPr>
    </w:p>
    <w:p>
      <w:pPr>
        <w:ind w:left="564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6" w:lineRule="exact"/>
        <w:rPr>
          <w:sz w:val="20"/>
          <w:szCs w:val="20"/>
          <w:color w:val="auto"/>
        </w:rPr>
      </w:pPr>
    </w:p>
    <w:p>
      <w:pPr>
        <w:ind w:left="380" w:right="200"/>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2024 by Kirby Corporation, David W. Grzebinski certifies that:</w:t>
      </w:r>
    </w:p>
    <w:p>
      <w:pPr>
        <w:spacing w:after="0" w:line="55"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 w:hanging="372"/>
        <w:spacing w:after="0" w:line="265"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78"/>
        <w:spacing w:after="0" w:line="312"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300" w:hanging="372"/>
        <w:spacing w:after="0" w:line="28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6" w:lineRule="exact"/>
        <w:rPr>
          <w:sz w:val="20"/>
          <w:szCs w:val="20"/>
          <w:color w:val="auto"/>
        </w:rPr>
      </w:pPr>
    </w:p>
    <w:p>
      <w:pPr>
        <w:ind w:left="380" w:right="300"/>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2024 by Kirby Corporation, Raj Kumar certifies that:</w:t>
      </w:r>
    </w:p>
    <w:p>
      <w:pPr>
        <w:spacing w:after="0" w:line="55"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 w:hanging="372"/>
        <w:spacing w:after="0" w:line="265"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300" w:hanging="372"/>
        <w:spacing w:after="0" w:line="28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06"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June 30, 2024 (the “Report”) by Kirby Corporation (the “Company”), each of the undersigned hereby certifies that:</w:t>
      </w:r>
    </w:p>
    <w:p>
      <w:pPr>
        <w:spacing w:after="0" w:line="55"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1)"/>
      <w:numFmt w:val="decimal"/>
      <w:start w:val="13"/>
    </w:lvl>
    <w:lvl w:ilvl="1">
      <w:lvlJc w:val="left"/>
      <w:lvlText w:val="%2"/>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49" Type="http://schemas.openxmlformats.org/officeDocument/2006/relationships/hyperlink" Target="https://www.sec.gov/Archives/edgar/data/56047/000114036115008395/ex3_1.htm" TargetMode="External"/><Relationship Id="rId350" Type="http://schemas.openxmlformats.org/officeDocument/2006/relationships/hyperlink" Target="https://www.sec.gov/Archives/edgar/data/56047/000095017022020426/kex-ex3_1.htm" TargetMode="External"/><Relationship Id="rId351" Type="http://schemas.openxmlformats.org/officeDocument/2006/relationships/hyperlink" Target="https://www.sec.gov/Archives/edgar/data/0000056047/000095017024049254/kex-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2024-08-09T14:49:30Z</dcterms:created>
  <dcterms:modified xsi:type="dcterms:W3CDTF">2024-08-09T14:49:30Z</dcterms:modified>
</cp:coreProperties>
</file>