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ex-20240930.htm"/>
      <w:bookmarkStart w:id="1" w:name="kskex20240930"/>
      <w:bookmarkEnd w:id="0"/>
      <w:bookmarkEnd w:id="1"/>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6" w:space="1" w:color="000000"/>
        </w:pBdr>
        <w:bidi w:val="0"/>
        <w:jc w:val="left"/>
        <w:rPr/>
      </w:pPr>
      <w:r>
        <w:rPr/>
        <w:t> </w:t>
      </w:r>
    </w:p>
    <w:p>
      <w:pPr>
        <w:pStyle w:val="TextBody"/>
        <w:bidi w:val="0"/>
        <w:jc w:val="left"/>
        <w:rPr/>
      </w:pPr>
      <w:r>
        <w:rPr>
          <w:color w:val="000000"/>
        </w:rPr>
        <w:t xml:space="preserve">☒ </w:t>
      </w:r>
      <w:r>
        <w:rPr>
          <w:rFonts w:ascii="Times New Roman" w:hAnsi="Times New Roman"/>
          <w:color w:val="000000"/>
          <w:sz w:val="20"/>
        </w:rPr>
        <w:t>Quarterly report 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2024</w:t>
      </w:r>
    </w:p>
    <w:p>
      <w:pPr>
        <w:pStyle w:val="TextBody"/>
        <w:bidi w:val="0"/>
        <w:jc w:val="center"/>
        <w:rPr>
          <w:rFonts w:ascii="Times New Roman" w:hAnsi="Times New Roman"/>
          <w:color w:val="000000"/>
          <w:sz w:val="20"/>
        </w:rPr>
      </w:pPr>
      <w:r>
        <w:rPr>
          <w:rFonts w:ascii="Times New Roman" w:hAnsi="Times New Roman"/>
          <w:color w:val="000000"/>
          <w:sz w:val="20"/>
        </w:rPr>
        <w:t>or</w:t>
      </w:r>
    </w:p>
    <w:p>
      <w:pPr>
        <w:pStyle w:val="TextBody"/>
        <w:bidi w:val="0"/>
        <w:jc w:val="left"/>
        <w:rPr/>
      </w:pPr>
      <w:r>
        <w:rPr>
          <w:color w:val="000000"/>
        </w:rPr>
        <w:t xml:space="preserve"> </w:t>
      </w:r>
      <w:r>
        <w:rPr>
          <w:rFonts w:ascii="Times New Roman" w:hAnsi="Times New Roman"/>
          <w:color w:val="000000"/>
          <w:sz w:val="20"/>
        </w:rPr>
        <w:t>Transition report pursuant to Section 13 or 15(d) of the Securities Exchange Act of 1934</w:t>
      </w:r>
    </w:p>
    <w:p>
      <w:pPr>
        <w:pStyle w:val="TextBody"/>
        <w:bidi w:val="0"/>
        <w:jc w:val="center"/>
        <w:rPr>
          <w:rFonts w:ascii="Times New Roman" w:hAnsi="Times New Roman"/>
          <w:color w:val="000000"/>
          <w:sz w:val="20"/>
        </w:rPr>
      </w:pPr>
      <w:r>
        <w:rPr>
          <w:rFonts w:ascii="Times New Roman" w:hAnsi="Times New Roman"/>
          <w:color w:val="000000"/>
          <w:sz w:val="20"/>
        </w:rPr>
        <w:t>For the transition period from to</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1-7615</w:t>
      </w:r>
    </w:p>
    <w:p>
      <w:pPr>
        <w:pStyle w:val="TextBody"/>
        <w:pBdr>
          <w:bottom w:val="single" w:sz="6" w:space="1" w:color="000000"/>
        </w:pBdr>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KIRBY CORPORATION</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6" w:space="1" w:color="000000"/>
        </w:pBdr>
        <w:bidi w:val="0"/>
        <w:jc w:val="left"/>
        <w:rPr/>
      </w:pPr>
      <w:r>
        <w:rPr/>
        <w:t> </w:t>
      </w:r>
    </w:p>
    <w:p>
      <w:pPr>
        <w:pStyle w:val="TextBody"/>
        <w:bidi w:val="0"/>
        <w:jc w:val="left"/>
        <w:rPr/>
      </w:pPr>
      <w:r>
        <w:rPr/>
        <w:t> </w:t>
      </w:r>
    </w:p>
    <w:tbl>
      <w:tblPr>
        <w:tblW w:w="8106" w:type="dxa"/>
        <w:jc w:val="left"/>
        <w:tblInd w:w="0" w:type="dxa"/>
        <w:tblLayout w:type="fixed"/>
        <w:tblCellMar>
          <w:top w:w="28" w:type="dxa"/>
          <w:left w:w="28" w:type="dxa"/>
          <w:bottom w:w="28" w:type="dxa"/>
          <w:right w:w="28" w:type="dxa"/>
        </w:tblCellMar>
      </w:tblPr>
      <w:tblGrid>
        <w:gridCol w:w="4966"/>
        <w:gridCol w:w="109"/>
        <w:gridCol w:w="3031"/>
      </w:tblGrid>
      <w:tr>
        <w:trPr/>
        <w:tc>
          <w:tcPr>
            <w:tcW w:w="4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496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Nevada</w:t>
            </w:r>
          </w:p>
        </w:tc>
        <w:tc>
          <w:tcPr>
            <w:tcW w:w="109" w:type="dxa"/>
            <w:tcBorders/>
            <w:vAlign w:val="center"/>
          </w:tcPr>
          <w:p>
            <w:pPr>
              <w:pStyle w:val="TableContents"/>
              <w:bidi w:val="0"/>
              <w:spacing w:before="0" w:after="283"/>
              <w:jc w:val="left"/>
              <w:rPr>
                <w:sz w:val="4"/>
                <w:szCs w:val="4"/>
              </w:rPr>
            </w:pPr>
            <w:r>
              <w:rPr>
                <w:sz w:val="4"/>
                <w:szCs w:val="4"/>
              </w:rPr>
            </w:r>
          </w:p>
        </w:tc>
        <w:tc>
          <w:tcPr>
            <w:tcW w:w="3031" w:type="dxa"/>
            <w:vMerge w:val="restart"/>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74-1884980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r>
        <w:trPr/>
        <w:tc>
          <w:tcPr>
            <w:tcW w:w="49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3031" w:type="dxa"/>
            <w:vMerge w:val="continue"/>
            <w:tcBorders/>
            <w:vAlign w:val="center"/>
          </w:tcPr>
          <w:p>
            <w:pPr>
              <w:pStyle w:val="Normal"/>
              <w:bidi w:val="0"/>
              <w:jc w:val="left"/>
              <w:rPr/>
            </w:pPr>
            <w:r>
              <w:rPr/>
            </w:r>
          </w:p>
        </w:tc>
      </w:tr>
    </w:tbl>
    <w:p>
      <w:pPr>
        <w:pStyle w:val="TextBody"/>
        <w:bidi w:val="0"/>
        <w:jc w:val="left"/>
        <w:rPr/>
      </w:pPr>
      <w:r>
        <w:rPr/>
        <w:t> </w:t>
      </w:r>
    </w:p>
    <w:tbl>
      <w:tblPr>
        <w:tblW w:w="4446" w:type="dxa"/>
        <w:jc w:val="left"/>
        <w:tblInd w:w="0" w:type="dxa"/>
        <w:tblLayout w:type="fixed"/>
        <w:tblCellMar>
          <w:top w:w="28" w:type="dxa"/>
          <w:left w:w="28" w:type="dxa"/>
          <w:bottom w:w="28" w:type="dxa"/>
          <w:right w:w="28" w:type="dxa"/>
        </w:tblCellMar>
      </w:tblPr>
      <w:tblGrid>
        <w:gridCol w:w="3301"/>
        <w:gridCol w:w="109"/>
        <w:gridCol w:w="1036"/>
      </w:tblGrid>
      <w:tr>
        <w:trPr/>
        <w:tc>
          <w:tcPr>
            <w:tcW w:w="3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55 Waugh Drive, Suite 1000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Houston, TX</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77007</w:t>
            </w:r>
          </w:p>
        </w:tc>
      </w:tr>
      <w:tr>
        <w:trPr/>
        <w:tc>
          <w:tcPr>
            <w:tcW w:w="33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713-435-1000</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 Change</w:t>
      </w:r>
    </w:p>
    <w:p>
      <w:pPr>
        <w:pStyle w:val="TextBody"/>
        <w:bidi w:val="0"/>
        <w:jc w:val="center"/>
        <w:rPr>
          <w:rFonts w:ascii="Times New Roman" w:hAnsi="Times New Roman"/>
          <w:color w:val="000000"/>
          <w:sz w:val="20"/>
        </w:rPr>
      </w:pPr>
      <w:r>
        <w:rPr>
          <w:rFonts w:ascii="Times New Roman" w:hAnsi="Times New Roman"/>
          <w:color w:val="000000"/>
          <w:sz w:val="20"/>
        </w:rPr>
        <w:t>(Former name, former address and former fiscal year, if changed since last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6903" w:type="dxa"/>
        <w:jc w:val="left"/>
        <w:tblInd w:w="0" w:type="dxa"/>
        <w:tblLayout w:type="fixed"/>
        <w:tblCellMar>
          <w:top w:w="28" w:type="dxa"/>
          <w:left w:w="28" w:type="dxa"/>
          <w:bottom w:w="28" w:type="dxa"/>
          <w:right w:w="28" w:type="dxa"/>
        </w:tblCellMar>
      </w:tblPr>
      <w:tblGrid>
        <w:gridCol w:w="1576"/>
        <w:gridCol w:w="1621"/>
        <w:gridCol w:w="3706"/>
      </w:tblGrid>
      <w:tr>
        <w:trPr/>
        <w:tc>
          <w:tcPr>
            <w:tcW w:w="157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5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157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621"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KEX</w:t>
            </w:r>
          </w:p>
        </w:tc>
        <w:tc>
          <w:tcPr>
            <w:tcW w:w="370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and post such files).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vAlign w:val="center"/>
          </w:tcPr>
          <w:p>
            <w:pPr>
              <w:pStyle w:val="TableContents"/>
              <w:bidi w:val="0"/>
              <w:spacing w:before="0" w:after="283"/>
              <w:jc w:val="center"/>
              <w:rPr>
                <w:color w:val="000000"/>
              </w:rPr>
            </w:pPr>
            <w:r>
              <w:rPr>
                <w:color w:val="000000"/>
              </w:rPr>
              <w:t></w:t>
            </w:r>
          </w:p>
        </w:tc>
      </w:tr>
      <w:tr>
        <w:trPr/>
        <w:tc>
          <w:tcPr>
            <w:tcW w:w="19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vAlign w:val="center"/>
          </w:tcPr>
          <w:p>
            <w:pPr>
              <w:pStyle w:val="TableContents"/>
              <w:bidi w:val="0"/>
              <w:spacing w:before="0" w:after="283"/>
              <w:jc w:val="center"/>
              <w:rPr>
                <w:color w:val="000000"/>
              </w:rPr>
            </w:pPr>
            <w:r>
              <w:rPr>
                <w:color w:val="000000"/>
              </w:rPr>
              <w:t></w:t>
            </w:r>
          </w:p>
        </w:tc>
      </w:tr>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November 8, 2024, 57.4 million shares of the Registrant’s $0.10 par value per share common stock were outstanding.</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2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 – FINANCIAL INFORMATION</w:t>
      </w:r>
    </w:p>
    <w:p>
      <w:pPr>
        <w:pStyle w:val="TextBody"/>
        <w:bidi w:val="0"/>
        <w:spacing w:before="0" w:after="80"/>
        <w:jc w:val="left"/>
        <w:rPr>
          <w:rFonts w:ascii="Times New Roman" w:hAnsi="Times New Roman"/>
          <w:b/>
          <w:color w:val="000000"/>
          <w:sz w:val="20"/>
        </w:rPr>
      </w:pPr>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KIRBY CORPORATION AND CONSOLIDATED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BALANCE SHEETS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552"/>
        <w:gridCol w:w="146"/>
        <w:gridCol w:w="211"/>
        <w:gridCol w:w="991"/>
        <w:gridCol w:w="166"/>
        <w:gridCol w:w="146"/>
        <w:gridCol w:w="211"/>
        <w:gridCol w:w="991"/>
        <w:gridCol w:w="791"/>
      </w:tblGrid>
      <w:tr>
        <w:trPr/>
        <w:tc>
          <w:tcPr>
            <w:tcW w:w="6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5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791" w:type="dxa"/>
            <w:tcBorders/>
            <w:shd w:fill="FFFFFF" w:val="clear"/>
            <w:vAlign w:val="center"/>
          </w:tcPr>
          <w:p>
            <w:pPr>
              <w:pStyle w:val="TableContents"/>
              <w:bidi w:val="0"/>
              <w:spacing w:before="0" w:after="283"/>
              <w:jc w:val="center"/>
              <w:rPr/>
            </w:pPr>
            <w:r>
              <w:rPr/>
              <w:t> </w:t>
            </w:r>
          </w:p>
        </w:tc>
      </w:tr>
      <w:tr>
        <w:trPr/>
        <w:tc>
          <w:tcPr>
            <w:tcW w:w="6552"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jc w:val="right"/>
              <w:rPr/>
            </w:pPr>
            <w:r>
              <w:rPr/>
              <w:t> </w:t>
            </w:r>
          </w:p>
        </w:tc>
      </w:tr>
      <w:tr>
        <w:trPr/>
        <w:tc>
          <w:tcPr>
            <w:tcW w:w="65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65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32,577</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5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65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Trade – less allowance for doubtful accounts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526,691</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65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52,025</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5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 –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454,389</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5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69,479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5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1,135,161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65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6,045,965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5,824,038</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5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(1,962,933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Property and equipment –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3,861,105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65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152,216</w:t>
            </w:r>
          </w:p>
        </w:tc>
        <w:tc>
          <w:tcPr>
            <w:tcW w:w="791" w:type="dxa"/>
            <w:tcBorders/>
            <w:shd w:fill="CFF0FC" w:val="clear"/>
            <w:vAlign w:val="center"/>
          </w:tcPr>
          <w:p>
            <w:pPr>
              <w:pStyle w:val="TableContents"/>
              <w:bidi w:val="0"/>
              <w:spacing w:before="0" w:after="283"/>
              <w:jc w:val="left"/>
              <w:rPr/>
            </w:pPr>
            <w:r>
              <w:rPr/>
              <w:t> </w:t>
            </w:r>
          </w:p>
        </w:tc>
      </w:tr>
      <w:tr>
        <w:trPr/>
        <w:tc>
          <w:tcPr>
            <w:tcW w:w="65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438,748</w:t>
            </w:r>
          </w:p>
        </w:tc>
        <w:tc>
          <w:tcPr>
            <w:tcW w:w="791" w:type="dxa"/>
            <w:tcBorders/>
            <w:shd w:fill="FFFFFF" w:val="clear"/>
            <w:vAlign w:val="center"/>
          </w:tcPr>
          <w:p>
            <w:pPr>
              <w:pStyle w:val="TableContents"/>
              <w:bidi w:val="0"/>
              <w:spacing w:before="0" w:after="283"/>
              <w:jc w:val="left"/>
              <w:rPr/>
            </w:pPr>
            <w:r>
              <w:rPr/>
              <w:t> </w:t>
            </w:r>
          </w:p>
        </w:tc>
      </w:tr>
      <w:tr>
        <w:trPr/>
        <w:tc>
          <w:tcPr>
            <w:tcW w:w="65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42,927</w:t>
            </w:r>
          </w:p>
        </w:tc>
        <w:tc>
          <w:tcPr>
            <w:tcW w:w="791" w:type="dxa"/>
            <w:tcBorders/>
            <w:shd w:fill="CFF0FC" w:val="clear"/>
            <w:vAlign w:val="center"/>
          </w:tcPr>
          <w:p>
            <w:pPr>
              <w:pStyle w:val="TableContents"/>
              <w:bidi w:val="0"/>
              <w:spacing w:before="0" w:after="283"/>
              <w:jc w:val="left"/>
              <w:rPr/>
            </w:pPr>
            <w:r>
              <w:rPr/>
              <w:t> </w:t>
            </w:r>
          </w:p>
        </w:tc>
      </w:tr>
      <w:tr>
        <w:trPr/>
        <w:tc>
          <w:tcPr>
            <w:tcW w:w="65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92,040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5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5,870,723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5,722,197</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6552"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jc w:val="right"/>
              <w:rPr/>
            </w:pPr>
            <w:r>
              <w:rPr/>
              <w:t> </w:t>
            </w:r>
          </w:p>
        </w:tc>
      </w:tr>
      <w:tr>
        <w:trPr/>
        <w:tc>
          <w:tcPr>
            <w:tcW w:w="65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65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Bank notes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8,068</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5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5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269,378</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5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228,946</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5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33,340</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5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134,577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5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675,795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65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 – less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970,419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1,008,527</w:t>
            </w:r>
          </w:p>
        </w:tc>
        <w:tc>
          <w:tcPr>
            <w:tcW w:w="791" w:type="dxa"/>
            <w:tcBorders/>
            <w:shd w:fill="CFF0FC" w:val="clear"/>
            <w:vAlign w:val="center"/>
          </w:tcPr>
          <w:p>
            <w:pPr>
              <w:pStyle w:val="TableContents"/>
              <w:bidi w:val="0"/>
              <w:spacing w:before="0" w:after="283"/>
              <w:jc w:val="left"/>
              <w:rPr/>
            </w:pPr>
            <w:r>
              <w:rPr/>
              <w:t> </w:t>
            </w:r>
          </w:p>
        </w:tc>
      </w:tr>
      <w:tr>
        <w:trPr/>
        <w:tc>
          <w:tcPr>
            <w:tcW w:w="65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735,290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696,557</w:t>
            </w:r>
          </w:p>
        </w:tc>
        <w:tc>
          <w:tcPr>
            <w:tcW w:w="791" w:type="dxa"/>
            <w:tcBorders/>
            <w:shd w:fill="FFFFFF" w:val="clear"/>
            <w:vAlign w:val="center"/>
          </w:tcPr>
          <w:p>
            <w:pPr>
              <w:pStyle w:val="TableContents"/>
              <w:bidi w:val="0"/>
              <w:spacing w:before="0" w:after="283"/>
              <w:jc w:val="left"/>
              <w:rPr/>
            </w:pPr>
            <w:r>
              <w:rPr/>
              <w:t> </w:t>
            </w:r>
          </w:p>
        </w:tc>
      </w:tr>
      <w:tr>
        <w:trPr/>
        <w:tc>
          <w:tcPr>
            <w:tcW w:w="65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 less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138,811</w:t>
            </w:r>
          </w:p>
        </w:tc>
        <w:tc>
          <w:tcPr>
            <w:tcW w:w="791" w:type="dxa"/>
            <w:tcBorders/>
            <w:shd w:fill="CFF0FC" w:val="clear"/>
            <w:vAlign w:val="center"/>
          </w:tcPr>
          <w:p>
            <w:pPr>
              <w:pStyle w:val="TableContents"/>
              <w:bidi w:val="0"/>
              <w:spacing w:before="0" w:after="283"/>
              <w:jc w:val="left"/>
              <w:rPr/>
            </w:pPr>
            <w:r>
              <w:rPr/>
              <w:t> </w:t>
            </w:r>
          </w:p>
        </w:tc>
      </w:tr>
      <w:tr>
        <w:trPr/>
        <w:tc>
          <w:tcPr>
            <w:tcW w:w="65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5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1,859,725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6552" w:type="dxa"/>
            <w:tcBorders/>
            <w:shd w:fill="FFFFFF" w:val="clear"/>
            <w:vAlign w:val="center"/>
          </w:tcPr>
          <w:p>
            <w:pPr>
              <w:pStyle w:val="TableContents"/>
              <w:bidi w:val="0"/>
              <w:spacing w:before="0" w:after="283"/>
              <w:ind w:left="480" w:right="0" w:firstLine="48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65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Contingencies and commitments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791" w:type="dxa"/>
            <w:tcBorders/>
            <w:shd w:fill="CFF0FC" w:val="clear"/>
            <w:vAlign w:val="center"/>
          </w:tcPr>
          <w:p>
            <w:pPr>
              <w:pStyle w:val="TableContents"/>
              <w:bidi w:val="0"/>
              <w:spacing w:before="0" w:after="283"/>
              <w:jc w:val="left"/>
              <w:rPr/>
            </w:pPr>
            <w:r>
              <w:rPr/>
              <w:t> </w:t>
            </w:r>
          </w:p>
        </w:tc>
      </w:tr>
      <w:tr>
        <w:trPr/>
        <w:tc>
          <w:tcPr>
            <w:tcW w:w="65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65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65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Kirby stockholders’ equity:</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65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Common stock, $0.10 par value per share. Authorized 120 million shares, issued 65.5 million shares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65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863,963</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65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Accumulated other comprehensive income –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35,006</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65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2,935,555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2,691,665</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65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Treasury stock – at cost, 7.9 million shares at September 30, 2024 and 6.8 million at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(411,750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Kirby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3,302,326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3,185,431</w:t>
            </w:r>
          </w:p>
        </w:tc>
        <w:tc>
          <w:tcPr>
            <w:tcW w:w="791" w:type="dxa"/>
            <w:tcBorders/>
            <w:shd w:fill="FFFFFF" w:val="clear"/>
            <w:vAlign w:val="center"/>
          </w:tcPr>
          <w:p>
            <w:pPr>
              <w:pStyle w:val="TableContents"/>
              <w:bidi w:val="0"/>
              <w:spacing w:before="0" w:after="283"/>
              <w:jc w:val="left"/>
              <w:rPr/>
            </w:pPr>
            <w:r>
              <w:rPr/>
              <w:t> </w:t>
            </w:r>
          </w:p>
        </w:tc>
      </w:tr>
      <w:tr>
        <w:trPr/>
        <w:tc>
          <w:tcPr>
            <w:tcW w:w="65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3,303,610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3,186,677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5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5,870,723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5,722,197</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KIRBY CORPORATION AND CONSOLIDATED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EARNINGS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02"/>
        <w:gridCol w:w="146"/>
        <w:gridCol w:w="232"/>
        <w:gridCol w:w="863"/>
        <w:gridCol w:w="183"/>
        <w:gridCol w:w="161"/>
        <w:gridCol w:w="232"/>
        <w:gridCol w:w="863"/>
        <w:gridCol w:w="166"/>
        <w:gridCol w:w="146"/>
        <w:gridCol w:w="211"/>
        <w:gridCol w:w="931"/>
        <w:gridCol w:w="166"/>
        <w:gridCol w:w="146"/>
        <w:gridCol w:w="211"/>
        <w:gridCol w:w="931"/>
        <w:gridCol w:w="615"/>
      </w:tblGrid>
      <w:tr>
        <w:trPr/>
        <w:tc>
          <w:tcPr>
            <w:tcW w:w="4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0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4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 except per share amounts)</w:t>
            </w:r>
          </w:p>
        </w:tc>
        <w:tc>
          <w:tcPr>
            <w:tcW w:w="615" w:type="dxa"/>
            <w:tcBorders/>
            <w:shd w:fill="FFFFFF" w:val="clear"/>
            <w:vAlign w:val="center"/>
          </w:tcPr>
          <w:p>
            <w:pPr>
              <w:pStyle w:val="TableContents"/>
              <w:bidi w:val="0"/>
              <w:spacing w:before="0" w:after="283"/>
              <w:jc w:val="center"/>
              <w:rPr/>
            </w:pPr>
            <w:r>
              <w:rPr/>
              <w:t> </w:t>
            </w:r>
          </w:p>
        </w:tc>
      </w:tr>
      <w:tr>
        <w:trPr/>
        <w:tc>
          <w:tcPr>
            <w:tcW w:w="40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right"/>
              <w:rPr/>
            </w:pPr>
            <w:r>
              <w:rPr/>
              <w:t> </w:t>
            </w:r>
          </w:p>
        </w:tc>
        <w:tc>
          <w:tcPr>
            <w:tcW w:w="161"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ind w:left="0" w:right="0" w:firstLine="200"/>
              <w:jc w:val="right"/>
              <w:rPr/>
            </w:pPr>
            <w:r>
              <w:rPr/>
              <w:t> </w:t>
            </w:r>
          </w:p>
        </w:tc>
      </w:tr>
      <w:tr>
        <w:trPr/>
        <w:tc>
          <w:tcPr>
            <w:tcW w:w="400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Marine transportation</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486,054</w:t>
            </w:r>
          </w:p>
        </w:tc>
        <w:tc>
          <w:tcPr>
            <w:tcW w:w="183"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1,446,274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1,269,342</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400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Distribution and services</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345,095</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1,023,122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0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831,149</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764,772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2,292,464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02" w:type="dxa"/>
            <w:tcBorders/>
            <w:shd w:fill="CFF0FC" w:val="cle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right"/>
              <w:rPr/>
            </w:pPr>
            <w:r>
              <w:rPr/>
              <w:t> </w:t>
            </w:r>
          </w:p>
        </w:tc>
        <w:tc>
          <w:tcPr>
            <w:tcW w:w="161"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jc w:val="right"/>
              <w:rPr/>
            </w:pPr>
            <w:r>
              <w:rPr/>
              <w:t> </w:t>
            </w:r>
          </w:p>
        </w:tc>
      </w:tr>
      <w:tr>
        <w:trPr/>
        <w:tc>
          <w:tcPr>
            <w:tcW w:w="40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ind w:left="0" w:right="0" w:firstLine="200"/>
              <w:jc w:val="right"/>
              <w:rPr/>
            </w:pPr>
            <w:r>
              <w:rPr/>
              <w:t> </w:t>
            </w:r>
          </w:p>
        </w:tc>
      </w:tr>
      <w:tr>
        <w:trPr/>
        <w:tc>
          <w:tcPr>
            <w:tcW w:w="400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Costs of sales and operating expenses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552,091</w:t>
            </w:r>
          </w:p>
        </w:tc>
        <w:tc>
          <w:tcPr>
            <w:tcW w:w="183"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1,657,004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1,618,690</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400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84,119</w:t>
            </w:r>
          </w:p>
        </w:tc>
        <w:tc>
          <w:tcPr>
            <w:tcW w:w="183"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250,870</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400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Taxes, other than on income</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8,973</w:t>
            </w:r>
          </w:p>
        </w:tc>
        <w:tc>
          <w:tcPr>
            <w:tcW w:w="183"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28,610</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400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60,653</w:t>
            </w:r>
          </w:p>
        </w:tc>
        <w:tc>
          <w:tcPr>
            <w:tcW w:w="183"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156,251</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400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on disposition of assets</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0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704,219</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2,050,191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right"/>
              <w:rPr/>
            </w:pPr>
            <w:r>
              <w:rPr/>
              <w:t> </w:t>
            </w:r>
          </w:p>
        </w:tc>
        <w:tc>
          <w:tcPr>
            <w:tcW w:w="161"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ind w:left="0" w:right="0" w:firstLine="400"/>
              <w:jc w:val="right"/>
              <w:rPr/>
            </w:pPr>
            <w:r>
              <w:rPr/>
              <w:t> </w:t>
            </w:r>
          </w:p>
        </w:tc>
      </w:tr>
      <w:tr>
        <w:trPr/>
        <w:tc>
          <w:tcPr>
            <w:tcW w:w="400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126,930</w:t>
            </w:r>
          </w:p>
        </w:tc>
        <w:tc>
          <w:tcPr>
            <w:tcW w:w="183"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242,273</w:t>
            </w:r>
          </w:p>
        </w:tc>
        <w:tc>
          <w:tcPr>
            <w:tcW w:w="615" w:type="dxa"/>
            <w:tcBorders/>
            <w:shd w:fill="FFFFFF" w:val="clear"/>
            <w:vAlign w:val="center"/>
          </w:tcPr>
          <w:p>
            <w:pPr>
              <w:pStyle w:val="TableContents"/>
              <w:bidi w:val="0"/>
              <w:spacing w:before="0" w:after="283"/>
              <w:jc w:val="left"/>
              <w:rPr/>
            </w:pPr>
            <w:r>
              <w:rPr/>
              <w:t> </w:t>
            </w:r>
          </w:p>
        </w:tc>
      </w:tr>
      <w:tr>
        <w:trPr/>
        <w:tc>
          <w:tcPr>
            <w:tcW w:w="40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w:t>
            </w:r>
          </w:p>
        </w:tc>
        <w:tc>
          <w:tcPr>
            <w:tcW w:w="183"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9,296</w:t>
            </w:r>
          </w:p>
        </w:tc>
        <w:tc>
          <w:tcPr>
            <w:tcW w:w="615" w:type="dxa"/>
            <w:tcBorders/>
            <w:shd w:fill="CFF0FC" w:val="clear"/>
            <w:vAlign w:val="center"/>
          </w:tcPr>
          <w:p>
            <w:pPr>
              <w:pStyle w:val="TableContents"/>
              <w:bidi w:val="0"/>
              <w:spacing w:before="0" w:after="283"/>
              <w:jc w:val="left"/>
              <w:rPr/>
            </w:pPr>
            <w:r>
              <w:rPr/>
              <w:t> </w:t>
            </w:r>
          </w:p>
        </w:tc>
      </w:tr>
      <w:tr>
        <w:trPr/>
        <w:tc>
          <w:tcPr>
            <w:tcW w:w="40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(12,498</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right"/>
              <w:rPr/>
            </w:pPr>
            <w:r>
              <w:rPr/>
              <w:t> </w:t>
            </w:r>
          </w:p>
        </w:tc>
        <w:tc>
          <w:tcPr>
            <w:tcW w:w="161"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ind w:left="0" w:right="0" w:firstLine="400"/>
              <w:jc w:val="right"/>
              <w:rPr/>
            </w:pPr>
            <w:r>
              <w:rPr/>
              <w:t> </w:t>
            </w:r>
          </w:p>
        </w:tc>
      </w:tr>
      <w:tr>
        <w:trPr/>
        <w:tc>
          <w:tcPr>
            <w:tcW w:w="400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Earnings before taxes on income</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117,381</w:t>
            </w:r>
          </w:p>
        </w:tc>
        <w:tc>
          <w:tcPr>
            <w:tcW w:w="183"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212,676</w:t>
            </w:r>
          </w:p>
        </w:tc>
        <w:tc>
          <w:tcPr>
            <w:tcW w:w="615" w:type="dxa"/>
            <w:tcBorders/>
            <w:shd w:fill="FFFFFF" w:val="clear"/>
            <w:vAlign w:val="center"/>
          </w:tcPr>
          <w:p>
            <w:pPr>
              <w:pStyle w:val="TableContents"/>
              <w:bidi w:val="0"/>
              <w:spacing w:before="0" w:after="283"/>
              <w:jc w:val="left"/>
              <w:rPr/>
            </w:pPr>
            <w:r>
              <w:rPr/>
              <w:t> </w:t>
            </w:r>
          </w:p>
        </w:tc>
      </w:tr>
      <w:tr>
        <w:trPr/>
        <w:tc>
          <w:tcPr>
            <w:tcW w:w="40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taxes on income</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(27,350</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(51,733</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ind w:left="0" w:right="0" w:firstLine="400"/>
              <w:jc w:val="right"/>
              <w:rPr/>
            </w:pPr>
            <w:r>
              <w:rPr/>
              <w:t> </w:t>
            </w:r>
          </w:p>
        </w:tc>
      </w:tr>
      <w:tr>
        <w:trPr/>
        <w:tc>
          <w:tcPr>
            <w:tcW w:w="400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earnings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90,031</w:t>
            </w:r>
          </w:p>
        </w:tc>
        <w:tc>
          <w:tcPr>
            <w:tcW w:w="183"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160,943</w:t>
            </w:r>
          </w:p>
        </w:tc>
        <w:tc>
          <w:tcPr>
            <w:tcW w:w="615" w:type="dxa"/>
            <w:tcBorders/>
            <w:shd w:fill="CFF0FC" w:val="clear"/>
            <w:vAlign w:val="center"/>
          </w:tcPr>
          <w:p>
            <w:pPr>
              <w:pStyle w:val="TableContents"/>
              <w:bidi w:val="0"/>
              <w:spacing w:before="0" w:after="283"/>
              <w:jc w:val="left"/>
              <w:rPr/>
            </w:pPr>
            <w:r>
              <w:rPr/>
              <w:t> </w:t>
            </w:r>
          </w:p>
        </w:tc>
      </w:tr>
      <w:tr>
        <w:trPr/>
        <w:tc>
          <w:tcPr>
            <w:tcW w:w="40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loss attributable to noncontrolling interests</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right"/>
              <w:rPr/>
            </w:pPr>
            <w:r>
              <w:rPr/>
              <w:t> </w:t>
            </w:r>
          </w:p>
        </w:tc>
        <w:tc>
          <w:tcPr>
            <w:tcW w:w="161"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ind w:left="0" w:right="0" w:firstLine="400"/>
              <w:jc w:val="right"/>
              <w:rPr/>
            </w:pPr>
            <w:r>
              <w:rPr/>
              <w:t> </w:t>
            </w:r>
          </w:p>
        </w:tc>
      </w:tr>
      <w:tr>
        <w:trPr/>
        <w:tc>
          <w:tcPr>
            <w:tcW w:w="400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earnings attributable to Kirby</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89,968</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161,029</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right"/>
              <w:rPr/>
            </w:pPr>
            <w:r>
              <w:rPr/>
              <w:t> </w:t>
            </w:r>
          </w:p>
        </w:tc>
        <w:tc>
          <w:tcPr>
            <w:tcW w:w="161"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jc w:val="right"/>
              <w:rPr/>
            </w:pPr>
            <w:r>
              <w:rPr/>
              <w:t> </w:t>
            </w:r>
          </w:p>
        </w:tc>
      </w:tr>
      <w:tr>
        <w:trPr/>
        <w:tc>
          <w:tcPr>
            <w:tcW w:w="40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per share attributable to Kirby common stockholders:</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ind w:left="0" w:right="0" w:firstLine="200"/>
              <w:jc w:val="right"/>
              <w:rPr/>
            </w:pPr>
            <w:r>
              <w:rPr/>
              <w:t> </w:t>
            </w:r>
          </w:p>
        </w:tc>
      </w:tr>
      <w:tr>
        <w:trPr/>
        <w:tc>
          <w:tcPr>
            <w:tcW w:w="400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0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KIRBY CORPORATION AND CONSOLIDATED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85"/>
        <w:gridCol w:w="855"/>
        <w:gridCol w:w="256"/>
        <w:gridCol w:w="823"/>
        <w:gridCol w:w="201"/>
        <w:gridCol w:w="177"/>
        <w:gridCol w:w="256"/>
        <w:gridCol w:w="823"/>
        <w:gridCol w:w="166"/>
        <w:gridCol w:w="146"/>
        <w:gridCol w:w="231"/>
        <w:gridCol w:w="858"/>
        <w:gridCol w:w="181"/>
        <w:gridCol w:w="160"/>
        <w:gridCol w:w="231"/>
        <w:gridCol w:w="858"/>
        <w:gridCol w:w="598"/>
      </w:tblGrid>
      <w:tr>
        <w:trPr/>
        <w:tc>
          <w:tcPr>
            <w:tcW w:w="33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385" w:type="dxa"/>
            <w:tcBorders/>
            <w:shd w:fill="FFFFFF" w:val="clear"/>
            <w:vAlign w:val="center"/>
          </w:tcPr>
          <w:p>
            <w:pPr>
              <w:pStyle w:val="TableContents"/>
              <w:bidi w:val="0"/>
              <w:spacing w:before="0" w:after="283"/>
              <w:jc w:val="center"/>
              <w:rPr/>
            </w:pPr>
            <w:r>
              <w:rPr/>
              <w:t> </w:t>
            </w:r>
          </w:p>
        </w:tc>
        <w:tc>
          <w:tcPr>
            <w:tcW w:w="855" w:type="dxa"/>
            <w:tcBorders/>
            <w:shd w:fill="FFFFFF" w:val="cle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5" w:type="dxa"/>
            <w:tcBorders/>
            <w:shd w:fill="FFFFFF" w:val="clear"/>
            <w:vAlign w:val="center"/>
          </w:tcPr>
          <w:p>
            <w:pPr>
              <w:pStyle w:val="TableContents"/>
              <w:bidi w:val="0"/>
              <w:spacing w:before="0" w:after="283"/>
              <w:jc w:val="center"/>
              <w:rPr/>
            </w:pPr>
            <w:r>
              <w:rPr/>
              <w:t> </w:t>
            </w:r>
          </w:p>
        </w:tc>
        <w:tc>
          <w:tcPr>
            <w:tcW w:w="855" w:type="dxa"/>
            <w:tcBorders/>
            <w:shd w:fill="FFFFFF" w:val="clear"/>
            <w:vAlign w:val="center"/>
          </w:tcPr>
          <w:p>
            <w:pPr>
              <w:pStyle w:val="TableContents"/>
              <w:bidi w:val="0"/>
              <w:spacing w:before="0" w:after="283"/>
              <w:jc w:val="center"/>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5" w:type="dxa"/>
            <w:tcBorders/>
            <w:shd w:fill="FFFFFF" w:val="clear"/>
            <w:vAlign w:val="center"/>
          </w:tcPr>
          <w:p>
            <w:pPr>
              <w:pStyle w:val="TableContents"/>
              <w:bidi w:val="0"/>
              <w:spacing w:before="0" w:after="283"/>
              <w:jc w:val="center"/>
              <w:rPr/>
            </w:pPr>
            <w:r>
              <w:rPr/>
              <w:t> </w:t>
            </w:r>
          </w:p>
        </w:tc>
        <w:tc>
          <w:tcPr>
            <w:tcW w:w="855" w:type="dxa"/>
            <w:tcBorders/>
            <w:shd w:fill="FFFFFF" w:val="clear"/>
            <w:vAlign w:val="center"/>
          </w:tcPr>
          <w:p>
            <w:pPr>
              <w:pStyle w:val="TableContents"/>
              <w:bidi w:val="0"/>
              <w:spacing w:before="0" w:after="283"/>
              <w:jc w:val="center"/>
              <w:rPr/>
            </w:pPr>
            <w:r>
              <w:rPr/>
              <w:t> </w:t>
            </w:r>
          </w:p>
        </w:tc>
        <w:tc>
          <w:tcPr>
            <w:tcW w:w="5367"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598" w:type="dxa"/>
            <w:tcBorders/>
            <w:shd w:fill="FFFFFF" w:val="clear"/>
            <w:vAlign w:val="center"/>
          </w:tcPr>
          <w:p>
            <w:pPr>
              <w:pStyle w:val="TableContents"/>
              <w:bidi w:val="0"/>
              <w:spacing w:before="0" w:after="283"/>
              <w:jc w:val="center"/>
              <w:rPr/>
            </w:pPr>
            <w:r>
              <w:rPr/>
              <w:t> </w:t>
            </w:r>
          </w:p>
        </w:tc>
      </w:tr>
      <w:tr>
        <w:trPr/>
        <w:tc>
          <w:tcPr>
            <w:tcW w:w="4240" w:type="dxa"/>
            <w:gridSpan w:val="2"/>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90,031</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243,928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160,943</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0" w:type="dxa"/>
            <w:gridSpan w:val="2"/>
            <w:tcBorders/>
            <w:shd w:fill="FFFFFF" w:val="clear"/>
            <w:vAlign w:val="center"/>
          </w:tcPr>
          <w:p>
            <w:pPr>
              <w:pStyle w:val="TableContents"/>
              <w:bidi w:val="0"/>
              <w:spacing w:before="0" w:after="283"/>
              <w:jc w:val="left"/>
              <w:rPr/>
            </w:pPr>
            <w:r>
              <w:rPr/>
              <w:t> </w:t>
            </w:r>
          </w:p>
        </w:tc>
        <w:tc>
          <w:tcPr>
            <w:tcW w:w="1079" w:type="dxa"/>
            <w:gridSpan w:val="2"/>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107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9" w:type="dxa"/>
            <w:gridSpan w:val="2"/>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1089" w:type="dxa"/>
            <w:gridSpan w:val="2"/>
            <w:tcBorders/>
            <w:shd w:fill="FFFFFF" w:val="clear"/>
            <w:vAlign w:val="center"/>
          </w:tcPr>
          <w:p>
            <w:pPr>
              <w:pStyle w:val="TableContents"/>
              <w:bidi w:val="0"/>
              <w:spacing w:before="0" w:after="283"/>
              <w:jc w:val="right"/>
              <w:rPr/>
            </w:pPr>
            <w:r>
              <w:rPr/>
              <w:t> </w:t>
            </w:r>
          </w:p>
        </w:tc>
        <w:tc>
          <w:tcPr>
            <w:tcW w:w="598" w:type="dxa"/>
            <w:tcBorders/>
            <w:shd w:fill="FFFFFF" w:val="clear"/>
            <w:vAlign w:val="center"/>
          </w:tcPr>
          <w:p>
            <w:pPr>
              <w:pStyle w:val="TableContents"/>
              <w:bidi w:val="0"/>
              <w:spacing w:before="0" w:after="283"/>
              <w:jc w:val="right"/>
              <w:rPr/>
            </w:pPr>
            <w:r>
              <w:rPr/>
              <w:t> </w:t>
            </w:r>
          </w:p>
        </w:tc>
      </w:tr>
      <w:tr>
        <w:trPr/>
        <w:tc>
          <w:tcPr>
            <w:tcW w:w="4240" w:type="dxa"/>
            <w:gridSpan w:val="2"/>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taxes:</w:t>
            </w:r>
          </w:p>
        </w:tc>
        <w:tc>
          <w:tcPr>
            <w:tcW w:w="1079" w:type="dxa"/>
            <w:gridSpan w:val="2"/>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107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9" w:type="dxa"/>
            <w:gridSpan w:val="2"/>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left"/>
              <w:rPr/>
            </w:pPr>
            <w:r>
              <w:rPr/>
              <w:t> </w:t>
            </w:r>
          </w:p>
        </w:tc>
        <w:tc>
          <w:tcPr>
            <w:tcW w:w="1089" w:type="dxa"/>
            <w:gridSpan w:val="2"/>
            <w:tcBorders/>
            <w:shd w:fill="CFF0FC" w:val="clear"/>
            <w:vAlign w:val="center"/>
          </w:tcPr>
          <w:p>
            <w:pPr>
              <w:pStyle w:val="TableContents"/>
              <w:bidi w:val="0"/>
              <w:spacing w:before="0" w:after="283"/>
              <w:jc w:val="right"/>
              <w:rPr/>
            </w:pPr>
            <w:r>
              <w:rPr/>
              <w:t> </w:t>
            </w:r>
          </w:p>
        </w:tc>
        <w:tc>
          <w:tcPr>
            <w:tcW w:w="598" w:type="dxa"/>
            <w:tcBorders/>
            <w:shd w:fill="CFF0FC" w:val="clear"/>
            <w:vAlign w:val="center"/>
          </w:tcPr>
          <w:p>
            <w:pPr>
              <w:pStyle w:val="TableContents"/>
              <w:bidi w:val="0"/>
              <w:spacing w:before="0" w:after="283"/>
              <w:ind w:left="0" w:right="0" w:firstLine="200"/>
              <w:jc w:val="right"/>
              <w:rPr/>
            </w:pPr>
            <w:r>
              <w:rPr/>
              <w:t> </w:t>
            </w:r>
          </w:p>
        </w:tc>
      </w:tr>
      <w:tr>
        <w:trPr/>
        <w:tc>
          <w:tcPr>
            <w:tcW w:w="4240" w:type="dxa"/>
            <w:gridSpan w:val="2"/>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Pension and postretirement benefits</w:t>
            </w:r>
          </w:p>
        </w:tc>
        <w:tc>
          <w:tcPr>
            <w:tcW w:w="25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81"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598" w:type="dxa"/>
            <w:tcBorders/>
            <w:shd w:fill="FFFFFF" w:val="clear"/>
            <w:vAlign w:val="center"/>
          </w:tcPr>
          <w:p>
            <w:pPr>
              <w:pStyle w:val="TableContents"/>
              <w:bidi w:val="0"/>
              <w:spacing w:before="0" w:after="283"/>
              <w:ind w:left="0" w:right="0" w:firstLine="200"/>
              <w:jc w:val="left"/>
              <w:rPr/>
            </w:pPr>
            <w:r>
              <w:rPr/>
              <w:t> </w:t>
            </w:r>
          </w:p>
        </w:tc>
      </w:tr>
      <w:tr>
        <w:trPr/>
        <w:tc>
          <w:tcPr>
            <w:tcW w:w="4240" w:type="dxa"/>
            <w:gridSpan w:val="2"/>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40" w:type="dxa"/>
            <w:gridSpan w:val="2"/>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comprehensive income (loss), net of taxes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85" w:type="dxa"/>
            <w:tcBorders/>
            <w:shd w:fill="CFF0FC" w:val="clear"/>
            <w:vAlign w:val="center"/>
          </w:tcPr>
          <w:p>
            <w:pPr>
              <w:pStyle w:val="TableContents"/>
              <w:bidi w:val="0"/>
              <w:spacing w:before="0" w:after="283"/>
              <w:ind w:left="400" w:right="0" w:firstLine="400"/>
              <w:jc w:val="left"/>
              <w:rPr/>
            </w:pPr>
            <w:r>
              <w:rPr/>
              <w:t> </w:t>
            </w:r>
          </w:p>
        </w:tc>
        <w:tc>
          <w:tcPr>
            <w:tcW w:w="855" w:type="dxa"/>
            <w:tcBorders/>
            <w:shd w:fill="CFF0FC" w:val="clear"/>
            <w:vAlign w:val="center"/>
          </w:tcPr>
          <w:p>
            <w:pPr>
              <w:pStyle w:val="TableContents"/>
              <w:bidi w:val="0"/>
              <w:spacing w:before="0" w:after="283"/>
              <w:jc w:val="left"/>
              <w:rPr/>
            </w:pPr>
            <w:r>
              <w:rPr/>
              <w:t> </w:t>
            </w:r>
          </w:p>
        </w:tc>
        <w:tc>
          <w:tcPr>
            <w:tcW w:w="1079" w:type="dxa"/>
            <w:gridSpan w:val="2"/>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107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9" w:type="dxa"/>
            <w:gridSpan w:val="2"/>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left"/>
              <w:rPr/>
            </w:pPr>
            <w:r>
              <w:rPr/>
              <w:t> </w:t>
            </w:r>
          </w:p>
        </w:tc>
        <w:tc>
          <w:tcPr>
            <w:tcW w:w="1089" w:type="dxa"/>
            <w:gridSpan w:val="2"/>
            <w:tcBorders/>
            <w:shd w:fill="CFF0FC" w:val="clear"/>
            <w:vAlign w:val="center"/>
          </w:tcPr>
          <w:p>
            <w:pPr>
              <w:pStyle w:val="TableContents"/>
              <w:bidi w:val="0"/>
              <w:spacing w:before="0" w:after="283"/>
              <w:jc w:val="right"/>
              <w:rPr/>
            </w:pPr>
            <w:r>
              <w:rPr/>
              <w:t> </w:t>
            </w:r>
          </w:p>
        </w:tc>
        <w:tc>
          <w:tcPr>
            <w:tcW w:w="598" w:type="dxa"/>
            <w:tcBorders/>
            <w:shd w:fill="CFF0FC" w:val="clear"/>
            <w:vAlign w:val="center"/>
          </w:tcPr>
          <w:p>
            <w:pPr>
              <w:pStyle w:val="TableContents"/>
              <w:bidi w:val="0"/>
              <w:spacing w:before="0" w:after="283"/>
              <w:jc w:val="right"/>
              <w:rPr/>
            </w:pPr>
            <w:r>
              <w:rPr/>
              <w:t> </w:t>
            </w:r>
          </w:p>
        </w:tc>
      </w:tr>
      <w:tr>
        <w:trPr/>
        <w:tc>
          <w:tcPr>
            <w:tcW w:w="4240" w:type="dxa"/>
            <w:gridSpan w:val="2"/>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net of taxes</w:t>
            </w:r>
          </w:p>
        </w:tc>
        <w:tc>
          <w:tcPr>
            <w:tcW w:w="25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89,525</w:t>
            </w:r>
          </w:p>
        </w:tc>
        <w:tc>
          <w:tcPr>
            <w:tcW w:w="201"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243,540</w:t>
            </w:r>
          </w:p>
        </w:tc>
        <w:tc>
          <w:tcPr>
            <w:tcW w:w="181"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163,168</w:t>
            </w:r>
          </w:p>
        </w:tc>
        <w:tc>
          <w:tcPr>
            <w:tcW w:w="598" w:type="dxa"/>
            <w:tcBorders/>
            <w:shd w:fill="FFFFFF" w:val="clear"/>
            <w:vAlign w:val="center"/>
          </w:tcPr>
          <w:p>
            <w:pPr>
              <w:pStyle w:val="TableContents"/>
              <w:bidi w:val="0"/>
              <w:spacing w:before="0" w:after="283"/>
              <w:ind w:left="0" w:right="0" w:firstLine="200"/>
              <w:jc w:val="left"/>
              <w:rPr/>
            </w:pPr>
            <w:r>
              <w:rPr/>
              <w:t> </w:t>
            </w:r>
          </w:p>
        </w:tc>
      </w:tr>
      <w:tr>
        <w:trPr/>
        <w:tc>
          <w:tcPr>
            <w:tcW w:w="4240" w:type="dxa"/>
            <w:gridSpan w:val="2"/>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(earnings) loss attributable to noncontrolling interests</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0" w:type="dxa"/>
            <w:gridSpan w:val="2"/>
            <w:tcBorders/>
            <w:shd w:fill="FFFFFF" w:val="clear"/>
            <w:vAlign w:val="center"/>
          </w:tcPr>
          <w:p>
            <w:pPr>
              <w:pStyle w:val="TableContents"/>
              <w:bidi w:val="0"/>
              <w:spacing w:before="0" w:after="283"/>
              <w:jc w:val="left"/>
              <w:rPr/>
            </w:pPr>
            <w:r>
              <w:rPr/>
              <w:t> </w:t>
            </w:r>
          </w:p>
        </w:tc>
        <w:tc>
          <w:tcPr>
            <w:tcW w:w="1079" w:type="dxa"/>
            <w:gridSpan w:val="2"/>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107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9" w:type="dxa"/>
            <w:gridSpan w:val="2"/>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1089" w:type="dxa"/>
            <w:gridSpan w:val="2"/>
            <w:tcBorders/>
            <w:shd w:fill="FFFFFF" w:val="clear"/>
            <w:vAlign w:val="center"/>
          </w:tcPr>
          <w:p>
            <w:pPr>
              <w:pStyle w:val="TableContents"/>
              <w:bidi w:val="0"/>
              <w:spacing w:before="0" w:after="283"/>
              <w:jc w:val="right"/>
              <w:rPr/>
            </w:pPr>
            <w:r>
              <w:rPr/>
              <w:t> </w:t>
            </w:r>
          </w:p>
        </w:tc>
        <w:tc>
          <w:tcPr>
            <w:tcW w:w="598" w:type="dxa"/>
            <w:tcBorders/>
            <w:shd w:fill="FFFFFF" w:val="clear"/>
            <w:vAlign w:val="center"/>
          </w:tcPr>
          <w:p>
            <w:pPr>
              <w:pStyle w:val="TableContents"/>
              <w:bidi w:val="0"/>
              <w:spacing w:before="0" w:after="283"/>
              <w:ind w:left="0" w:right="0" w:firstLine="400"/>
              <w:jc w:val="right"/>
              <w:rPr/>
            </w:pPr>
            <w:r>
              <w:rPr/>
              <w:t> </w:t>
            </w:r>
          </w:p>
        </w:tc>
      </w:tr>
      <w:tr>
        <w:trPr/>
        <w:tc>
          <w:tcPr>
            <w:tcW w:w="4240" w:type="dxa"/>
            <w:gridSpan w:val="2"/>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Comprehensive income attributable to Kirby</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89,462</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243,502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163,254</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KIRBY CORPORATION AND CONSOLIDATED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CASH FLOWS</w:t>
        <w:b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94"/>
        <w:gridCol w:w="146"/>
        <w:gridCol w:w="222"/>
        <w:gridCol w:w="889"/>
        <w:gridCol w:w="175"/>
        <w:gridCol w:w="153"/>
        <w:gridCol w:w="222"/>
        <w:gridCol w:w="889"/>
        <w:gridCol w:w="815"/>
      </w:tblGrid>
      <w:tr>
        <w:trPr/>
        <w:tc>
          <w:tcPr>
            <w:tcW w:w="6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6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50"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815" w:type="dxa"/>
            <w:tcBorders/>
            <w:shd w:fill="FFFFFF" w:val="clear"/>
            <w:vAlign w:val="center"/>
          </w:tcPr>
          <w:p>
            <w:pPr>
              <w:pStyle w:val="TableContents"/>
              <w:bidi w:val="0"/>
              <w:spacing w:before="0" w:after="283"/>
              <w:jc w:val="center"/>
              <w:rPr/>
            </w:pPr>
            <w:r>
              <w:rPr/>
              <w:t> </w:t>
            </w:r>
          </w:p>
        </w:tc>
      </w:tr>
      <w:tr>
        <w:trPr/>
        <w:tc>
          <w:tcPr>
            <w:tcW w:w="66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right"/>
              <w:rPr/>
            </w:pPr>
            <w:r>
              <w:rPr/>
              <w:t> </w:t>
            </w:r>
          </w:p>
        </w:tc>
        <w:tc>
          <w:tcPr>
            <w:tcW w:w="815" w:type="dxa"/>
            <w:tcBorders/>
            <w:shd w:fill="CFF0FC" w:val="clear"/>
            <w:vAlign w:val="center"/>
          </w:tcPr>
          <w:p>
            <w:pPr>
              <w:pStyle w:val="TableContents"/>
              <w:bidi w:val="0"/>
              <w:spacing w:before="0" w:after="283"/>
              <w:ind w:left="0" w:right="0" w:firstLine="200"/>
              <w:jc w:val="right"/>
              <w:rPr/>
            </w:pPr>
            <w:r>
              <w:rPr/>
              <w:t> </w:t>
            </w:r>
          </w:p>
        </w:tc>
      </w:tr>
      <w:tr>
        <w:trPr/>
        <w:tc>
          <w:tcPr>
            <w:tcW w:w="66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earnings</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243,928</w:t>
            </w:r>
          </w:p>
        </w:tc>
        <w:tc>
          <w:tcPr>
            <w:tcW w:w="17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160,943</w:t>
            </w:r>
          </w:p>
        </w:tc>
        <w:tc>
          <w:tcPr>
            <w:tcW w:w="815" w:type="dxa"/>
            <w:tcBorders/>
            <w:shd w:fill="FFFFFF" w:val="clear"/>
            <w:vAlign w:val="center"/>
          </w:tcPr>
          <w:p>
            <w:pPr>
              <w:pStyle w:val="TableContents"/>
              <w:bidi w:val="0"/>
              <w:spacing w:before="0" w:after="283"/>
              <w:ind w:left="0" w:right="0" w:firstLine="200"/>
              <w:jc w:val="left"/>
              <w:rPr/>
            </w:pPr>
            <w:r>
              <w:rPr/>
              <w:t> </w:t>
            </w:r>
          </w:p>
        </w:tc>
      </w:tr>
      <w:tr>
        <w:trPr/>
        <w:tc>
          <w:tcPr>
            <w:tcW w:w="66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earnings to net cash provided by operations:</w:t>
            </w:r>
          </w:p>
        </w:tc>
        <w:tc>
          <w:tcPr>
            <w:tcW w:w="146"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right"/>
              <w:rPr/>
            </w:pPr>
            <w:r>
              <w:rPr/>
              <w:t> </w:t>
            </w:r>
          </w:p>
        </w:tc>
        <w:tc>
          <w:tcPr>
            <w:tcW w:w="815" w:type="dxa"/>
            <w:tcBorders/>
            <w:shd w:fill="CFF0FC" w:val="clear"/>
            <w:vAlign w:val="center"/>
          </w:tcPr>
          <w:p>
            <w:pPr>
              <w:pStyle w:val="TableContents"/>
              <w:bidi w:val="0"/>
              <w:spacing w:before="0" w:after="283"/>
              <w:ind w:left="0" w:right="0" w:firstLine="400"/>
              <w:jc w:val="right"/>
              <w:rPr/>
            </w:pPr>
            <w:r>
              <w:rPr/>
              <w:t> </w:t>
            </w:r>
          </w:p>
        </w:tc>
      </w:tr>
      <w:tr>
        <w:trPr/>
        <w:tc>
          <w:tcPr>
            <w:tcW w:w="669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177,777</w:t>
            </w:r>
          </w:p>
        </w:tc>
        <w:tc>
          <w:tcPr>
            <w:tcW w:w="17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156,251</w:t>
            </w:r>
          </w:p>
        </w:tc>
        <w:tc>
          <w:tcPr>
            <w:tcW w:w="815" w:type="dxa"/>
            <w:tcBorders/>
            <w:shd w:fill="FFFFFF" w:val="clear"/>
            <w:vAlign w:val="center"/>
          </w:tcPr>
          <w:p>
            <w:pPr>
              <w:pStyle w:val="TableContents"/>
              <w:bidi w:val="0"/>
              <w:spacing w:before="0" w:after="283"/>
              <w:ind w:left="0" w:right="0" w:firstLine="400"/>
              <w:jc w:val="left"/>
              <w:rPr/>
            </w:pPr>
            <w:r>
              <w:rPr/>
              <w:t> </w:t>
            </w:r>
          </w:p>
        </w:tc>
      </w:tr>
      <w:tr>
        <w:trPr/>
        <w:tc>
          <w:tcPr>
            <w:tcW w:w="669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Provision for deferred income taxes</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38,698</w:t>
            </w:r>
          </w:p>
        </w:tc>
        <w:tc>
          <w:tcPr>
            <w:tcW w:w="17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46,441</w:t>
            </w:r>
          </w:p>
        </w:tc>
        <w:tc>
          <w:tcPr>
            <w:tcW w:w="815" w:type="dxa"/>
            <w:tcBorders/>
            <w:shd w:fill="CFF0FC" w:val="clear"/>
            <w:vAlign w:val="center"/>
          </w:tcPr>
          <w:p>
            <w:pPr>
              <w:pStyle w:val="TableContents"/>
              <w:bidi w:val="0"/>
              <w:spacing w:before="0" w:after="283"/>
              <w:ind w:left="0" w:right="0" w:firstLine="400"/>
              <w:jc w:val="left"/>
              <w:rPr/>
            </w:pPr>
            <w:r>
              <w:rPr/>
              <w:t> </w:t>
            </w:r>
          </w:p>
        </w:tc>
      </w:tr>
      <w:tr>
        <w:trPr/>
        <w:tc>
          <w:tcPr>
            <w:tcW w:w="669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of share-based compensation</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12,837</w:t>
            </w:r>
          </w:p>
        </w:tc>
        <w:tc>
          <w:tcPr>
            <w:tcW w:w="17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12,310</w:t>
            </w:r>
          </w:p>
        </w:tc>
        <w:tc>
          <w:tcPr>
            <w:tcW w:w="815" w:type="dxa"/>
            <w:tcBorders/>
            <w:shd w:fill="FFFFFF" w:val="clear"/>
            <w:vAlign w:val="center"/>
          </w:tcPr>
          <w:p>
            <w:pPr>
              <w:pStyle w:val="TableContents"/>
              <w:bidi w:val="0"/>
              <w:spacing w:before="0" w:after="283"/>
              <w:ind w:left="0" w:right="0" w:firstLine="400"/>
              <w:jc w:val="left"/>
              <w:rPr/>
            </w:pPr>
            <w:r>
              <w:rPr/>
              <w:t> </w:t>
            </w:r>
          </w:p>
        </w:tc>
      </w:tr>
      <w:tr>
        <w:trPr/>
        <w:tc>
          <w:tcPr>
            <w:tcW w:w="669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of major maintenance costs</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24,965</w:t>
            </w:r>
          </w:p>
        </w:tc>
        <w:tc>
          <w:tcPr>
            <w:tcW w:w="17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21,050</w:t>
            </w:r>
          </w:p>
        </w:tc>
        <w:tc>
          <w:tcPr>
            <w:tcW w:w="815" w:type="dxa"/>
            <w:tcBorders/>
            <w:shd w:fill="CFF0FC" w:val="clear"/>
            <w:vAlign w:val="center"/>
          </w:tcPr>
          <w:p>
            <w:pPr>
              <w:pStyle w:val="TableContents"/>
              <w:bidi w:val="0"/>
              <w:spacing w:before="0" w:after="283"/>
              <w:ind w:left="0" w:right="0" w:firstLine="400"/>
              <w:jc w:val="left"/>
              <w:rPr/>
            </w:pPr>
            <w:r>
              <w:rPr/>
              <w:t> </w:t>
            </w:r>
          </w:p>
        </w:tc>
      </w:tr>
      <w:tr>
        <w:trPr/>
        <w:tc>
          <w:tcPr>
            <w:tcW w:w="669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(8,001</w:t>
            </w:r>
          </w:p>
        </w:tc>
        <w:tc>
          <w:tcPr>
            <w:tcW w:w="815"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9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Increase (decrease) in cash flows resulting from changes in operating assets and liabilities, net</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11,031</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(64,767</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94"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509,110</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324,227</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4"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right"/>
              <w:rPr/>
            </w:pPr>
            <w:r>
              <w:rPr/>
              <w:t> </w:t>
            </w:r>
          </w:p>
        </w:tc>
        <w:tc>
          <w:tcPr>
            <w:tcW w:w="815" w:type="dxa"/>
            <w:tcBorders/>
            <w:shd w:fill="CFF0FC" w:val="clear"/>
            <w:vAlign w:val="center"/>
          </w:tcPr>
          <w:p>
            <w:pPr>
              <w:pStyle w:val="TableContents"/>
              <w:bidi w:val="0"/>
              <w:spacing w:before="0" w:after="283"/>
              <w:jc w:val="right"/>
              <w:rPr/>
            </w:pPr>
            <w:r>
              <w:rPr/>
              <w:t> </w:t>
            </w:r>
          </w:p>
        </w:tc>
      </w:tr>
      <w:tr>
        <w:trPr/>
        <w:tc>
          <w:tcPr>
            <w:tcW w:w="66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right"/>
              <w:rPr/>
            </w:pPr>
            <w:r>
              <w:rPr/>
              <w:t> </w:t>
            </w:r>
          </w:p>
        </w:tc>
        <w:tc>
          <w:tcPr>
            <w:tcW w:w="815" w:type="dxa"/>
            <w:tcBorders/>
            <w:shd w:fill="FFFFFF" w:val="clear"/>
            <w:vAlign w:val="center"/>
          </w:tcPr>
          <w:p>
            <w:pPr>
              <w:pStyle w:val="TableContents"/>
              <w:bidi w:val="0"/>
              <w:spacing w:before="0" w:after="283"/>
              <w:ind w:left="0" w:right="0" w:firstLine="200"/>
              <w:jc w:val="right"/>
              <w:rPr/>
            </w:pPr>
            <w:r>
              <w:rPr/>
              <w:t> </w:t>
            </w:r>
          </w:p>
        </w:tc>
      </w:tr>
      <w:tr>
        <w:trPr/>
        <w:tc>
          <w:tcPr>
            <w:tcW w:w="66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(245,990</w:t>
            </w:r>
          </w:p>
        </w:tc>
        <w:tc>
          <w:tcPr>
            <w:tcW w:w="1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(274,963</w:t>
            </w:r>
          </w:p>
        </w:tc>
        <w:tc>
          <w:tcPr>
            <w:tcW w:w="81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Acquisitions of businesses and marine equipment</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(65,232</w:t>
            </w:r>
          </w:p>
        </w:tc>
        <w:tc>
          <w:tcPr>
            <w:tcW w:w="1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(37,500</w:t>
            </w:r>
          </w:p>
        </w:tc>
        <w:tc>
          <w:tcPr>
            <w:tcW w:w="8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disposition of assets</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13,832</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21,846</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9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(297,390</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(290,617</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94"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right"/>
              <w:rPr/>
            </w:pPr>
            <w:r>
              <w:rPr/>
              <w:t> </w:t>
            </w:r>
          </w:p>
        </w:tc>
        <w:tc>
          <w:tcPr>
            <w:tcW w:w="815" w:type="dxa"/>
            <w:tcBorders/>
            <w:shd w:fill="CFF0FC" w:val="clear"/>
            <w:vAlign w:val="center"/>
          </w:tcPr>
          <w:p>
            <w:pPr>
              <w:pStyle w:val="TableContents"/>
              <w:bidi w:val="0"/>
              <w:spacing w:before="0" w:after="283"/>
              <w:jc w:val="right"/>
              <w:rPr/>
            </w:pPr>
            <w:r>
              <w:rPr/>
              <w:t> </w:t>
            </w:r>
          </w:p>
        </w:tc>
      </w:tr>
      <w:tr>
        <w:trPr/>
        <w:tc>
          <w:tcPr>
            <w:tcW w:w="66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right"/>
              <w:rPr/>
            </w:pPr>
            <w:r>
              <w:rPr/>
              <w:t> </w:t>
            </w:r>
          </w:p>
        </w:tc>
        <w:tc>
          <w:tcPr>
            <w:tcW w:w="815" w:type="dxa"/>
            <w:tcBorders/>
            <w:shd w:fill="FFFFFF" w:val="clear"/>
            <w:vAlign w:val="center"/>
          </w:tcPr>
          <w:p>
            <w:pPr>
              <w:pStyle w:val="TableContents"/>
              <w:bidi w:val="0"/>
              <w:spacing w:before="0" w:after="283"/>
              <w:ind w:left="0" w:right="0" w:firstLine="200"/>
              <w:jc w:val="right"/>
              <w:rPr/>
            </w:pPr>
            <w:r>
              <w:rPr/>
              <w:t> </w:t>
            </w:r>
          </w:p>
        </w:tc>
      </w:tr>
      <w:tr>
        <w:trPr/>
        <w:tc>
          <w:tcPr>
            <w:tcW w:w="66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Borrowings (payments) on bank credit facilities, net</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(38,893</w:t>
            </w:r>
          </w:p>
        </w:tc>
        <w:tc>
          <w:tcPr>
            <w:tcW w:w="1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100,316</w:t>
            </w:r>
          </w:p>
        </w:tc>
        <w:tc>
          <w:tcPr>
            <w:tcW w:w="815" w:type="dxa"/>
            <w:tcBorders/>
            <w:shd w:fill="CFF0FC" w:val="clear"/>
            <w:vAlign w:val="center"/>
          </w:tcPr>
          <w:p>
            <w:pPr>
              <w:pStyle w:val="TableContents"/>
              <w:bidi w:val="0"/>
              <w:spacing w:before="0" w:after="283"/>
              <w:ind w:left="0" w:right="0" w:firstLine="200"/>
              <w:jc w:val="left"/>
              <w:rPr/>
            </w:pPr>
            <w:r>
              <w:rPr/>
              <w:t> </w:t>
            </w:r>
          </w:p>
        </w:tc>
      </w:tr>
      <w:tr>
        <w:trPr/>
        <w:tc>
          <w:tcPr>
            <w:tcW w:w="66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Borrowings on long-term debt</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color w:val="000000"/>
              </w:rPr>
            </w:pPr>
            <w:r>
              <w:rPr>
                <w:color w:val="000000"/>
              </w:rPr>
              <w:t>—</w:t>
            </w:r>
          </w:p>
        </w:tc>
        <w:tc>
          <w:tcPr>
            <w:tcW w:w="17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240,000</w:t>
            </w:r>
          </w:p>
        </w:tc>
        <w:tc>
          <w:tcPr>
            <w:tcW w:w="815" w:type="dxa"/>
            <w:tcBorders/>
            <w:shd w:fill="FFFFFF" w:val="clear"/>
            <w:vAlign w:val="center"/>
          </w:tcPr>
          <w:p>
            <w:pPr>
              <w:pStyle w:val="TableContents"/>
              <w:bidi w:val="0"/>
              <w:spacing w:before="0" w:after="283"/>
              <w:ind w:left="0" w:right="0" w:firstLine="200"/>
              <w:jc w:val="left"/>
              <w:rPr/>
            </w:pPr>
            <w:r>
              <w:rPr/>
              <w:t> </w:t>
            </w:r>
          </w:p>
        </w:tc>
      </w:tr>
      <w:tr>
        <w:trPr/>
        <w:tc>
          <w:tcPr>
            <w:tcW w:w="66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on long-term debt</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color w:val="000000"/>
              </w:rPr>
            </w:pPr>
            <w:r>
              <w:rPr>
                <w:color w:val="000000"/>
              </w:rPr>
              <w:t>—</w:t>
            </w:r>
          </w:p>
        </w:tc>
        <w:tc>
          <w:tcPr>
            <w:tcW w:w="17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81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8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w:t>
            </w:r>
          </w:p>
        </w:tc>
        <w:tc>
          <w:tcPr>
            <w:tcW w:w="17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w:t>
            </w:r>
          </w:p>
        </w:tc>
        <w:tc>
          <w:tcPr>
            <w:tcW w:w="815" w:type="dxa"/>
            <w:tcBorders/>
            <w:shd w:fill="CFF0FC" w:val="clear"/>
            <w:vAlign w:val="center"/>
          </w:tcPr>
          <w:p>
            <w:pPr>
              <w:pStyle w:val="TableContents"/>
              <w:bidi w:val="0"/>
              <w:spacing w:before="0" w:after="283"/>
              <w:ind w:left="0" w:right="0" w:firstLine="200"/>
              <w:jc w:val="left"/>
              <w:rPr/>
            </w:pPr>
            <w:r>
              <w:rPr/>
              <w:t> </w:t>
            </w:r>
          </w:p>
        </w:tc>
      </w:tr>
      <w:tr>
        <w:trPr/>
        <w:tc>
          <w:tcPr>
            <w:tcW w:w="66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related to tax withholding for share-based compensation</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w:t>
            </w:r>
          </w:p>
        </w:tc>
        <w:tc>
          <w:tcPr>
            <w:tcW w:w="1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w:t>
            </w:r>
          </w:p>
        </w:tc>
        <w:tc>
          <w:tcPr>
            <w:tcW w:w="8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Treasury stock purchases</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(141,272</w:t>
            </w:r>
          </w:p>
        </w:tc>
        <w:tc>
          <w:tcPr>
            <w:tcW w:w="1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(60,910</w:t>
            </w:r>
          </w:p>
        </w:tc>
        <w:tc>
          <w:tcPr>
            <w:tcW w:w="81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9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(177,224</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(72,071</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9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34,496</w:t>
            </w:r>
          </w:p>
        </w:tc>
        <w:tc>
          <w:tcPr>
            <w:tcW w:w="17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(38,461</w:t>
            </w:r>
          </w:p>
        </w:tc>
        <w:tc>
          <w:tcPr>
            <w:tcW w:w="8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94"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right"/>
              <w:rPr/>
            </w:pPr>
            <w:r>
              <w:rPr/>
              <w:t> </w:t>
            </w:r>
          </w:p>
        </w:tc>
        <w:tc>
          <w:tcPr>
            <w:tcW w:w="815" w:type="dxa"/>
            <w:tcBorders/>
            <w:shd w:fill="CFF0FC" w:val="clear"/>
            <w:vAlign w:val="center"/>
          </w:tcPr>
          <w:p>
            <w:pPr>
              <w:pStyle w:val="TableContents"/>
              <w:bidi w:val="0"/>
              <w:spacing w:before="0" w:after="283"/>
              <w:jc w:val="right"/>
              <w:rPr/>
            </w:pPr>
            <w:r>
              <w:rPr/>
              <w:t> </w:t>
            </w:r>
          </w:p>
        </w:tc>
      </w:tr>
      <w:tr>
        <w:trPr/>
        <w:tc>
          <w:tcPr>
            <w:tcW w:w="66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year</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32,577</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80,577</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67,073</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42,116</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9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right"/>
              <w:rPr/>
            </w:pPr>
            <w:r>
              <w:rPr/>
              <w:t> </w:t>
            </w:r>
          </w:p>
        </w:tc>
        <w:tc>
          <w:tcPr>
            <w:tcW w:w="815" w:type="dxa"/>
            <w:tcBorders/>
            <w:shd w:fill="FFFFFF" w:val="clear"/>
            <w:vAlign w:val="center"/>
          </w:tcPr>
          <w:p>
            <w:pPr>
              <w:pStyle w:val="TableContents"/>
              <w:bidi w:val="0"/>
              <w:spacing w:before="0" w:after="283"/>
              <w:jc w:val="right"/>
              <w:rPr/>
            </w:pPr>
            <w:r>
              <w:rPr/>
              <w:t> </w:t>
            </w:r>
          </w:p>
        </w:tc>
      </w:tr>
      <w:tr>
        <w:trPr/>
        <w:tc>
          <w:tcPr>
            <w:tcW w:w="66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disclosures of cash flow information:</w:t>
            </w:r>
          </w:p>
        </w:tc>
        <w:tc>
          <w:tcPr>
            <w:tcW w:w="146"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right"/>
              <w:rPr/>
            </w:pPr>
            <w:r>
              <w:rPr/>
              <w:t> </w:t>
            </w:r>
          </w:p>
        </w:tc>
        <w:tc>
          <w:tcPr>
            <w:tcW w:w="815" w:type="dxa"/>
            <w:tcBorders/>
            <w:shd w:fill="CFF0FC" w:val="clear"/>
            <w:vAlign w:val="center"/>
          </w:tcPr>
          <w:p>
            <w:pPr>
              <w:pStyle w:val="TableContents"/>
              <w:bidi w:val="0"/>
              <w:spacing w:before="0" w:after="283"/>
              <w:ind w:left="0" w:right="0" w:firstLine="200"/>
              <w:jc w:val="right"/>
              <w:rPr/>
            </w:pPr>
            <w:r>
              <w:rPr/>
              <w:t> </w:t>
            </w:r>
          </w:p>
        </w:tc>
      </w:tr>
      <w:tr>
        <w:trPr/>
        <w:tc>
          <w:tcPr>
            <w:tcW w:w="66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(received) during the period:</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right"/>
              <w:rPr/>
            </w:pPr>
            <w:r>
              <w:rPr/>
              <w:t> </w:t>
            </w:r>
          </w:p>
        </w:tc>
        <w:tc>
          <w:tcPr>
            <w:tcW w:w="815" w:type="dxa"/>
            <w:tcBorders/>
            <w:shd w:fill="FFFFFF" w:val="clear"/>
            <w:vAlign w:val="center"/>
          </w:tcPr>
          <w:p>
            <w:pPr>
              <w:pStyle w:val="TableContents"/>
              <w:bidi w:val="0"/>
              <w:spacing w:before="0" w:after="283"/>
              <w:ind w:left="0" w:right="0" w:firstLine="400"/>
              <w:jc w:val="right"/>
              <w:rPr/>
            </w:pPr>
            <w:r>
              <w:rPr/>
              <w:t> </w:t>
            </w:r>
          </w:p>
        </w:tc>
      </w:tr>
      <w:tr>
        <w:trPr/>
        <w:tc>
          <w:tcPr>
            <w:tcW w:w="669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46,600</w:t>
            </w:r>
          </w:p>
        </w:tc>
        <w:tc>
          <w:tcPr>
            <w:tcW w:w="17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45,276</w:t>
            </w:r>
          </w:p>
        </w:tc>
        <w:tc>
          <w:tcPr>
            <w:tcW w:w="815" w:type="dxa"/>
            <w:tcBorders/>
            <w:shd w:fill="CFF0FC" w:val="clear"/>
            <w:vAlign w:val="center"/>
          </w:tcPr>
          <w:p>
            <w:pPr>
              <w:pStyle w:val="TableContents"/>
              <w:bidi w:val="0"/>
              <w:spacing w:before="0" w:after="283"/>
              <w:ind w:left="0" w:right="0" w:firstLine="400"/>
              <w:jc w:val="left"/>
              <w:rPr/>
            </w:pPr>
            <w:r>
              <w:rPr/>
              <w:t> </w:t>
            </w:r>
          </w:p>
        </w:tc>
      </w:tr>
      <w:tr>
        <w:trPr/>
        <w:tc>
          <w:tcPr>
            <w:tcW w:w="669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taxes paid (refunded), net</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15,476</w:t>
            </w:r>
          </w:p>
        </w:tc>
        <w:tc>
          <w:tcPr>
            <w:tcW w:w="17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(67,118</w:t>
            </w:r>
          </w:p>
        </w:tc>
        <w:tc>
          <w:tcPr>
            <w:tcW w:w="815"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9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cash outflow from operating leases</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34,898</w:t>
            </w:r>
          </w:p>
        </w:tc>
        <w:tc>
          <w:tcPr>
            <w:tcW w:w="17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33,266</w:t>
            </w:r>
          </w:p>
        </w:tc>
        <w:tc>
          <w:tcPr>
            <w:tcW w:w="815" w:type="dxa"/>
            <w:tcBorders/>
            <w:shd w:fill="CFF0FC" w:val="clear"/>
            <w:vAlign w:val="center"/>
          </w:tcPr>
          <w:p>
            <w:pPr>
              <w:pStyle w:val="TableContents"/>
              <w:bidi w:val="0"/>
              <w:spacing w:before="0" w:after="283"/>
              <w:ind w:left="0" w:right="0" w:firstLine="200"/>
              <w:jc w:val="left"/>
              <w:rPr/>
            </w:pPr>
            <w:r>
              <w:rPr/>
              <w:t> </w:t>
            </w:r>
          </w:p>
        </w:tc>
      </w:tr>
      <w:tr>
        <w:trPr/>
        <w:tc>
          <w:tcPr>
            <w:tcW w:w="66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investing activity:</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right"/>
              <w:rPr/>
            </w:pPr>
            <w:r>
              <w:rPr/>
              <w:t> </w:t>
            </w:r>
          </w:p>
        </w:tc>
        <w:tc>
          <w:tcPr>
            <w:tcW w:w="815" w:type="dxa"/>
            <w:tcBorders/>
            <w:shd w:fill="FFFFFF" w:val="clear"/>
            <w:vAlign w:val="center"/>
          </w:tcPr>
          <w:p>
            <w:pPr>
              <w:pStyle w:val="TableContents"/>
              <w:bidi w:val="0"/>
              <w:spacing w:before="0" w:after="283"/>
              <w:ind w:left="0" w:right="0" w:firstLine="400"/>
              <w:jc w:val="right"/>
              <w:rPr/>
            </w:pPr>
            <w:r>
              <w:rPr/>
              <w:t> </w:t>
            </w:r>
          </w:p>
        </w:tc>
      </w:tr>
      <w:tr>
        <w:trPr/>
        <w:tc>
          <w:tcPr>
            <w:tcW w:w="669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Capital expenditures included in accounts payable</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w:t>
            </w:r>
          </w:p>
        </w:tc>
        <w:tc>
          <w:tcPr>
            <w:tcW w:w="17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w:t>
            </w:r>
          </w:p>
        </w:tc>
        <w:tc>
          <w:tcPr>
            <w:tcW w:w="815"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9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Right-of-use assets obtained in exchange for lease obligations</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38,730</w:t>
            </w:r>
          </w:p>
        </w:tc>
        <w:tc>
          <w:tcPr>
            <w:tcW w:w="17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32,652</w:t>
            </w:r>
          </w:p>
        </w:tc>
        <w:tc>
          <w:tcPr>
            <w:tcW w:w="815"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KIRBY CORPORATION AND CONSOLIDATED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STOCKHOLDERS’ EQUITY</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(Unaudited)</w:t>
      </w:r>
    </w:p>
    <w:tbl>
      <w:tblPr>
        <w:tblW w:w="13504" w:type="dxa"/>
        <w:jc w:val="left"/>
        <w:tblInd w:w="0" w:type="dxa"/>
        <w:tblLayout w:type="fixed"/>
        <w:tblCellMar>
          <w:top w:w="28" w:type="dxa"/>
          <w:left w:w="28" w:type="dxa"/>
          <w:bottom w:w="28" w:type="dxa"/>
          <w:right w:w="28" w:type="dxa"/>
        </w:tblCellMar>
      </w:tblPr>
      <w:tblGrid>
        <w:gridCol w:w="1551"/>
        <w:gridCol w:w="146"/>
        <w:gridCol w:w="676"/>
        <w:gridCol w:w="146"/>
        <w:gridCol w:w="146"/>
        <w:gridCol w:w="211"/>
        <w:gridCol w:w="571"/>
        <w:gridCol w:w="146"/>
        <w:gridCol w:w="146"/>
        <w:gridCol w:w="211"/>
        <w:gridCol w:w="781"/>
        <w:gridCol w:w="166"/>
        <w:gridCol w:w="146"/>
        <w:gridCol w:w="289"/>
        <w:gridCol w:w="927"/>
        <w:gridCol w:w="166"/>
        <w:gridCol w:w="146"/>
        <w:gridCol w:w="211"/>
        <w:gridCol w:w="931"/>
        <w:gridCol w:w="146"/>
        <w:gridCol w:w="146"/>
        <w:gridCol w:w="146"/>
        <w:gridCol w:w="631"/>
        <w:gridCol w:w="166"/>
        <w:gridCol w:w="146"/>
        <w:gridCol w:w="211"/>
        <w:gridCol w:w="841"/>
        <w:gridCol w:w="166"/>
        <w:gridCol w:w="146"/>
        <w:gridCol w:w="324"/>
        <w:gridCol w:w="877"/>
        <w:gridCol w:w="146"/>
        <w:gridCol w:w="146"/>
        <w:gridCol w:w="211"/>
        <w:gridCol w:w="931"/>
        <w:gridCol w:w="411"/>
      </w:tblGrid>
      <w:tr>
        <w:trPr/>
        <w:tc>
          <w:tcPr>
            <w:tcW w:w="1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51"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551"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551" w:type="dxa"/>
            <w:tcBorders/>
            <w:shd w:fill="FFFFFF" w:val="clear"/>
            <w:vAlign w:val="center"/>
          </w:tcPr>
          <w:p>
            <w:pPr>
              <w:pStyle w:val="TableContents"/>
              <w:bidi w:val="0"/>
              <w:spacing w:before="0" w:after="283"/>
              <w:jc w:val="center"/>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551"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1" w:type="dxa"/>
            <w:tcBorders/>
            <w:shd w:fill="FFFFFF" w:val="clear"/>
            <w:vAlign w:val="center"/>
          </w:tcPr>
          <w:p>
            <w:pPr>
              <w:pStyle w:val="TableContents"/>
              <w:bidi w:val="0"/>
              <w:spacing w:before="0" w:after="283"/>
              <w:jc w:val="center"/>
              <w:rPr/>
            </w:pPr>
            <w:r>
              <w:rPr/>
              <w:t> </w:t>
            </w:r>
          </w:p>
        </w:tc>
        <w:tc>
          <w:tcPr>
            <w:tcW w:w="11542" w:type="dxa"/>
            <w:gridSpan w:val="3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1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2024</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862,258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2,845,587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(488,059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3,262,678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option exercises</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9"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stock for equity awards, net of forfeitures</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89"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4"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 withholdings on equity award vesting</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9"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share-based compensation</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9"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4"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Treasury stock purchases</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9"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Excise taxes on treasury stock purchases</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9"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24"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comprehensive income, net of taxes</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9"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89,525</w:t>
            </w:r>
          </w:p>
        </w:tc>
        <w:tc>
          <w:tcPr>
            <w:tcW w:w="411" w:type="dxa"/>
            <w:tcBorders/>
            <w:shd w:fill="FFFFFF" w:val="clear"/>
            <w:vAlign w:val="center"/>
          </w:tcPr>
          <w:p>
            <w:pPr>
              <w:pStyle w:val="TableContents"/>
              <w:bidi w:val="0"/>
              <w:spacing w:before="0" w:after="283"/>
              <w:jc w:val="left"/>
              <w:rPr/>
            </w:pPr>
            <w:r>
              <w:rPr/>
              <w:t> </w:t>
            </w:r>
          </w:p>
        </w:tc>
      </w:tr>
      <w:tr>
        <w:trPr/>
        <w:tc>
          <w:tcPr>
            <w:tcW w:w="1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2024</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865,973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2,935,555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(540,367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2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3,303,610</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3504" w:type="dxa"/>
        <w:jc w:val="left"/>
        <w:tblInd w:w="0" w:type="dxa"/>
        <w:tblLayout w:type="fixed"/>
        <w:tblCellMar>
          <w:top w:w="28" w:type="dxa"/>
          <w:left w:w="28" w:type="dxa"/>
          <w:bottom w:w="28" w:type="dxa"/>
          <w:right w:w="28" w:type="dxa"/>
        </w:tblCellMar>
      </w:tblPr>
      <w:tblGrid>
        <w:gridCol w:w="1551"/>
        <w:gridCol w:w="146"/>
        <w:gridCol w:w="676"/>
        <w:gridCol w:w="146"/>
        <w:gridCol w:w="146"/>
        <w:gridCol w:w="211"/>
        <w:gridCol w:w="571"/>
        <w:gridCol w:w="146"/>
        <w:gridCol w:w="146"/>
        <w:gridCol w:w="211"/>
        <w:gridCol w:w="781"/>
        <w:gridCol w:w="166"/>
        <w:gridCol w:w="146"/>
        <w:gridCol w:w="289"/>
        <w:gridCol w:w="927"/>
        <w:gridCol w:w="146"/>
        <w:gridCol w:w="146"/>
        <w:gridCol w:w="211"/>
        <w:gridCol w:w="931"/>
        <w:gridCol w:w="146"/>
        <w:gridCol w:w="146"/>
        <w:gridCol w:w="146"/>
        <w:gridCol w:w="631"/>
        <w:gridCol w:w="166"/>
        <w:gridCol w:w="146"/>
        <w:gridCol w:w="211"/>
        <w:gridCol w:w="841"/>
        <w:gridCol w:w="166"/>
        <w:gridCol w:w="146"/>
        <w:gridCol w:w="300"/>
        <w:gridCol w:w="901"/>
        <w:gridCol w:w="166"/>
        <w:gridCol w:w="146"/>
        <w:gridCol w:w="211"/>
        <w:gridCol w:w="931"/>
        <w:gridCol w:w="411"/>
      </w:tblGrid>
      <w:tr>
        <w:trPr/>
        <w:tc>
          <w:tcPr>
            <w:tcW w:w="1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51"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551"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551" w:type="dxa"/>
            <w:tcBorders/>
            <w:shd w:fill="FFFFFF" w:val="clear"/>
            <w:vAlign w:val="center"/>
          </w:tcPr>
          <w:p>
            <w:pPr>
              <w:pStyle w:val="TableContents"/>
              <w:bidi w:val="0"/>
              <w:spacing w:before="0" w:after="283"/>
              <w:jc w:val="center"/>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551"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1" w:type="dxa"/>
            <w:tcBorders/>
            <w:shd w:fill="FFFFFF" w:val="clear"/>
            <w:vAlign w:val="center"/>
          </w:tcPr>
          <w:p>
            <w:pPr>
              <w:pStyle w:val="TableContents"/>
              <w:bidi w:val="0"/>
              <w:spacing w:before="0" w:after="283"/>
              <w:jc w:val="center"/>
              <w:rPr/>
            </w:pPr>
            <w:r>
              <w:rPr/>
              <w:t> </w:t>
            </w:r>
          </w:p>
        </w:tc>
        <w:tc>
          <w:tcPr>
            <w:tcW w:w="11542" w:type="dxa"/>
            <w:gridSpan w:val="3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1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2023</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857,965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2,566,795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(339,659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3,112,809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option exercises</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9"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0"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stock for equity awards, net of forfeitures</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89"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0"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 withholdings on equity award vesting</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9"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0"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share-based compensation</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9"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0"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Treasury stock purchases</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9"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0"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Excise taxes on treasury stock purchases</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9"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0"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comprehensive income, net of taxes</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9"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0"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63,086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Return of investment to noncontrolling interests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861,928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2,629,759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3,158,082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KIRBY CORPORATION AND CONSOLIDATED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STOCKHOLDERS’ EQUITY</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(Unaudited)</w:t>
      </w:r>
    </w:p>
    <w:tbl>
      <w:tblPr>
        <w:tblW w:w="13504" w:type="dxa"/>
        <w:jc w:val="left"/>
        <w:tblInd w:w="0" w:type="dxa"/>
        <w:tblLayout w:type="fixed"/>
        <w:tblCellMar>
          <w:top w:w="28" w:type="dxa"/>
          <w:left w:w="28" w:type="dxa"/>
          <w:bottom w:w="28" w:type="dxa"/>
          <w:right w:w="28" w:type="dxa"/>
        </w:tblCellMar>
      </w:tblPr>
      <w:tblGrid>
        <w:gridCol w:w="1551"/>
        <w:gridCol w:w="146"/>
        <w:gridCol w:w="676"/>
        <w:gridCol w:w="146"/>
        <w:gridCol w:w="146"/>
        <w:gridCol w:w="211"/>
        <w:gridCol w:w="571"/>
        <w:gridCol w:w="146"/>
        <w:gridCol w:w="146"/>
        <w:gridCol w:w="211"/>
        <w:gridCol w:w="781"/>
        <w:gridCol w:w="166"/>
        <w:gridCol w:w="146"/>
        <w:gridCol w:w="364"/>
        <w:gridCol w:w="852"/>
        <w:gridCol w:w="166"/>
        <w:gridCol w:w="146"/>
        <w:gridCol w:w="211"/>
        <w:gridCol w:w="931"/>
        <w:gridCol w:w="146"/>
        <w:gridCol w:w="146"/>
        <w:gridCol w:w="146"/>
        <w:gridCol w:w="631"/>
        <w:gridCol w:w="166"/>
        <w:gridCol w:w="146"/>
        <w:gridCol w:w="211"/>
        <w:gridCol w:w="841"/>
        <w:gridCol w:w="166"/>
        <w:gridCol w:w="146"/>
        <w:gridCol w:w="324"/>
        <w:gridCol w:w="877"/>
        <w:gridCol w:w="146"/>
        <w:gridCol w:w="146"/>
        <w:gridCol w:w="211"/>
        <w:gridCol w:w="931"/>
        <w:gridCol w:w="411"/>
      </w:tblGrid>
      <w:tr>
        <w:trPr/>
        <w:tc>
          <w:tcPr>
            <w:tcW w:w="1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51"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551" w:type="dxa"/>
            <w:tcBorders/>
            <w:shd w:fill="FFFFFF" w:val="clear"/>
            <w:vAlign w:val="center"/>
          </w:tcPr>
          <w:p>
            <w:pPr>
              <w:pStyle w:val="TableContents"/>
              <w:bidi w:val="0"/>
              <w:spacing w:before="0" w:after="283"/>
              <w:jc w:val="center"/>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551"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1" w:type="dxa"/>
            <w:tcBorders/>
            <w:shd w:fill="FFFFFF" w:val="clear"/>
            <w:vAlign w:val="center"/>
          </w:tcPr>
          <w:p>
            <w:pPr>
              <w:pStyle w:val="TableContents"/>
              <w:bidi w:val="0"/>
              <w:spacing w:before="0" w:after="283"/>
              <w:jc w:val="center"/>
              <w:rPr/>
            </w:pPr>
            <w:r>
              <w:rPr/>
              <w:t> </w:t>
            </w:r>
          </w:p>
        </w:tc>
        <w:tc>
          <w:tcPr>
            <w:tcW w:w="11542" w:type="dxa"/>
            <w:gridSpan w:val="3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1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863,963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2,691,665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3,186,677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option exercises</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4"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stock for equity awards, net of forfeitures</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64"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4"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 withholdings on equity award vesting</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4"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share-based compensation</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4"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4"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Treasury stock purchases</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4"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(141,272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(141,272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Excise taxes on treasury stock purchases</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4"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24"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comprehensive income, net of taxes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2,935,555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3,303,610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3504" w:type="dxa"/>
        <w:jc w:val="left"/>
        <w:tblInd w:w="0" w:type="dxa"/>
        <w:tblLayout w:type="fixed"/>
        <w:tblCellMar>
          <w:top w:w="28" w:type="dxa"/>
          <w:left w:w="28" w:type="dxa"/>
          <w:bottom w:w="28" w:type="dxa"/>
          <w:right w:w="28" w:type="dxa"/>
        </w:tblCellMar>
      </w:tblPr>
      <w:tblGrid>
        <w:gridCol w:w="1551"/>
        <w:gridCol w:w="146"/>
        <w:gridCol w:w="676"/>
        <w:gridCol w:w="146"/>
        <w:gridCol w:w="146"/>
        <w:gridCol w:w="211"/>
        <w:gridCol w:w="571"/>
        <w:gridCol w:w="146"/>
        <w:gridCol w:w="146"/>
        <w:gridCol w:w="211"/>
        <w:gridCol w:w="781"/>
        <w:gridCol w:w="166"/>
        <w:gridCol w:w="146"/>
        <w:gridCol w:w="364"/>
        <w:gridCol w:w="852"/>
        <w:gridCol w:w="146"/>
        <w:gridCol w:w="146"/>
        <w:gridCol w:w="211"/>
        <w:gridCol w:w="931"/>
        <w:gridCol w:w="146"/>
        <w:gridCol w:w="146"/>
        <w:gridCol w:w="146"/>
        <w:gridCol w:w="631"/>
        <w:gridCol w:w="166"/>
        <w:gridCol w:w="146"/>
        <w:gridCol w:w="211"/>
        <w:gridCol w:w="841"/>
        <w:gridCol w:w="166"/>
        <w:gridCol w:w="146"/>
        <w:gridCol w:w="300"/>
        <w:gridCol w:w="901"/>
        <w:gridCol w:w="166"/>
        <w:gridCol w:w="146"/>
        <w:gridCol w:w="211"/>
        <w:gridCol w:w="931"/>
        <w:gridCol w:w="411"/>
      </w:tblGrid>
      <w:tr>
        <w:trPr/>
        <w:tc>
          <w:tcPr>
            <w:tcW w:w="1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51"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551" w:type="dxa"/>
            <w:tcBorders/>
            <w:shd w:fill="FFFFFF" w:val="clear"/>
            <w:vAlign w:val="center"/>
          </w:tcPr>
          <w:p>
            <w:pPr>
              <w:pStyle w:val="TableContents"/>
              <w:bidi w:val="0"/>
              <w:spacing w:before="0" w:after="283"/>
              <w:jc w:val="center"/>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551"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1" w:type="dxa"/>
            <w:tcBorders/>
            <w:shd w:fill="FFFFFF" w:val="clear"/>
            <w:vAlign w:val="center"/>
          </w:tcPr>
          <w:p>
            <w:pPr>
              <w:pStyle w:val="TableContents"/>
              <w:bidi w:val="0"/>
              <w:spacing w:before="0" w:after="283"/>
              <w:jc w:val="center"/>
              <w:rPr/>
            </w:pPr>
            <w:r>
              <w:rPr/>
              <w:t> </w:t>
            </w:r>
          </w:p>
        </w:tc>
        <w:tc>
          <w:tcPr>
            <w:tcW w:w="11542" w:type="dxa"/>
            <w:gridSpan w:val="3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1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859,345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2,468,730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(308,598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3,045,168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option exercises</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4"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0"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stock for equity awards, net of forfeitures</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64"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0"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 withholdings on equity award vesting</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4"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0"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share-based compensation</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4"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0"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Treasury stock purchases</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4"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(60,910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0"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(60,910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Excise taxes on treasury stock purchases</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4"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0"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comprehensive income, net of taxes</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4"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0"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163,168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Return of investment to noncontrolling 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861,928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2,629,759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3,158,082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KIRBY CORPORATION AND CONSOLIDATED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w:t>
        <w:br/>
        <w:t>(Unaudited)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color w:val="000000"/>
          <w:sz w:val="20"/>
        </w:rPr>
        <w:t>Basis for Preparation of the Condensed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condensed financial statements included herein have been prepared by Kirby Corporation and its consolidated subsidiaries (“Kirby” or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2023. Certain reclassifications have been made to reflect the current presentation of financial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Effective January 1, 2024, the power generation revenue source within the distribution and services segment has been broken out from the commercial and industrial and oil and gas revenue sources due to the significance of the power generation market to the Company’s growth. This change had no net impact on overall Company or segment revenues and has been reflected retrospectively for all periods presented.</w:t>
      </w:r>
    </w:p>
    <w:p>
      <w:pPr>
        <w:pStyle w:val="TextBody"/>
        <w:bidi w:val="0"/>
        <w:spacing w:before="200" w:after="283"/>
        <w:jc w:val="left"/>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w:t>
      </w:r>
      <w:r>
        <w:rPr>
          <w:rFonts w:ascii="Times New Roman" w:hAnsi="Times New Roman"/>
          <w:b/>
          <w:color w:val="000000"/>
          <w:sz w:val="20"/>
        </w:rPr>
        <w:t>Acquisitions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15, 2024, the Company completed the purchase of 13 inland tank barges, with a total capacity of 347,000 barrels, and two high horsepower towboats from an undisclosed seller for $65.2 million in cash. The 13 tank barges, including three specialty barges, transport petrochemicals and refined products on the Mississippi River System and Gulf Intracoastal Waterway. The average age of the 13 barges was 15 years.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July 14, 2023, the Company purchased 23 inland tank barges with a total capacity of 265,000 barrels from an undisclosed seller for $37 million in cash. The 23 tank barges transport petrochemicals and refined products on the Mississippi River System and the Gulf Intracoastal Waterway. The average age of the 23 barges was 14 years.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purchased four inland tank barges from a leasing company for $0.5 million in cash during the 2023 third quarter. The Company had been leasing the barges prior to the purchase.</w:t>
      </w:r>
    </w:p>
    <w:p>
      <w:pPr>
        <w:pStyle w:val="TextBody"/>
        <w:bidi w:val="0"/>
        <w:spacing w:before="200" w:after="283"/>
        <w:jc w:val="left"/>
        <w:rPr>
          <w:rFonts w:ascii="Times New Roman" w:hAnsi="Times New Roman"/>
          <w:sz w:val="20"/>
        </w:rPr>
      </w:pPr>
      <w:r>
        <w:rPr>
          <w:rFonts w:ascii="Times New Roman" w:hAnsi="Times New Roman"/>
          <w:b/>
          <w:color w:val="000000"/>
          <w:sz w:val="20"/>
        </w:rPr>
        <w:t>(3)</w:t>
      </w:r>
      <w:r>
        <w:rPr>
          <w:rFonts w:ascii="Times New Roman" w:hAnsi="Times New Roman"/>
          <w:color w:val="000000"/>
          <w:sz w:val="20"/>
        </w:rPr>
        <w:t xml:space="preserve"> </w:t>
      </w:r>
      <w:r>
        <w:rPr>
          <w:rFonts w:ascii="Times New Roman" w:hAnsi="Times New Roman"/>
          <w:b/>
          <w:color w:val="000000"/>
          <w:sz w:val="20"/>
        </w:rPr>
        <w:t>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the Company’s revenues by major source (in thousands):</w:t>
      </w:r>
    </w:p>
    <w:p>
      <w:pPr>
        <w:pStyle w:val="TextBody"/>
        <w:bidi w:val="0"/>
        <w:jc w:val="both"/>
        <w:rPr/>
      </w:pPr>
      <w:r>
        <w:rPr/>
        <w:t> </w:t>
      </w:r>
    </w:p>
    <w:tbl>
      <w:tblPr>
        <w:tblW w:w="9033" w:type="dxa"/>
        <w:jc w:val="left"/>
        <w:tblInd w:w="0" w:type="dxa"/>
        <w:tblLayout w:type="fixed"/>
        <w:tblCellMar>
          <w:top w:w="28" w:type="dxa"/>
          <w:left w:w="28" w:type="dxa"/>
          <w:bottom w:w="28" w:type="dxa"/>
          <w:right w:w="28" w:type="dxa"/>
        </w:tblCellMar>
      </w:tblPr>
      <w:tblGrid>
        <w:gridCol w:w="2926"/>
        <w:gridCol w:w="146"/>
        <w:gridCol w:w="249"/>
        <w:gridCol w:w="921"/>
        <w:gridCol w:w="172"/>
        <w:gridCol w:w="172"/>
        <w:gridCol w:w="249"/>
        <w:gridCol w:w="921"/>
        <w:gridCol w:w="146"/>
        <w:gridCol w:w="146"/>
        <w:gridCol w:w="212"/>
        <w:gridCol w:w="938"/>
        <w:gridCol w:w="147"/>
        <w:gridCol w:w="147"/>
        <w:gridCol w:w="212"/>
        <w:gridCol w:w="938"/>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Marine transportation segment:</w:t>
            </w:r>
          </w:p>
        </w:tc>
        <w:tc>
          <w:tcPr>
            <w:tcW w:w="146"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right"/>
              <w:rPr/>
            </w:pPr>
            <w:r>
              <w:rPr/>
              <w:t> </w:t>
            </w:r>
          </w:p>
        </w:tc>
        <w:tc>
          <w:tcPr>
            <w:tcW w:w="172" w:type="dxa"/>
            <w:tcBorders/>
            <w:shd w:fill="CFF0FC" w:val="clear"/>
            <w:vAlign w:val="center"/>
          </w:tcPr>
          <w:p>
            <w:pPr>
              <w:pStyle w:val="TableContents"/>
              <w:bidi w:val="0"/>
              <w:spacing w:before="0" w:after="283"/>
              <w:jc w:val="right"/>
              <w:rPr/>
            </w:pPr>
            <w:r>
              <w:rPr/>
              <w:t> </w:t>
            </w:r>
          </w:p>
        </w:tc>
        <w:tc>
          <w:tcPr>
            <w:tcW w:w="172"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0" w:type="dxa"/>
            <w:gridSpan w:val="2"/>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115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9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Inland transportation</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392,617</w:t>
            </w:r>
          </w:p>
        </w:tc>
        <w:tc>
          <w:tcPr>
            <w:tcW w:w="17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1,170,459</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1,043,330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Coastal transportation</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93,437</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275,815</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486,054</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1,446,274</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1,269,342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and services segment:</w:t>
            </w:r>
          </w:p>
        </w:tc>
        <w:tc>
          <w:tcPr>
            <w:tcW w:w="146"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right"/>
              <w:rPr/>
            </w:pPr>
            <w:r>
              <w:rPr/>
              <w:t> </w:t>
            </w:r>
          </w:p>
        </w:tc>
        <w:tc>
          <w:tcPr>
            <w:tcW w:w="172" w:type="dxa"/>
            <w:tcBorders/>
            <w:shd w:fill="CFF0FC" w:val="clear"/>
            <w:vAlign w:val="center"/>
          </w:tcPr>
          <w:p>
            <w:pPr>
              <w:pStyle w:val="TableContents"/>
              <w:bidi w:val="0"/>
              <w:spacing w:before="0" w:after="283"/>
              <w:jc w:val="right"/>
              <w:rPr/>
            </w:pPr>
            <w:r>
              <w:rPr/>
              <w:t> </w:t>
            </w:r>
          </w:p>
        </w:tc>
        <w:tc>
          <w:tcPr>
            <w:tcW w:w="172"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0" w:type="dxa"/>
            <w:gridSpan w:val="2"/>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115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9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and industrial</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162,285</w:t>
            </w:r>
          </w:p>
        </w:tc>
        <w:tc>
          <w:tcPr>
            <w:tcW w:w="17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470,567</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461,159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Power generation</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111,573</w:t>
            </w:r>
          </w:p>
        </w:tc>
        <w:tc>
          <w:tcPr>
            <w:tcW w:w="172"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355,025</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308,319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Oil and gas</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71,237</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191,695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345,095</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1,017,287</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1,023,122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Contract liabilities represent advance consideration received from customers, and are recognized as revenue over time or at a point in time as the related performance obligation is satisfied. Revenues recognized during the nine months ended September 30, 2024 and 2023 that were included in the opening contract liability balances were $101.8 million and $76.8 million, respectively. The Company presents all contract liabilities within the deferred revenues financial statement caption on the balance sheets. The Company did not have any contract assets at September 30, 2024 or December 31, 2023. The Company applies the practical expedient that allows non-disclosure of information about remaining performance obligations that have original expected durations of one year or less.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(4)</w:t>
      </w:r>
      <w:r>
        <w:rPr>
          <w:rFonts w:ascii="Times New Roman" w:hAnsi="Times New Roman"/>
          <w:color w:val="000000"/>
          <w:sz w:val="20"/>
        </w:rPr>
        <w:t xml:space="preserve"> </w:t>
      </w:r>
      <w:r>
        <w:rPr>
          <w:rFonts w:ascii="Times New Roman" w:hAnsi="Times New Roman"/>
          <w:b/>
          <w:color w:val="000000"/>
          <w:sz w:val="20"/>
        </w:rPr>
        <w:t>Segment Data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operations are aggregated into two reportable business segments as follows:</w:t>
      </w:r>
    </w:p>
    <w:p>
      <w:pPr>
        <w:pStyle w:val="TextBody"/>
        <w:bidi w:val="0"/>
        <w:spacing w:before="200" w:after="283"/>
        <w:jc w:val="both"/>
        <w:rPr>
          <w:rFonts w:ascii="Times New Roman" w:hAnsi="Times New Roman"/>
          <w:sz w:val="20"/>
        </w:rPr>
      </w:pPr>
      <w:r>
        <w:rPr>
          <w:rFonts w:ascii="Times New Roman" w:hAnsi="Times New Roman"/>
          <w:i/>
          <w:color w:val="000000"/>
          <w:sz w:val="20"/>
        </w:rPr>
        <w:t>Marine Transportation Segment (“KMT”)</w:t>
      </w:r>
      <w:r>
        <w:rPr>
          <w:rFonts w:ascii="Times New Roman" w:hAnsi="Times New Roman"/>
          <w:color w:val="000000"/>
          <w:sz w:val="20"/>
        </w:rPr>
        <w:t xml:space="preserve"> — Provides marine transportation by United States flagged vessels principally of liquid cargoes throughout the United States inland waterway system, along all three United States coasts, and, to a lesser extent, in United States coastal transportation of dry-bulk cargoes. The principal products transported include petrochemicals, black oil, refined petroleum products, and agricultural chemicals.</w:t>
      </w:r>
    </w:p>
    <w:p>
      <w:pPr>
        <w:pStyle w:val="TextBody"/>
        <w:bidi w:val="0"/>
        <w:spacing w:before="200" w:after="283"/>
        <w:jc w:val="both"/>
        <w:rPr>
          <w:rFonts w:ascii="Times New Roman" w:hAnsi="Times New Roman"/>
          <w:sz w:val="20"/>
        </w:rPr>
      </w:pPr>
      <w:r>
        <w:rPr>
          <w:rFonts w:ascii="Times New Roman" w:hAnsi="Times New Roman"/>
          <w:i/>
          <w:color w:val="000000"/>
          <w:sz w:val="20"/>
        </w:rPr>
        <w:t>Distribution and Services Segment (“KDS”)</w:t>
      </w:r>
      <w:r>
        <w:rPr>
          <w:rFonts w:ascii="Times New Roman" w:hAnsi="Times New Roman"/>
          <w:color w:val="000000"/>
          <w:sz w:val="20"/>
        </w:rPr>
        <w:t xml:space="preserve"> — Provides after-market services and genuine replacement parts for engines, transmissions, reduction gears, and related equipment used in oilfield services, marine, power generation, on-highway, backup power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electric power generation equipment, and specialized electrical distribution and control equipment.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two reportable business segments are managed separately based on fundamental differences in their operations. The Company evaluates the performance of its segments based on the contributions to operating income of the respective segments, before income taxes, interest, gains or losses on disposition of assets, other nonoperating income, noncontrolling interests, accounting changes, and nonrecurring items. Intersegment revenues, based on market-based pricing, of KDS from KMT of $5.0 million and $19.1 million for the three months and nine months ended September 30, 2024, respectively, and $9.9 million and $29.6 million for the three months and nine months ended September 30, 2023, respectively, as well as the related intersegment profit of $0.5 million and $1.9 million for the three months and nine months ended September 30, 2024, respectively, and $1.0 million and $3.0 million for the three months and nine months ended September 30, 2023, respectively, have been eliminated from the tables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tables set forth the Company’s revenues and profit or loss by reportable segment and total assets (in thousands): </w:t>
      </w:r>
    </w:p>
    <w:p>
      <w:pPr>
        <w:pStyle w:val="TextBody"/>
        <w:bidi w:val="0"/>
        <w:jc w:val="both"/>
        <w:rPr/>
      </w:pPr>
      <w:r>
        <w:rPr/>
        <w:t> </w:t>
      </w:r>
    </w:p>
    <w:tbl>
      <w:tblPr>
        <w:tblW w:w="8473" w:type="dxa"/>
        <w:jc w:val="left"/>
        <w:tblInd w:w="0" w:type="dxa"/>
        <w:tblLayout w:type="fixed"/>
        <w:tblCellMar>
          <w:top w:w="28" w:type="dxa"/>
          <w:left w:w="28" w:type="dxa"/>
          <w:bottom w:w="28" w:type="dxa"/>
          <w:right w:w="28" w:type="dxa"/>
        </w:tblCellMar>
      </w:tblPr>
      <w:tblGrid>
        <w:gridCol w:w="2346"/>
        <w:gridCol w:w="146"/>
        <w:gridCol w:w="246"/>
        <w:gridCol w:w="913"/>
        <w:gridCol w:w="194"/>
        <w:gridCol w:w="170"/>
        <w:gridCol w:w="246"/>
        <w:gridCol w:w="913"/>
        <w:gridCol w:w="166"/>
        <w:gridCol w:w="146"/>
        <w:gridCol w:w="211"/>
        <w:gridCol w:w="931"/>
        <w:gridCol w:w="166"/>
        <w:gridCol w:w="146"/>
        <w:gridCol w:w="211"/>
        <w:gridCol w:w="931"/>
        <w:gridCol w:w="391"/>
      </w:tblGrid>
      <w:tr>
        <w:trPr/>
        <w:tc>
          <w:tcPr>
            <w:tcW w:w="2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1159" w:type="dxa"/>
            <w:gridSpan w:val="2"/>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left"/>
              <w:rPr/>
            </w:pPr>
            <w:r>
              <w:rPr/>
              <w:t> </w:t>
            </w:r>
          </w:p>
        </w:tc>
        <w:tc>
          <w:tcPr>
            <w:tcW w:w="115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3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Marine transportation</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486,054</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1,446,274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1,269,342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3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Distribution and services</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345,095</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1,023,122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831,149</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764,772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2,463,561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2,292,464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profit:</w:t>
            </w:r>
          </w:p>
        </w:tc>
        <w:tc>
          <w:tcPr>
            <w:tcW w:w="146" w:type="dxa"/>
            <w:tcBorders/>
            <w:shd w:fill="CFF0FC" w:val="clear"/>
            <w:vAlign w:val="center"/>
          </w:tcPr>
          <w:p>
            <w:pPr>
              <w:pStyle w:val="TableContents"/>
              <w:bidi w:val="0"/>
              <w:spacing w:before="0" w:after="283"/>
              <w:jc w:val="left"/>
              <w:rPr/>
            </w:pPr>
            <w:r>
              <w:rPr/>
              <w:t> </w:t>
            </w:r>
          </w:p>
        </w:tc>
        <w:tc>
          <w:tcPr>
            <w:tcW w:w="1159" w:type="dxa"/>
            <w:gridSpan w:val="2"/>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left"/>
              <w:rPr/>
            </w:pPr>
            <w:r>
              <w:rPr/>
              <w:t> </w:t>
            </w:r>
          </w:p>
        </w:tc>
        <w:tc>
          <w:tcPr>
            <w:tcW w:w="115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3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Marine transportation</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99,476</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170,754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3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Distribution and services</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30,378</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85,828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3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117,381</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5459" w:type="dxa"/>
        <w:jc w:val="left"/>
        <w:tblInd w:w="0" w:type="dxa"/>
        <w:tblLayout w:type="fixed"/>
        <w:tblCellMar>
          <w:top w:w="28" w:type="dxa"/>
          <w:left w:w="28" w:type="dxa"/>
          <w:bottom w:w="28" w:type="dxa"/>
          <w:right w:w="28" w:type="dxa"/>
        </w:tblCellMar>
      </w:tblPr>
      <w:tblGrid>
        <w:gridCol w:w="2346"/>
        <w:gridCol w:w="146"/>
        <w:gridCol w:w="211"/>
        <w:gridCol w:w="931"/>
        <w:gridCol w:w="146"/>
        <w:gridCol w:w="146"/>
        <w:gridCol w:w="211"/>
        <w:gridCol w:w="931"/>
        <w:gridCol w:w="391"/>
      </w:tblGrid>
      <w:tr>
        <w:trPr/>
        <w:tc>
          <w:tcPr>
            <w:tcW w:w="2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3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Marine transportation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4,547,989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4,454,931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3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Distribution and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1,176,845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1,156,384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3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5,870,723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5,722,197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details of “Other” segment loss (in thousands):</w:t>
      </w:r>
    </w:p>
    <w:p>
      <w:pPr>
        <w:pStyle w:val="TextBody"/>
        <w:bidi w:val="0"/>
        <w:jc w:val="left"/>
        <w:rPr/>
      </w:pPr>
      <w:r>
        <w:rPr/>
        <w:t> </w:t>
      </w:r>
    </w:p>
    <w:tbl>
      <w:tblPr>
        <w:tblW w:w="8392" w:type="dxa"/>
        <w:jc w:val="left"/>
        <w:tblInd w:w="0" w:type="dxa"/>
        <w:tblLayout w:type="fixed"/>
        <w:tblCellMar>
          <w:top w:w="28" w:type="dxa"/>
          <w:left w:w="28" w:type="dxa"/>
          <w:bottom w:w="28" w:type="dxa"/>
          <w:right w:w="28" w:type="dxa"/>
        </w:tblCellMar>
      </w:tblPr>
      <w:tblGrid>
        <w:gridCol w:w="2446"/>
        <w:gridCol w:w="146"/>
        <w:gridCol w:w="256"/>
        <w:gridCol w:w="896"/>
        <w:gridCol w:w="202"/>
        <w:gridCol w:w="177"/>
        <w:gridCol w:w="256"/>
        <w:gridCol w:w="896"/>
        <w:gridCol w:w="166"/>
        <w:gridCol w:w="146"/>
        <w:gridCol w:w="248"/>
        <w:gridCol w:w="866"/>
        <w:gridCol w:w="195"/>
        <w:gridCol w:w="171"/>
        <w:gridCol w:w="248"/>
        <w:gridCol w:w="866"/>
        <w:gridCol w:w="21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corporate expenses</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(4,541</w:t>
            </w:r>
          </w:p>
        </w:tc>
        <w:tc>
          <w:tcPr>
            <w:tcW w:w="2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(12,418</w:t>
            </w:r>
          </w:p>
        </w:tc>
        <w:tc>
          <w:tcPr>
            <w:tcW w:w="1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(18,539</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disposition of assets</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w:t>
            </w:r>
          </w:p>
        </w:tc>
        <w:tc>
          <w:tcPr>
            <w:tcW w:w="202"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w:t>
            </w:r>
          </w:p>
        </w:tc>
        <w:tc>
          <w:tcPr>
            <w:tcW w:w="21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(12,498</w:t>
            </w:r>
          </w:p>
        </w:tc>
        <w:tc>
          <w:tcPr>
            <w:tcW w:w="2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(38,468</w:t>
            </w:r>
          </w:p>
        </w:tc>
        <w:tc>
          <w:tcPr>
            <w:tcW w:w="1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(12,473</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(39,374</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details of “Other” total assets (in thousands):</w:t>
      </w:r>
    </w:p>
    <w:p>
      <w:pPr>
        <w:pStyle w:val="TextBody"/>
        <w:bidi w:val="0"/>
        <w:jc w:val="left"/>
        <w:rPr/>
      </w:pPr>
      <w:r>
        <w:rPr/>
        <w:t> </w:t>
      </w:r>
    </w:p>
    <w:tbl>
      <w:tblPr>
        <w:tblW w:w="4935" w:type="dxa"/>
        <w:jc w:val="left"/>
        <w:tblInd w:w="0" w:type="dxa"/>
        <w:tblLayout w:type="fixed"/>
        <w:tblCellMar>
          <w:top w:w="28" w:type="dxa"/>
          <w:left w:w="28" w:type="dxa"/>
          <w:bottom w:w="28" w:type="dxa"/>
          <w:right w:w="28" w:type="dxa"/>
        </w:tblCellMar>
      </w:tblPr>
      <w:tblGrid>
        <w:gridCol w:w="2071"/>
        <w:gridCol w:w="146"/>
        <w:gridCol w:w="242"/>
        <w:gridCol w:w="898"/>
        <w:gridCol w:w="146"/>
        <w:gridCol w:w="146"/>
        <w:gridCol w:w="233"/>
        <w:gridCol w:w="862"/>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corporate assets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108,306</w:t>
            </w:r>
          </w:p>
        </w:tc>
        <w:tc>
          <w:tcPr>
            <w:tcW w:w="191" w:type="dxa"/>
            <w:tcBorders/>
            <w:shd w:fill="CFF0FC"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affiliates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(5)</w:t>
      </w:r>
      <w:r>
        <w:rPr>
          <w:rFonts w:ascii="Times New Roman" w:hAnsi="Times New Roman"/>
          <w:color w:val="000000"/>
          <w:sz w:val="20"/>
        </w:rPr>
        <w:t xml:space="preserve"> </w:t>
      </w:r>
      <w:r>
        <w:rPr>
          <w:rFonts w:ascii="Times New Roman" w:hAnsi="Times New Roman"/>
          <w:b/>
          <w:color w:val="000000"/>
          <w:sz w:val="20"/>
        </w:rPr>
        <w:t>Long-Term Debt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presents the carrying value and fair value (determined using inputs characteristic of a Level 2 fair value measurement) of debt outstanding (in thousands):</w:t>
      </w:r>
    </w:p>
    <w:p>
      <w:pPr>
        <w:pStyle w:val="TextBody"/>
        <w:bidi w:val="0"/>
        <w:jc w:val="left"/>
        <w:rPr/>
      </w:pPr>
      <w:r>
        <w:rPr/>
        <w:t> </w:t>
      </w:r>
    </w:p>
    <w:tbl>
      <w:tblPr>
        <w:tblW w:w="9703" w:type="dxa"/>
        <w:jc w:val="left"/>
        <w:tblInd w:w="0" w:type="dxa"/>
        <w:tblLayout w:type="fixed"/>
        <w:tblCellMar>
          <w:top w:w="28" w:type="dxa"/>
          <w:left w:w="28" w:type="dxa"/>
          <w:bottom w:w="28" w:type="dxa"/>
          <w:right w:w="28" w:type="dxa"/>
        </w:tblCellMar>
      </w:tblPr>
      <w:tblGrid>
        <w:gridCol w:w="3976"/>
        <w:gridCol w:w="146"/>
        <w:gridCol w:w="265"/>
        <w:gridCol w:w="980"/>
        <w:gridCol w:w="166"/>
        <w:gridCol w:w="146"/>
        <w:gridCol w:w="211"/>
        <w:gridCol w:w="781"/>
        <w:gridCol w:w="146"/>
        <w:gridCol w:w="146"/>
        <w:gridCol w:w="230"/>
        <w:gridCol w:w="1015"/>
        <w:gridCol w:w="166"/>
        <w:gridCol w:w="146"/>
        <w:gridCol w:w="211"/>
        <w:gridCol w:w="781"/>
        <w:gridCol w:w="1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due July 29, 2027 (a)</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44,000</w:t>
            </w:r>
          </w:p>
        </w:tc>
        <w:tc>
          <w:tcPr>
            <w:tcW w:w="191" w:type="dxa"/>
            <w:tcBorders/>
            <w:shd w:fill="CFF0FC" w:val="cle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due July 29, 2027 (a)</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w:t>
            </w:r>
          </w:p>
        </w:tc>
        <w:tc>
          <w:tcPr>
            <w:tcW w:w="191" w:type="dxa"/>
            <w:tcBorders/>
            <w:shd w:fill="FFFFFF" w:val="clear"/>
            <w:vAlign w:val="center"/>
          </w:tcPr>
          <w:p>
            <w:pPr>
              <w:pStyle w:val="TableContents"/>
              <w:bidi w:val="0"/>
              <w:spacing w:before="0" w:after="283"/>
              <w:jc w:val="lef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 senior notes due March 1, 2028</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10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475,920</w:t>
            </w:r>
          </w:p>
        </w:tc>
        <w:tc>
          <w:tcPr>
            <w:tcW w:w="191" w:type="dxa"/>
            <w:tcBorders/>
            <w:shd w:fill="CFF0FC" w:val="cle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3.46% senior notes due January 19, 2033</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49,955</w:t>
            </w:r>
          </w:p>
        </w:tc>
        <w:tc>
          <w:tcPr>
            <w:tcW w:w="191" w:type="dxa"/>
            <w:tcBorders/>
            <w:shd w:fill="FFFFFF" w:val="clear"/>
            <w:vAlign w:val="center"/>
          </w:tcPr>
          <w:p>
            <w:pPr>
              <w:pStyle w:val="TableContents"/>
              <w:bidi w:val="0"/>
              <w:spacing w:before="0" w:after="283"/>
              <w:jc w:val="lef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3.51% senior notes due January 19, 2033</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10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200,698</w:t>
            </w:r>
          </w:p>
        </w:tc>
        <w:tc>
          <w:tcPr>
            <w:tcW w:w="191" w:type="dxa"/>
            <w:tcBorders/>
            <w:shd w:fill="CFF0FC" w:val="cle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line due June 30, 2026</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notes payable</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983,174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952,113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1,022,068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948,641</w:t>
            </w:r>
          </w:p>
        </w:tc>
        <w:tc>
          <w:tcPr>
            <w:tcW w:w="191" w:type="dxa"/>
            <w:tcBorders/>
            <w:shd w:fill="FFFFFF" w:val="clear"/>
            <w:vAlign w:val="center"/>
          </w:tcPr>
          <w:p>
            <w:pPr>
              <w:pStyle w:val="TableContents"/>
              <w:bidi w:val="0"/>
              <w:spacing w:before="0" w:after="283"/>
              <w:jc w:val="lef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discounts and issuance costs</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952,113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1,016,595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948,641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Variable interest rate of 6.1% at September 30, 2024 and 6.8% at December 31, 2023.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July 29, 2022, the Company entered into a credit agreement (the “2027 Credit Agreement”) with a group of commercial banks, with JPMorgan Chase Bank, N.A. as the administrative agent bank that allows for a $500 million unsecured revolving credit facility (the “2027 Revolving Credit Facility”) and a $250 million unsecured term loan (the “2027 Term Loan”) with a maturity date of July 29, 2027. In October 2024, the Company repaid $10.0 million under the 2027 Term Loan prior to scheduled maturities. As a result, no repayments are required until September 30, 2025. Future repayments under the 2027 Term Loan are excluded from short term liabilities because the Company intends to use availability under the 2027 Revolving Credit Facility to repay these amounts upon maturity. Outstanding letters of credit under the 2027 Revolving Credit Facility were $6,000 and available borrowing capacity was $495.0 million as of September 30, 2024.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February 3, 2022, the Company entered into a note purchase agreement for the issuance of $300 million of unsecured senior notes with a group of institutional investors, consisting of $60 million of 3.46% series A notes (“Series A Notes”) and $240 million of 3.51% series B notes (“Series B Notes”), each due January 19, 2033 (collectively, the “2033 Notes”). The Series A Notes were issued on October 20, 2022, and the Series B Notes were issued on January 19, 2023. No principal payments will be required until maturity.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a $15 million line of credit (“Credit Line”) with Bank of America, N.A. (“Bank of America”) for short-term liquidity needs and letters of credit, with a maturity date of June 30, 2026. Outstanding letters of credit under the Credit Line were $6.8 million and available borrowing capacity was $8.2 million as of September 30, 2024.</w:t>
      </w:r>
    </w:p>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(6)</w:t>
      </w:r>
      <w:r>
        <w:rPr>
          <w:rFonts w:ascii="Times New Roman" w:hAnsi="Times New Roman"/>
          <w:color w:val="000000"/>
          <w:sz w:val="20"/>
        </w:rPr>
        <w:t xml:space="preserve"> </w:t>
      </w:r>
      <w:r>
        <w:rPr>
          <w:rFonts w:ascii="Times New Roman" w:hAnsi="Times New Roman"/>
          <w:b/>
          <w:color w:val="000000"/>
          <w:sz w:val="20"/>
        </w:rPr>
        <w:t>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currently leases various facilities and equipment under cancelable and noncancelable operating leases. The accounting for the Company’s leases may require judgments, which include determining whether a contract contains a lease, allocating the consideration between lease and non-lease components, and determining the incremental borrowing rates. Leases with an initial noncancelable term of 12 months or less are not recorded on the balance sheet and related lease expense is recognized on a straight-line basis over the lease term. The Company has also elected to combine lease and non-lease components on all classes of leased assets, except for leased towing vessels, for which the Company estimates approximately 70% of the costs relate to service costs and other non-lease components. Variable lease costs relate primarily to real estate executory costs (i.e. taxes, insurance and maintenance).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Future minimum lease payments under operating leases that have initial noncancelable lease terms in excess of one year were as follows (in thousands):</w:t>
      </w:r>
    </w:p>
    <w:p>
      <w:pPr>
        <w:pStyle w:val="TextBody"/>
        <w:bidi w:val="0"/>
        <w:jc w:val="left"/>
        <w:rPr/>
      </w:pPr>
      <w:r>
        <w:rPr/>
        <w:t> </w:t>
      </w:r>
    </w:p>
    <w:tbl>
      <w:tblPr>
        <w:tblW w:w="5510" w:type="dxa"/>
        <w:jc w:val="left"/>
        <w:tblInd w:w="0" w:type="dxa"/>
        <w:tblLayout w:type="fixed"/>
        <w:tblCellMar>
          <w:top w:w="28" w:type="dxa"/>
          <w:left w:w="28" w:type="dxa"/>
          <w:bottom w:w="28" w:type="dxa"/>
          <w:right w:w="28" w:type="dxa"/>
        </w:tblCellMar>
      </w:tblPr>
      <w:tblGrid>
        <w:gridCol w:w="2406"/>
        <w:gridCol w:w="146"/>
        <w:gridCol w:w="242"/>
        <w:gridCol w:w="898"/>
        <w:gridCol w:w="166"/>
        <w:gridCol w:w="146"/>
        <w:gridCol w:w="233"/>
        <w:gridCol w:w="862"/>
        <w:gridCol w:w="411"/>
      </w:tblGrid>
      <w:tr>
        <w:trPr/>
        <w:tc>
          <w:tcPr>
            <w:tcW w:w="2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38,943</w:t>
            </w:r>
          </w:p>
        </w:tc>
        <w:tc>
          <w:tcPr>
            <w:tcW w:w="411" w:type="dxa"/>
            <w:tcBorders/>
            <w:shd w:fill="CFF0FC" w:val="clear"/>
            <w:vAlign w:val="center"/>
          </w:tcPr>
          <w:p>
            <w:pPr>
              <w:pStyle w:val="TableContents"/>
              <w:bidi w:val="0"/>
              <w:spacing w:before="0" w:after="283"/>
              <w:jc w:val="left"/>
              <w:rPr/>
            </w:pPr>
            <w:r>
              <w:rPr/>
              <w:t> </w:t>
            </w:r>
          </w:p>
        </w:tc>
      </w:tr>
      <w:tr>
        <w:trPr/>
        <w:tc>
          <w:tcPr>
            <w:tcW w:w="2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27,638</w:t>
            </w:r>
          </w:p>
        </w:tc>
        <w:tc>
          <w:tcPr>
            <w:tcW w:w="411" w:type="dxa"/>
            <w:tcBorders/>
            <w:shd w:fill="FFFFFF" w:val="clear"/>
            <w:vAlign w:val="center"/>
          </w:tcPr>
          <w:p>
            <w:pPr>
              <w:pStyle w:val="TableContents"/>
              <w:bidi w:val="0"/>
              <w:spacing w:before="0" w:after="283"/>
              <w:jc w:val="left"/>
              <w:rPr/>
            </w:pPr>
            <w:r>
              <w:rPr/>
              <w:t> </w:t>
            </w:r>
          </w:p>
        </w:tc>
      </w:tr>
      <w:tr>
        <w:trPr/>
        <w:tc>
          <w:tcPr>
            <w:tcW w:w="2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24,945</w:t>
            </w:r>
          </w:p>
        </w:tc>
        <w:tc>
          <w:tcPr>
            <w:tcW w:w="411" w:type="dxa"/>
            <w:tcBorders/>
            <w:shd w:fill="CFF0FC" w:val="clear"/>
            <w:vAlign w:val="center"/>
          </w:tcPr>
          <w:p>
            <w:pPr>
              <w:pStyle w:val="TableContents"/>
              <w:bidi w:val="0"/>
              <w:spacing w:before="0" w:after="283"/>
              <w:jc w:val="left"/>
              <w:rPr/>
            </w:pPr>
            <w:r>
              <w:rPr/>
              <w:t> </w:t>
            </w:r>
          </w:p>
        </w:tc>
      </w:tr>
      <w:tr>
        <w:trPr/>
        <w:tc>
          <w:tcPr>
            <w:tcW w:w="2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22,842</w:t>
            </w:r>
          </w:p>
        </w:tc>
        <w:tc>
          <w:tcPr>
            <w:tcW w:w="411" w:type="dxa"/>
            <w:tcBorders/>
            <w:shd w:fill="FFFFFF" w:val="clear"/>
            <w:vAlign w:val="center"/>
          </w:tcPr>
          <w:p>
            <w:pPr>
              <w:pStyle w:val="TableContents"/>
              <w:bidi w:val="0"/>
              <w:spacing w:before="0" w:after="283"/>
              <w:jc w:val="left"/>
              <w:rPr/>
            </w:pPr>
            <w:r>
              <w:rPr/>
              <w:t> </w:t>
            </w:r>
          </w:p>
        </w:tc>
      </w:tr>
      <w:tr>
        <w:trPr/>
        <w:tc>
          <w:tcPr>
            <w:tcW w:w="2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18,318</w:t>
            </w:r>
          </w:p>
        </w:tc>
        <w:tc>
          <w:tcPr>
            <w:tcW w:w="411" w:type="dxa"/>
            <w:tcBorders/>
            <w:shd w:fill="CFF0FC" w:val="clear"/>
            <w:vAlign w:val="center"/>
          </w:tcPr>
          <w:p>
            <w:pPr>
              <w:pStyle w:val="TableContents"/>
              <w:bidi w:val="0"/>
              <w:spacing w:before="0" w:after="283"/>
              <w:jc w:val="left"/>
              <w:rPr/>
            </w:pPr>
            <w:r>
              <w:rPr/>
              <w:t> </w:t>
            </w:r>
          </w:p>
        </w:tc>
      </w:tr>
      <w:tr>
        <w:trPr/>
        <w:tc>
          <w:tcPr>
            <w:tcW w:w="2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212,441</w:t>
            </w:r>
          </w:p>
        </w:tc>
        <w:tc>
          <w:tcPr>
            <w:tcW w:w="411" w:type="dxa"/>
            <w:tcBorders/>
            <w:shd w:fill="CFF0FC" w:val="clear"/>
            <w:vAlign w:val="center"/>
          </w:tcPr>
          <w:p>
            <w:pPr>
              <w:pStyle w:val="TableContents"/>
              <w:bidi w:val="0"/>
              <w:spacing w:before="0" w:after="283"/>
              <w:jc w:val="left"/>
              <w:rPr/>
            </w:pPr>
            <w:r>
              <w:rPr/>
              <w:t> </w:t>
            </w:r>
          </w:p>
        </w:tc>
      </w:tr>
      <w:tr>
        <w:trPr/>
        <w:tc>
          <w:tcPr>
            <w:tcW w:w="2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172,151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lease costs (in thousands):</w:t>
      </w:r>
    </w:p>
    <w:p>
      <w:pPr>
        <w:pStyle w:val="TextBody"/>
        <w:bidi w:val="0"/>
        <w:jc w:val="both"/>
        <w:rPr/>
      </w:pPr>
      <w:r>
        <w:rPr/>
        <w:t> </w:t>
      </w:r>
    </w:p>
    <w:tbl>
      <w:tblPr>
        <w:tblW w:w="7745" w:type="dxa"/>
        <w:jc w:val="left"/>
        <w:tblInd w:w="0" w:type="dxa"/>
        <w:tblLayout w:type="fixed"/>
        <w:tblCellMar>
          <w:top w:w="28" w:type="dxa"/>
          <w:left w:w="28" w:type="dxa"/>
          <w:bottom w:w="28" w:type="dxa"/>
          <w:right w:w="28" w:type="dxa"/>
        </w:tblCellMar>
      </w:tblPr>
      <w:tblGrid>
        <w:gridCol w:w="1801"/>
        <w:gridCol w:w="146"/>
        <w:gridCol w:w="271"/>
        <w:gridCol w:w="870"/>
        <w:gridCol w:w="213"/>
        <w:gridCol w:w="187"/>
        <w:gridCol w:w="271"/>
        <w:gridCol w:w="870"/>
        <w:gridCol w:w="166"/>
        <w:gridCol w:w="146"/>
        <w:gridCol w:w="262"/>
        <w:gridCol w:w="841"/>
        <w:gridCol w:w="206"/>
        <w:gridCol w:w="181"/>
        <w:gridCol w:w="262"/>
        <w:gridCol w:w="841"/>
        <w:gridCol w:w="21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11,728</w:t>
            </w:r>
          </w:p>
        </w:tc>
        <w:tc>
          <w:tcPr>
            <w:tcW w:w="213"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34,608</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31,711</w:t>
            </w:r>
          </w:p>
        </w:tc>
        <w:tc>
          <w:tcPr>
            <w:tcW w:w="211" w:type="dxa"/>
            <w:tcBorders/>
            <w:shd w:fill="CFF0FC" w:val="clear"/>
            <w:vAlign w:val="center"/>
          </w:tcPr>
          <w:p>
            <w:pPr>
              <w:pStyle w:val="TableContents"/>
              <w:bidi w:val="0"/>
              <w:spacing w:before="0" w:after="283"/>
              <w:jc w:val="left"/>
              <w:rPr/>
            </w:pPr>
            <w:r>
              <w:rPr/>
              <w:t> </w:t>
            </w:r>
          </w:p>
        </w:tc>
      </w:tr>
      <w:tr>
        <w:trPr/>
        <w:tc>
          <w:tcPr>
            <w:tcW w:w="18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13"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w:t>
            </w:r>
          </w:p>
        </w:tc>
        <w:tc>
          <w:tcPr>
            <w:tcW w:w="211" w:type="dxa"/>
            <w:tcBorders/>
            <w:shd w:fill="FFFFFF" w:val="clear"/>
            <w:vAlign w:val="center"/>
          </w:tcPr>
          <w:p>
            <w:pPr>
              <w:pStyle w:val="TableContents"/>
              <w:bidi w:val="0"/>
              <w:spacing w:before="0" w:after="283"/>
              <w:jc w:val="left"/>
              <w:rPr/>
            </w:pPr>
            <w:r>
              <w:rPr/>
              <w:t> </w:t>
            </w:r>
          </w:p>
        </w:tc>
      </w:tr>
      <w:tr>
        <w:trPr/>
        <w:tc>
          <w:tcPr>
            <w:tcW w:w="18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9,515</w:t>
            </w:r>
          </w:p>
        </w:tc>
        <w:tc>
          <w:tcPr>
            <w:tcW w:w="213"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28,503</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23,597</w:t>
            </w:r>
          </w:p>
        </w:tc>
        <w:tc>
          <w:tcPr>
            <w:tcW w:w="211" w:type="dxa"/>
            <w:tcBorders/>
            <w:shd w:fill="CFF0FC" w:val="clear"/>
            <w:vAlign w:val="center"/>
          </w:tcPr>
          <w:p>
            <w:pPr>
              <w:pStyle w:val="TableContents"/>
              <w:bidi w:val="0"/>
              <w:spacing w:before="0" w:after="283"/>
              <w:jc w:val="left"/>
              <w:rPr/>
            </w:pPr>
            <w:r>
              <w:rPr/>
              <w:t> </w:t>
            </w:r>
          </w:p>
        </w:tc>
      </w:tr>
      <w:tr>
        <w:trPr/>
        <w:tc>
          <w:tcPr>
            <w:tcW w:w="18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0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20,778</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62,033</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54,712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other supplemental information about the Company’s operating leases:</w:t>
      </w:r>
    </w:p>
    <w:p>
      <w:pPr>
        <w:pStyle w:val="TextBody"/>
        <w:bidi w:val="0"/>
        <w:jc w:val="both"/>
        <w:rPr/>
      </w:pPr>
      <w:r>
        <w:rPr/>
        <w:t> </w:t>
      </w:r>
    </w:p>
    <w:tbl>
      <w:tblPr>
        <w:tblW w:w="6430" w:type="dxa"/>
        <w:jc w:val="left"/>
        <w:tblInd w:w="0" w:type="dxa"/>
        <w:tblLayout w:type="fixed"/>
        <w:tblCellMar>
          <w:top w:w="28" w:type="dxa"/>
          <w:left w:w="28" w:type="dxa"/>
          <w:bottom w:w="28" w:type="dxa"/>
          <w:right w:w="28" w:type="dxa"/>
        </w:tblCellMar>
      </w:tblPr>
      <w:tblGrid>
        <w:gridCol w:w="3316"/>
        <w:gridCol w:w="146"/>
        <w:gridCol w:w="327"/>
        <w:gridCol w:w="813"/>
        <w:gridCol w:w="271"/>
        <w:gridCol w:w="146"/>
        <w:gridCol w:w="314"/>
        <w:gridCol w:w="781"/>
        <w:gridCol w:w="316"/>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8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 years</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 years</w:t>
            </w:r>
          </w:p>
        </w:tc>
        <w:tc>
          <w:tcPr>
            <w:tcW w:w="316"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(7)</w:t>
      </w:r>
      <w:r>
        <w:rPr>
          <w:rFonts w:ascii="Times New Roman" w:hAnsi="Times New Roman"/>
          <w:color w:val="000000"/>
          <w:sz w:val="20"/>
        </w:rPr>
        <w:t xml:space="preserve"> </w:t>
      </w:r>
      <w:r>
        <w:rPr>
          <w:rFonts w:ascii="Times New Roman" w:hAnsi="Times New Roman"/>
          <w:b/>
          <w:color w:val="000000"/>
          <w:sz w:val="20"/>
        </w:rPr>
        <w:t>Stock Award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compensation cost that has been charged against earnings for the Company’s stock award plans and the income tax benefit recognized in the statement of earnings for stock awards were as follows (in thousands):</w:t>
      </w:r>
    </w:p>
    <w:p>
      <w:pPr>
        <w:pStyle w:val="TextBody"/>
        <w:bidi w:val="0"/>
        <w:jc w:val="both"/>
        <w:rPr/>
      </w:pPr>
      <w:r>
        <w:rPr/>
        <w:t> </w:t>
      </w:r>
    </w:p>
    <w:tbl>
      <w:tblPr>
        <w:tblW w:w="7588" w:type="dxa"/>
        <w:jc w:val="left"/>
        <w:tblInd w:w="0" w:type="dxa"/>
        <w:tblLayout w:type="fixed"/>
        <w:tblCellMar>
          <w:top w:w="28" w:type="dxa"/>
          <w:left w:w="28" w:type="dxa"/>
          <w:bottom w:w="28" w:type="dxa"/>
          <w:right w:w="28" w:type="dxa"/>
        </w:tblCellMar>
      </w:tblPr>
      <w:tblGrid>
        <w:gridCol w:w="1681"/>
        <w:gridCol w:w="146"/>
        <w:gridCol w:w="305"/>
        <w:gridCol w:w="826"/>
        <w:gridCol w:w="211"/>
        <w:gridCol w:w="211"/>
        <w:gridCol w:w="305"/>
        <w:gridCol w:w="826"/>
        <w:gridCol w:w="146"/>
        <w:gridCol w:w="146"/>
        <w:gridCol w:w="265"/>
        <w:gridCol w:w="849"/>
        <w:gridCol w:w="183"/>
        <w:gridCol w:w="183"/>
        <w:gridCol w:w="265"/>
        <w:gridCol w:w="849"/>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cost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12,837</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12,310</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21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nine months ended September 30, 2024, the Company granted 166,708 restricted stock units (“RSUs”) to selected officers and other key employees under the employee stock award plan, the majority of which vest ratably over five years. During April 2024, the Company granted 14,624 shares of restricted stock to nonemployee directors of the Company under the director stock plan which vest six months after the date of grant.</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(8)</w:t>
      </w:r>
      <w:r>
        <w:rPr>
          <w:rFonts w:ascii="Times New Roman" w:hAnsi="Times New Roman"/>
          <w:color w:val="000000"/>
          <w:sz w:val="20"/>
        </w:rPr>
        <w:t xml:space="preserve"> </w:t>
      </w:r>
      <w:r>
        <w:rPr>
          <w:rFonts w:ascii="Times New Roman" w:hAnsi="Times New Roman"/>
          <w:b/>
          <w:color w:val="000000"/>
          <w:sz w:val="20"/>
        </w:rPr>
        <w:t>Taxes on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Earnings (loss) before taxes on income and details of the provision (benefit) for taxes on income were as follows (in thousands):</w:t>
      </w:r>
    </w:p>
    <w:p>
      <w:pPr>
        <w:pStyle w:val="TextBody"/>
        <w:bidi w:val="0"/>
        <w:jc w:val="both"/>
        <w:rPr/>
      </w:pPr>
      <w:r>
        <w:rPr/>
        <w:t> </w:t>
      </w:r>
    </w:p>
    <w:tbl>
      <w:tblPr>
        <w:tblW w:w="9676" w:type="dxa"/>
        <w:jc w:val="left"/>
        <w:tblInd w:w="0" w:type="dxa"/>
        <w:tblLayout w:type="fixed"/>
        <w:tblCellMar>
          <w:top w:w="28" w:type="dxa"/>
          <w:left w:w="28" w:type="dxa"/>
          <w:bottom w:w="28" w:type="dxa"/>
          <w:right w:w="28" w:type="dxa"/>
        </w:tblCellMar>
      </w:tblPr>
      <w:tblGrid>
        <w:gridCol w:w="3331"/>
        <w:gridCol w:w="146"/>
        <w:gridCol w:w="258"/>
        <w:gridCol w:w="957"/>
        <w:gridCol w:w="203"/>
        <w:gridCol w:w="178"/>
        <w:gridCol w:w="258"/>
        <w:gridCol w:w="828"/>
        <w:gridCol w:w="166"/>
        <w:gridCol w:w="146"/>
        <w:gridCol w:w="238"/>
        <w:gridCol w:w="883"/>
        <w:gridCol w:w="187"/>
        <w:gridCol w:w="165"/>
        <w:gridCol w:w="238"/>
        <w:gridCol w:w="883"/>
        <w:gridCol w:w="6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before taxes on income:</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left"/>
              <w:rPr/>
            </w:pPr>
            <w:r>
              <w:rPr/>
              <w:t> </w:t>
            </w:r>
          </w:p>
        </w:tc>
        <w:tc>
          <w:tcPr>
            <w:tcW w:w="10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1" w:type="dxa"/>
            <w:gridSpan w:val="2"/>
            <w:tcBorders/>
            <w:shd w:fill="CFF0FC" w:val="clear"/>
            <w:vAlign w:val="center"/>
          </w:tcPr>
          <w:p>
            <w:pPr>
              <w:pStyle w:val="TableContents"/>
              <w:bidi w:val="0"/>
              <w:spacing w:before="0" w:after="283"/>
              <w:jc w:val="right"/>
              <w:rPr/>
            </w:pPr>
            <w:r>
              <w:rPr/>
              <w:t> </w:t>
            </w:r>
          </w:p>
        </w:tc>
        <w:tc>
          <w:tcPr>
            <w:tcW w:w="187" w:type="dxa"/>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left"/>
              <w:rPr/>
            </w:pPr>
            <w:r>
              <w:rPr/>
              <w:t> </w:t>
            </w:r>
          </w:p>
        </w:tc>
        <w:tc>
          <w:tcPr>
            <w:tcW w:w="1121"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3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117,520</w:t>
            </w:r>
          </w:p>
        </w:tc>
        <w:tc>
          <w:tcPr>
            <w:tcW w:w="203"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320,265</w:t>
            </w:r>
          </w:p>
        </w:tc>
        <w:tc>
          <w:tcPr>
            <w:tcW w:w="187"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212,014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3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117,381</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319,789</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212,676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taxes on income:</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left"/>
              <w:rPr/>
            </w:pPr>
            <w:r>
              <w:rPr/>
              <w:t> </w:t>
            </w:r>
          </w:p>
        </w:tc>
        <w:tc>
          <w:tcPr>
            <w:tcW w:w="10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1" w:type="dxa"/>
            <w:gridSpan w:val="2"/>
            <w:tcBorders/>
            <w:shd w:fill="CFF0FC" w:val="clear"/>
            <w:vAlign w:val="center"/>
          </w:tcPr>
          <w:p>
            <w:pPr>
              <w:pStyle w:val="TableContents"/>
              <w:bidi w:val="0"/>
              <w:spacing w:before="0" w:after="283"/>
              <w:jc w:val="right"/>
              <w:rPr/>
            </w:pPr>
            <w:r>
              <w:rPr/>
              <w:t> </w:t>
            </w:r>
          </w:p>
        </w:tc>
        <w:tc>
          <w:tcPr>
            <w:tcW w:w="187" w:type="dxa"/>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left"/>
              <w:rPr/>
            </w:pPr>
            <w:r>
              <w:rPr/>
              <w:t> </w:t>
            </w:r>
          </w:p>
        </w:tc>
        <w:tc>
          <w:tcPr>
            <w:tcW w:w="1121"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3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left"/>
              <w:rPr/>
            </w:pPr>
            <w:r>
              <w:rPr/>
              <w:t> </w:t>
            </w:r>
          </w:p>
        </w:tc>
        <w:tc>
          <w:tcPr>
            <w:tcW w:w="10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1" w:type="dxa"/>
            <w:gridSpan w:val="2"/>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left"/>
              <w:rPr/>
            </w:pPr>
            <w:r>
              <w:rPr/>
              <w:t> </w:t>
            </w:r>
          </w:p>
        </w:tc>
        <w:tc>
          <w:tcPr>
            <w:tcW w:w="1121"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33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10,031</w:t>
            </w:r>
          </w:p>
        </w:tc>
        <w:tc>
          <w:tcPr>
            <w:tcW w:w="203"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29,987</w:t>
            </w:r>
          </w:p>
        </w:tc>
        <w:tc>
          <w:tcPr>
            <w:tcW w:w="187"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13,547</w:t>
            </w:r>
          </w:p>
        </w:tc>
        <w:tc>
          <w:tcPr>
            <w:tcW w:w="203"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35,825</w:t>
            </w:r>
          </w:p>
        </w:tc>
        <w:tc>
          <w:tcPr>
            <w:tcW w:w="187"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44,282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3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 and local:</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left"/>
              <w:rPr/>
            </w:pPr>
            <w:r>
              <w:rPr/>
              <w:t> </w:t>
            </w:r>
          </w:p>
        </w:tc>
        <w:tc>
          <w:tcPr>
            <w:tcW w:w="10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1" w:type="dxa"/>
            <w:gridSpan w:val="2"/>
            <w:tcBorders/>
            <w:shd w:fill="CFF0FC" w:val="clear"/>
            <w:vAlign w:val="center"/>
          </w:tcPr>
          <w:p>
            <w:pPr>
              <w:pStyle w:val="TableContents"/>
              <w:bidi w:val="0"/>
              <w:spacing w:before="0" w:after="283"/>
              <w:jc w:val="right"/>
              <w:rPr/>
            </w:pPr>
            <w:r>
              <w:rPr/>
              <w:t> </w:t>
            </w:r>
          </w:p>
        </w:tc>
        <w:tc>
          <w:tcPr>
            <w:tcW w:w="187" w:type="dxa"/>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left"/>
              <w:rPr/>
            </w:pPr>
            <w:r>
              <w:rPr/>
              <w:t> </w:t>
            </w:r>
          </w:p>
        </w:tc>
        <w:tc>
          <w:tcPr>
            <w:tcW w:w="1121"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33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203"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7,103</w:t>
            </w:r>
          </w:p>
        </w:tc>
        <w:tc>
          <w:tcPr>
            <w:tcW w:w="187"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33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9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203"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w:t>
            </w:r>
          </w:p>
        </w:tc>
        <w:tc>
          <w:tcPr>
            <w:tcW w:w="187"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3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 current</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27,350</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75,861</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51,733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(9)</w:t>
      </w:r>
      <w:r>
        <w:rPr>
          <w:rFonts w:ascii="Times New Roman" w:hAnsi="Times New Roman"/>
          <w:color w:val="000000"/>
          <w:sz w:val="20"/>
        </w:rPr>
        <w:t xml:space="preserve"> </w:t>
      </w:r>
      <w:r>
        <w:rPr>
          <w:rFonts w:ascii="Times New Roman" w:hAnsi="Times New Roman"/>
          <w:b/>
          <w:color w:val="000000"/>
          <w:sz w:val="20"/>
        </w:rPr>
        <w:t>Earnings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components of basic and diluted earnings per share (in thousands, except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316"/>
        <w:gridCol w:w="146"/>
        <w:gridCol w:w="253"/>
        <w:gridCol w:w="814"/>
        <w:gridCol w:w="199"/>
        <w:gridCol w:w="175"/>
        <w:gridCol w:w="253"/>
        <w:gridCol w:w="814"/>
        <w:gridCol w:w="166"/>
        <w:gridCol w:w="146"/>
        <w:gridCol w:w="230"/>
        <w:gridCol w:w="853"/>
        <w:gridCol w:w="180"/>
        <w:gridCol w:w="159"/>
        <w:gridCol w:w="230"/>
        <w:gridCol w:w="853"/>
        <w:gridCol w:w="418"/>
      </w:tblGrid>
      <w:tr>
        <w:trPr/>
        <w:tc>
          <w:tcPr>
            <w:tcW w:w="4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3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attributable to Kirby</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89,968</w:t>
            </w:r>
          </w:p>
        </w:tc>
        <w:tc>
          <w:tcPr>
            <w:tcW w:w="199"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243,890</w:t>
            </w:r>
          </w:p>
        </w:tc>
        <w:tc>
          <w:tcPr>
            <w:tcW w:w="180"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161,029</w:t>
            </w:r>
          </w:p>
        </w:tc>
        <w:tc>
          <w:tcPr>
            <w:tcW w:w="418" w:type="dxa"/>
            <w:tcBorders/>
            <w:shd w:fill="CFF0FC" w:val="clear"/>
            <w:vAlign w:val="center"/>
          </w:tcPr>
          <w:p>
            <w:pPr>
              <w:pStyle w:val="TableContents"/>
              <w:bidi w:val="0"/>
              <w:spacing w:before="0" w:after="283"/>
              <w:jc w:val="left"/>
              <w:rPr/>
            </w:pPr>
            <w:r>
              <w:rPr/>
              <w:t> </w:t>
            </w:r>
          </w:p>
        </w:tc>
      </w:tr>
      <w:tr>
        <w:trPr/>
        <w:tc>
          <w:tcPr>
            <w:tcW w:w="4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Undistributed earnings allocated to restricted shares</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Earnings available to Kirby common stockholders – basic</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89,944</w:t>
            </w:r>
          </w:p>
        </w:tc>
        <w:tc>
          <w:tcPr>
            <w:tcW w:w="199"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243,854</w:t>
            </w:r>
          </w:p>
        </w:tc>
        <w:tc>
          <w:tcPr>
            <w:tcW w:w="180"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160,979</w:t>
            </w:r>
          </w:p>
        </w:tc>
        <w:tc>
          <w:tcPr>
            <w:tcW w:w="418" w:type="dxa"/>
            <w:tcBorders/>
            <w:shd w:fill="CFF0FC" w:val="clear"/>
            <w:vAlign w:val="center"/>
          </w:tcPr>
          <w:p>
            <w:pPr>
              <w:pStyle w:val="TableContents"/>
              <w:bidi w:val="0"/>
              <w:spacing w:before="0" w:after="283"/>
              <w:jc w:val="left"/>
              <w:rPr/>
            </w:pPr>
            <w:r>
              <w:rPr/>
              <w:t> </w:t>
            </w:r>
          </w:p>
        </w:tc>
      </w:tr>
      <w:tr>
        <w:trPr/>
        <w:tc>
          <w:tcPr>
            <w:tcW w:w="4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Undistributed earnings allocated to restricted shares</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8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18" w:type="dxa"/>
            <w:tcBorders/>
            <w:shd w:fill="FFFFFF" w:val="clear"/>
            <w:vAlign w:val="center"/>
          </w:tcPr>
          <w:p>
            <w:pPr>
              <w:pStyle w:val="TableContents"/>
              <w:bidi w:val="0"/>
              <w:spacing w:before="0" w:after="283"/>
              <w:jc w:val="left"/>
              <w:rPr/>
            </w:pPr>
            <w:r>
              <w:rPr/>
              <w:t> </w:t>
            </w:r>
          </w:p>
        </w:tc>
      </w:tr>
      <w:tr>
        <w:trPr/>
        <w:tc>
          <w:tcPr>
            <w:tcW w:w="4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Undistributed earnings reallocated to restricted shares</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Earnings available to Kirby common stockholders – diluted</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89,945</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243,855</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160,979</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3" w:type="dxa"/>
            <w:gridSpan w:val="2"/>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083" w:type="dxa"/>
            <w:gridSpan w:val="2"/>
            <w:tcBorders/>
            <w:shd w:fill="CFF0FC" w:val="clear"/>
            <w:vAlign w:val="center"/>
          </w:tcPr>
          <w:p>
            <w:pPr>
              <w:pStyle w:val="TableContents"/>
              <w:bidi w:val="0"/>
              <w:spacing w:before="0" w:after="283"/>
              <w:jc w:val="right"/>
              <w:rPr/>
            </w:pPr>
            <w:r>
              <w:rPr/>
              <w:t> </w:t>
            </w:r>
          </w:p>
        </w:tc>
        <w:tc>
          <w:tcPr>
            <w:tcW w:w="418" w:type="dxa"/>
            <w:tcBorders/>
            <w:shd w:fill="CFF0FC" w:val="clear"/>
            <w:vAlign w:val="center"/>
          </w:tcPr>
          <w:p>
            <w:pPr>
              <w:pStyle w:val="TableContents"/>
              <w:bidi w:val="0"/>
              <w:spacing w:before="0" w:after="283"/>
              <w:jc w:val="right"/>
              <w:rPr/>
            </w:pPr>
            <w:r>
              <w:rPr/>
              <w:t> </w:t>
            </w:r>
          </w:p>
        </w:tc>
      </w:tr>
      <w:tr>
        <w:trPr/>
        <w:tc>
          <w:tcPr>
            <w:tcW w:w="4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3" w:type="dxa"/>
            <w:gridSpan w:val="2"/>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083" w:type="dxa"/>
            <w:gridSpan w:val="2"/>
            <w:tcBorders/>
            <w:shd w:fill="FFFFFF" w:val="clear"/>
            <w:vAlign w:val="center"/>
          </w:tcPr>
          <w:p>
            <w:pPr>
              <w:pStyle w:val="TableContents"/>
              <w:bidi w:val="0"/>
              <w:spacing w:before="0" w:after="283"/>
              <w:jc w:val="right"/>
              <w:rPr/>
            </w:pPr>
            <w:r>
              <w:rPr/>
              <w:t> </w:t>
            </w:r>
          </w:p>
        </w:tc>
        <w:tc>
          <w:tcPr>
            <w:tcW w:w="418" w:type="dxa"/>
            <w:tcBorders/>
            <w:shd w:fill="FFFFFF" w:val="clear"/>
            <w:vAlign w:val="center"/>
          </w:tcPr>
          <w:p>
            <w:pPr>
              <w:pStyle w:val="TableContents"/>
              <w:bidi w:val="0"/>
              <w:spacing w:before="0" w:after="283"/>
              <w:jc w:val="right"/>
              <w:rPr/>
            </w:pPr>
            <w:r>
              <w:rPr/>
              <w:t> </w:t>
            </w:r>
          </w:p>
        </w:tc>
      </w:tr>
      <w:tr>
        <w:trPr/>
        <w:tc>
          <w:tcPr>
            <w:tcW w:w="4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stock issued and outstanding</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57,767</w:t>
            </w:r>
          </w:p>
        </w:tc>
        <w:tc>
          <w:tcPr>
            <w:tcW w:w="199"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58,138</w:t>
            </w:r>
          </w:p>
        </w:tc>
        <w:tc>
          <w:tcPr>
            <w:tcW w:w="180"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59,739</w:t>
            </w:r>
          </w:p>
        </w:tc>
        <w:tc>
          <w:tcPr>
            <w:tcW w:w="418" w:type="dxa"/>
            <w:tcBorders/>
            <w:shd w:fill="CFF0FC" w:val="clear"/>
            <w:vAlign w:val="center"/>
          </w:tcPr>
          <w:p>
            <w:pPr>
              <w:pStyle w:val="TableContents"/>
              <w:bidi w:val="0"/>
              <w:spacing w:before="0" w:after="283"/>
              <w:jc w:val="left"/>
              <w:rPr/>
            </w:pPr>
            <w:r>
              <w:rPr/>
              <w:t> </w:t>
            </w:r>
          </w:p>
        </w:tc>
      </w:tr>
      <w:tr>
        <w:trPr/>
        <w:tc>
          <w:tcPr>
            <w:tcW w:w="4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unvested restricted stock</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common stock outstanding – basic</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57,753</w:t>
            </w:r>
          </w:p>
        </w:tc>
        <w:tc>
          <w:tcPr>
            <w:tcW w:w="199"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58,129</w:t>
            </w:r>
          </w:p>
        </w:tc>
        <w:tc>
          <w:tcPr>
            <w:tcW w:w="180"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59,721</w:t>
            </w:r>
          </w:p>
        </w:tc>
        <w:tc>
          <w:tcPr>
            <w:tcW w:w="418" w:type="dxa"/>
            <w:tcBorders/>
            <w:shd w:fill="CFF0FC" w:val="clear"/>
            <w:vAlign w:val="center"/>
          </w:tcPr>
          <w:p>
            <w:pPr>
              <w:pStyle w:val="TableContents"/>
              <w:bidi w:val="0"/>
              <w:spacing w:before="0" w:after="283"/>
              <w:jc w:val="left"/>
              <w:rPr/>
            </w:pPr>
            <w:r>
              <w:rPr/>
              <w:t> </w:t>
            </w:r>
          </w:p>
        </w:tc>
      </w:tr>
      <w:tr>
        <w:trPr/>
        <w:tc>
          <w:tcPr>
            <w:tcW w:w="4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stock options and restricted stock units</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common stock outstanding – diluted</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58,186</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58,526</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60,033</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1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3" w:type="dxa"/>
            <w:gridSpan w:val="2"/>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083" w:type="dxa"/>
            <w:gridSpan w:val="2"/>
            <w:tcBorders/>
            <w:shd w:fill="FFFFFF" w:val="clear"/>
            <w:vAlign w:val="center"/>
          </w:tcPr>
          <w:p>
            <w:pPr>
              <w:pStyle w:val="TableContents"/>
              <w:bidi w:val="0"/>
              <w:spacing w:before="0" w:after="283"/>
              <w:jc w:val="right"/>
              <w:rPr/>
            </w:pPr>
            <w:r>
              <w:rPr/>
              <w:t> </w:t>
            </w:r>
          </w:p>
        </w:tc>
        <w:tc>
          <w:tcPr>
            <w:tcW w:w="418" w:type="dxa"/>
            <w:tcBorders/>
            <w:shd w:fill="FFFFFF" w:val="clear"/>
            <w:vAlign w:val="center"/>
          </w:tcPr>
          <w:p>
            <w:pPr>
              <w:pStyle w:val="TableContents"/>
              <w:bidi w:val="0"/>
              <w:spacing w:before="0" w:after="283"/>
              <w:jc w:val="right"/>
              <w:rPr/>
            </w:pPr>
            <w:r>
              <w:rPr/>
              <w:t> </w:t>
            </w:r>
          </w:p>
        </w:tc>
      </w:tr>
      <w:tr>
        <w:trPr/>
        <w:tc>
          <w:tcPr>
            <w:tcW w:w="4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per share attributable to Kirby common stockholders:</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3" w:type="dxa"/>
            <w:gridSpan w:val="2"/>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083" w:type="dxa"/>
            <w:gridSpan w:val="2"/>
            <w:tcBorders/>
            <w:shd w:fill="CFF0FC" w:val="clear"/>
            <w:vAlign w:val="center"/>
          </w:tcPr>
          <w:p>
            <w:pPr>
              <w:pStyle w:val="TableContents"/>
              <w:bidi w:val="0"/>
              <w:spacing w:before="0" w:after="283"/>
              <w:jc w:val="right"/>
              <w:rPr/>
            </w:pPr>
            <w:r>
              <w:rPr/>
              <w:t> </w:t>
            </w:r>
          </w:p>
        </w:tc>
        <w:tc>
          <w:tcPr>
            <w:tcW w:w="418" w:type="dxa"/>
            <w:tcBorders/>
            <w:shd w:fill="CFF0FC" w:val="clear"/>
            <w:vAlign w:val="center"/>
          </w:tcPr>
          <w:p>
            <w:pPr>
              <w:pStyle w:val="TableContents"/>
              <w:bidi w:val="0"/>
              <w:spacing w:before="0" w:after="283"/>
              <w:ind w:left="0" w:right="0" w:firstLine="200"/>
              <w:jc w:val="right"/>
              <w:rPr/>
            </w:pPr>
            <w:r>
              <w:rPr/>
              <w:t> </w:t>
            </w:r>
          </w:p>
        </w:tc>
      </w:tr>
      <w:tr>
        <w:trPr/>
        <w:tc>
          <w:tcPr>
            <w:tcW w:w="43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outstanding options to purchase approximately 33,000 shares of common stock were excluded in the computation of diluted earnings per share as of September 30, 2023, as such stock options would have been antidilutive. There were no antidilutive stock options as of September 30, 2024. There were no antidilutive RSUs as of September 30, 2024 and 2023.</w:t>
      </w:r>
    </w:p>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(10)</w:t>
      </w:r>
      <w:r>
        <w:rPr>
          <w:rFonts w:ascii="Times New Roman" w:hAnsi="Times New Roman"/>
          <w:color w:val="000000"/>
          <w:sz w:val="20"/>
        </w:rPr>
        <w:t xml:space="preserve"> </w:t>
      </w:r>
      <w:r>
        <w:rPr>
          <w:rFonts w:ascii="Times New Roman" w:hAnsi="Times New Roman"/>
          <w:b/>
          <w:color w:val="000000"/>
          <w:sz w:val="20"/>
        </w:rPr>
        <w:t>Inventories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details of inventories – net (in thousands):</w:t>
      </w:r>
    </w:p>
    <w:p>
      <w:pPr>
        <w:pStyle w:val="TextBody"/>
        <w:bidi w:val="0"/>
        <w:jc w:val="both"/>
        <w:rPr/>
      </w:pPr>
      <w:r>
        <w:rPr/>
        <w:t> </w:t>
      </w:r>
    </w:p>
    <w:tbl>
      <w:tblPr>
        <w:tblW w:w="4290" w:type="dxa"/>
        <w:jc w:val="left"/>
        <w:tblInd w:w="0" w:type="dxa"/>
        <w:tblLayout w:type="fixed"/>
        <w:tblCellMar>
          <w:top w:w="28" w:type="dxa"/>
          <w:left w:w="28" w:type="dxa"/>
          <w:bottom w:w="28" w:type="dxa"/>
          <w:right w:w="28" w:type="dxa"/>
        </w:tblCellMar>
      </w:tblPr>
      <w:tblGrid>
        <w:gridCol w:w="1426"/>
        <w:gridCol w:w="146"/>
        <w:gridCol w:w="242"/>
        <w:gridCol w:w="898"/>
        <w:gridCol w:w="146"/>
        <w:gridCol w:w="146"/>
        <w:gridCol w:w="233"/>
        <w:gridCol w:w="862"/>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351,050</w:t>
            </w:r>
          </w:p>
        </w:tc>
        <w:tc>
          <w:tcPr>
            <w:tcW w:w="191" w:type="dxa"/>
            <w:tcBorders/>
            <w:shd w:fill="CFF0FC" w:val="cle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(11)</w:t>
      </w:r>
      <w:r>
        <w:rPr>
          <w:rFonts w:ascii="Times New Roman" w:hAnsi="Times New Roman"/>
          <w:color w:val="000000"/>
          <w:sz w:val="20"/>
        </w:rPr>
        <w:t xml:space="preserve"> </w:t>
      </w:r>
      <w:r>
        <w:rPr>
          <w:rFonts w:ascii="Times New Roman" w:hAnsi="Times New Roman"/>
          <w:b/>
          <w:color w:val="000000"/>
          <w:sz w:val="20"/>
        </w:rPr>
        <w:t>Retirement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sponsors a defined benefit plan for certain of its inland vessel personnel and shore based tankermen. The plan benefits are based on an employee’s years of service and compensation. The plan assets consist primarily of equity and fixed income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the Kirby pension plan during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14, 2018, with the acquisition of Higman Marine, Inc. and its affiliated companies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made contributions of $1.4 million to the Higman pension plan during the nine months ended September 30, 2024. The Company expects to make additional contributions of $0.3 million during the remainder of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sponsors an unfunded defined benefit health care plan that provides limited postretirement medical benefits to employees who meet minimum age and service requirements, and to eligible dependents.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components of net periodic benefit cost for the Company’s defined benefit plans were as follows (in thousands):</w:t>
      </w:r>
    </w:p>
    <w:tbl>
      <w:tblPr>
        <w:tblW w:w="9850" w:type="dxa"/>
        <w:jc w:val="left"/>
        <w:tblInd w:w="0" w:type="dxa"/>
        <w:tblLayout w:type="fixed"/>
        <w:tblCellMar>
          <w:top w:w="28" w:type="dxa"/>
          <w:left w:w="28" w:type="dxa"/>
          <w:bottom w:w="28" w:type="dxa"/>
          <w:right w:w="28" w:type="dxa"/>
        </w:tblCellMar>
      </w:tblPr>
      <w:tblGrid>
        <w:gridCol w:w="3436"/>
        <w:gridCol w:w="146"/>
        <w:gridCol w:w="283"/>
        <w:gridCol w:w="849"/>
        <w:gridCol w:w="223"/>
        <w:gridCol w:w="196"/>
        <w:gridCol w:w="283"/>
        <w:gridCol w:w="849"/>
        <w:gridCol w:w="166"/>
        <w:gridCol w:w="146"/>
        <w:gridCol w:w="403"/>
        <w:gridCol w:w="660"/>
        <w:gridCol w:w="278"/>
        <w:gridCol w:w="278"/>
        <w:gridCol w:w="403"/>
        <w:gridCol w:w="660"/>
        <w:gridCol w:w="5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 Benefits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 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SERP</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shd w:fill="FFFFFF" w:val="cle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of net periodic benefit cost:</w:t>
            </w:r>
          </w:p>
        </w:tc>
        <w:tc>
          <w:tcPr>
            <w:tcW w:w="146" w:type="dxa"/>
            <w:tcBorders/>
            <w:shd w:fill="CFF0FC" w:val="clear"/>
            <w:vAlign w:val="center"/>
          </w:tcPr>
          <w:p>
            <w:pPr>
              <w:pStyle w:val="TableContents"/>
              <w:bidi w:val="0"/>
              <w:spacing w:before="0" w:after="283"/>
              <w:jc w:val="left"/>
              <w:rPr/>
            </w:pPr>
            <w:r>
              <w:rPr/>
              <w:t> </w:t>
            </w:r>
          </w:p>
        </w:tc>
        <w:tc>
          <w:tcPr>
            <w:tcW w:w="1132" w:type="dxa"/>
            <w:gridSpan w:val="2"/>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1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3" w:type="dxa"/>
            <w:gridSpan w:val="2"/>
            <w:tcBorders/>
            <w:shd w:fill="CFF0FC" w:val="clear"/>
            <w:vAlign w:val="center"/>
          </w:tcPr>
          <w:p>
            <w:pPr>
              <w:pStyle w:val="TableContents"/>
              <w:bidi w:val="0"/>
              <w:spacing w:before="0" w:after="283"/>
              <w:jc w:val="right"/>
              <w:rPr/>
            </w:pPr>
            <w:r>
              <w:rPr/>
              <w:t> </w:t>
            </w:r>
          </w:p>
        </w:tc>
        <w:tc>
          <w:tcPr>
            <w:tcW w:w="278" w:type="dxa"/>
            <w:tcBorders/>
            <w:shd w:fill="CFF0FC" w:val="clear"/>
            <w:vAlign w:val="center"/>
          </w:tcPr>
          <w:p>
            <w:pPr>
              <w:pStyle w:val="TableContents"/>
              <w:bidi w:val="0"/>
              <w:spacing w:before="0" w:after="283"/>
              <w:jc w:val="right"/>
              <w:rPr/>
            </w:pPr>
            <w:r>
              <w:rPr/>
              <w:t> </w:t>
            </w:r>
          </w:p>
        </w:tc>
        <w:tc>
          <w:tcPr>
            <w:tcW w:w="278" w:type="dxa"/>
            <w:tcBorders/>
            <w:shd w:fill="CFF0FC" w:val="clear"/>
            <w:vAlign w:val="center"/>
          </w:tcPr>
          <w:p>
            <w:pPr>
              <w:pStyle w:val="TableContents"/>
              <w:bidi w:val="0"/>
              <w:spacing w:before="0" w:after="283"/>
              <w:jc w:val="left"/>
              <w:rPr/>
            </w:pPr>
            <w:r>
              <w:rPr/>
              <w:t> </w:t>
            </w:r>
          </w:p>
        </w:tc>
        <w:tc>
          <w:tcPr>
            <w:tcW w:w="1063"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4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22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FFFFFF" w:val="clear"/>
            <w:vAlign w:val="center"/>
          </w:tcPr>
          <w:p>
            <w:pPr>
              <w:pStyle w:val="TableContents"/>
              <w:bidi w:val="0"/>
              <w:spacing w:before="0" w:after="283"/>
              <w:jc w:val="right"/>
              <w:rPr>
                <w:color w:val="000000"/>
              </w:rPr>
            </w:pPr>
            <w:r>
              <w:rPr>
                <w:color w:val="000000"/>
              </w:rPr>
              <w:t>—</w:t>
            </w:r>
          </w:p>
        </w:tc>
        <w:tc>
          <w:tcPr>
            <w:tcW w:w="278"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4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w:t>
            </w:r>
          </w:p>
        </w:tc>
        <w:tc>
          <w:tcPr>
            <w:tcW w:w="223"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8"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4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(6,221</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color w:val="000000"/>
              </w:rPr>
            </w:pPr>
            <w:r>
              <w:rPr>
                <w:color w:val="000000"/>
              </w:rPr>
              <w:t>—</w:t>
            </w:r>
          </w:p>
        </w:tc>
        <w:tc>
          <w:tcPr>
            <w:tcW w:w="278"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4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actuarial (gain) loss</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671" w:type="dxa"/>
        <w:jc w:val="left"/>
        <w:tblInd w:w="0" w:type="dxa"/>
        <w:tblLayout w:type="fixed"/>
        <w:tblCellMar>
          <w:top w:w="28" w:type="dxa"/>
          <w:left w:w="28" w:type="dxa"/>
          <w:bottom w:w="28" w:type="dxa"/>
          <w:right w:w="28" w:type="dxa"/>
        </w:tblCellMar>
      </w:tblPr>
      <w:tblGrid>
        <w:gridCol w:w="3436"/>
        <w:gridCol w:w="146"/>
        <w:gridCol w:w="248"/>
        <w:gridCol w:w="866"/>
        <w:gridCol w:w="195"/>
        <w:gridCol w:w="171"/>
        <w:gridCol w:w="248"/>
        <w:gridCol w:w="866"/>
        <w:gridCol w:w="166"/>
        <w:gridCol w:w="146"/>
        <w:gridCol w:w="389"/>
        <w:gridCol w:w="638"/>
        <w:gridCol w:w="269"/>
        <w:gridCol w:w="269"/>
        <w:gridCol w:w="389"/>
        <w:gridCol w:w="638"/>
        <w:gridCol w:w="5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9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 Benefits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 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SERP</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 w:type="dxa"/>
            <w:tcBorders/>
            <w:shd w:fill="FFFFFF" w:val="clear"/>
            <w:vAlign w:val="center"/>
          </w:tcPr>
          <w:p>
            <w:pPr>
              <w:pStyle w:val="TableContents"/>
              <w:bidi w:val="0"/>
              <w:spacing w:before="0" w:after="283"/>
              <w:jc w:val="lef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of net periodic benefit cost:</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7" w:type="dxa"/>
            <w:gridSpan w:val="2"/>
            <w:tcBorders/>
            <w:shd w:fill="CFF0FC" w:val="clear"/>
            <w:vAlign w:val="center"/>
          </w:tcPr>
          <w:p>
            <w:pPr>
              <w:pStyle w:val="TableContents"/>
              <w:bidi w:val="0"/>
              <w:spacing w:before="0" w:after="283"/>
              <w:jc w:val="right"/>
              <w:rPr/>
            </w:pPr>
            <w:r>
              <w:rPr/>
              <w:t> </w:t>
            </w:r>
          </w:p>
        </w:tc>
        <w:tc>
          <w:tcPr>
            <w:tcW w:w="269" w:type="dxa"/>
            <w:tcBorders/>
            <w:shd w:fill="CFF0FC" w:val="clear"/>
            <w:vAlign w:val="center"/>
          </w:tcPr>
          <w:p>
            <w:pPr>
              <w:pStyle w:val="TableContents"/>
              <w:bidi w:val="0"/>
              <w:spacing w:before="0" w:after="283"/>
              <w:jc w:val="right"/>
              <w:rPr/>
            </w:pPr>
            <w:r>
              <w:rPr/>
              <w:t> </w:t>
            </w:r>
          </w:p>
        </w:tc>
        <w:tc>
          <w:tcPr>
            <w:tcW w:w="269" w:type="dxa"/>
            <w:tcBorders/>
            <w:shd w:fill="CFF0FC" w:val="clear"/>
            <w:vAlign w:val="center"/>
          </w:tcPr>
          <w:p>
            <w:pPr>
              <w:pStyle w:val="TableContents"/>
              <w:bidi w:val="0"/>
              <w:spacing w:before="0" w:after="283"/>
              <w:jc w:val="left"/>
              <w:rPr/>
            </w:pPr>
            <w:r>
              <w:rPr/>
              <w:t> </w:t>
            </w:r>
          </w:p>
        </w:tc>
        <w:tc>
          <w:tcPr>
            <w:tcW w:w="102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4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26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4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12,884</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9" w:type="dxa"/>
            <w:tcBorders/>
            <w:shd w:fill="CFF0FC" w:val="clear"/>
            <w:vAlign w:val="center"/>
          </w:tcPr>
          <w:p>
            <w:pPr>
              <w:pStyle w:val="TableContents"/>
              <w:bidi w:val="0"/>
              <w:spacing w:before="0" w:after="283"/>
              <w:jc w:val="left"/>
              <w:rPr/>
            </w:pPr>
            <w:r>
              <w:rPr/>
              <w:t> </w:t>
            </w:r>
          </w:p>
        </w:tc>
        <w:tc>
          <w:tcPr>
            <w:tcW w:w="6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69"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389" w:type="dxa"/>
            <w:tcBorders/>
            <w:shd w:fill="CFF0FC" w:val="clear"/>
            <w:vAlign w:val="center"/>
          </w:tcPr>
          <w:p>
            <w:pPr>
              <w:pStyle w:val="TableContents"/>
              <w:bidi w:val="0"/>
              <w:spacing w:before="0" w:after="283"/>
              <w:jc w:val="left"/>
              <w:rPr/>
            </w:pPr>
            <w:r>
              <w:rPr/>
              <w:t> </w:t>
            </w:r>
          </w:p>
        </w:tc>
        <w:tc>
          <w:tcPr>
            <w:tcW w:w="6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4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(18,663</w:t>
            </w:r>
          </w:p>
        </w:tc>
        <w:tc>
          <w:tcPr>
            <w:tcW w:w="1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26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4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actuarial (gain) loss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components of net periodic benefit cost for the Company’s postretirement benefit plan were as follows (in thousands):</w:t>
      </w:r>
    </w:p>
    <w:p>
      <w:pPr>
        <w:pStyle w:val="TextBody"/>
        <w:bidi w:val="0"/>
        <w:jc w:val="left"/>
        <w:rPr/>
      </w:pPr>
      <w:r>
        <w:rPr/>
        <w:t> </w:t>
      </w:r>
    </w:p>
    <w:tbl>
      <w:tblPr>
        <w:tblW w:w="9781" w:type="dxa"/>
        <w:jc w:val="left"/>
        <w:tblInd w:w="0" w:type="dxa"/>
        <w:tblLayout w:type="fixed"/>
        <w:tblCellMar>
          <w:top w:w="28" w:type="dxa"/>
          <w:left w:w="28" w:type="dxa"/>
          <w:bottom w:w="28" w:type="dxa"/>
          <w:right w:w="28" w:type="dxa"/>
        </w:tblCellMar>
      </w:tblPr>
      <w:tblGrid>
        <w:gridCol w:w="3436"/>
        <w:gridCol w:w="146"/>
        <w:gridCol w:w="381"/>
        <w:gridCol w:w="679"/>
        <w:gridCol w:w="300"/>
        <w:gridCol w:w="263"/>
        <w:gridCol w:w="381"/>
        <w:gridCol w:w="679"/>
        <w:gridCol w:w="166"/>
        <w:gridCol w:w="146"/>
        <w:gridCol w:w="322"/>
        <w:gridCol w:w="736"/>
        <w:gridCol w:w="254"/>
        <w:gridCol w:w="223"/>
        <w:gridCol w:w="322"/>
        <w:gridCol w:w="736"/>
        <w:gridCol w:w="6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Postretirement Benefits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Postretirement Welfare Plan</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of net periodic benefit cost:</w:t>
            </w:r>
          </w:p>
        </w:tc>
        <w:tc>
          <w:tcPr>
            <w:tcW w:w="146" w:type="dxa"/>
            <w:tcBorders/>
            <w:shd w:fill="CFF0FC" w:val="clear"/>
            <w:vAlign w:val="center"/>
          </w:tcPr>
          <w:p>
            <w:pPr>
              <w:pStyle w:val="TableContents"/>
              <w:bidi w:val="0"/>
              <w:spacing w:before="0" w:after="283"/>
              <w:jc w:val="left"/>
              <w:rPr/>
            </w:pPr>
            <w:r>
              <w:rPr/>
              <w:t> </w:t>
            </w:r>
          </w:p>
        </w:tc>
        <w:tc>
          <w:tcPr>
            <w:tcW w:w="1060" w:type="dxa"/>
            <w:gridSpan w:val="2"/>
            <w:tcBorders/>
            <w:shd w:fill="CFF0FC" w:val="clear"/>
            <w:vAlign w:val="center"/>
          </w:tcPr>
          <w:p>
            <w:pPr>
              <w:pStyle w:val="TableContents"/>
              <w:bidi w:val="0"/>
              <w:spacing w:before="0" w:after="283"/>
              <w:jc w:val="right"/>
              <w:rPr/>
            </w:pPr>
            <w:r>
              <w:rPr/>
              <w:t> </w:t>
            </w:r>
          </w:p>
        </w:tc>
        <w:tc>
          <w:tcPr>
            <w:tcW w:w="300"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pPr>
            <w:r>
              <w:rPr/>
              <w:t> </w:t>
            </w:r>
          </w:p>
        </w:tc>
        <w:tc>
          <w:tcPr>
            <w:tcW w:w="10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8" w:type="dxa"/>
            <w:gridSpan w:val="2"/>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1058"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4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0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54"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4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actuarial gain</w:t>
            </w:r>
          </w:p>
        </w:tc>
        <w:tc>
          <w:tcPr>
            <w:tcW w:w="146" w:type="dxa"/>
            <w:tcBorders/>
            <w:shd w:fill="CFF0FC" w:val="cle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 w:type="dxa"/>
            <w:tcBorders/>
            <w:shd w:fill="CFF0FC" w:val="cle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 w:type="dxa"/>
            <w:tcBorders/>
            <w:shd w:fill="CFF0FC" w:val="cle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FFFFFF" w:val="cle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 w:type="dxa"/>
            <w:tcBorders/>
            <w:shd w:fill="FFFFFF" w:val="cle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 w:type="dxa"/>
            <w:tcBorders/>
            <w:shd w:fill="FFFFFF" w:val="cle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(12)</w:t>
      </w:r>
      <w:r>
        <w:rPr>
          <w:rFonts w:ascii="Times New Roman" w:hAnsi="Times New Roman"/>
          <w:color w:val="000000"/>
          <w:sz w:val="20"/>
        </w:rPr>
        <w:t xml:space="preserve"> </w:t>
      </w:r>
      <w:r>
        <w:rPr>
          <w:rFonts w:ascii="Times New Roman" w:hAnsi="Times New Roman"/>
          <w:b/>
          <w:color w:val="000000"/>
          <w:sz w:val="20"/>
        </w:rPr>
        <w:t>Other Comprehensive Income</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Company’s changes in other comprehensive income (loss) were as follows (in thousands):</w:t>
      </w:r>
    </w:p>
    <w:tbl>
      <w:tblPr>
        <w:tblW w:w="10205" w:type="dxa"/>
        <w:jc w:val="left"/>
        <w:tblInd w:w="0" w:type="dxa"/>
        <w:tblLayout w:type="fixed"/>
        <w:tblCellMar>
          <w:top w:w="28" w:type="dxa"/>
          <w:left w:w="28" w:type="dxa"/>
          <w:bottom w:w="28" w:type="dxa"/>
          <w:right w:w="28" w:type="dxa"/>
        </w:tblCellMar>
      </w:tblPr>
      <w:tblGrid>
        <w:gridCol w:w="2617"/>
        <w:gridCol w:w="146"/>
        <w:gridCol w:w="211"/>
        <w:gridCol w:w="481"/>
        <w:gridCol w:w="166"/>
        <w:gridCol w:w="146"/>
        <w:gridCol w:w="396"/>
        <w:gridCol w:w="791"/>
        <w:gridCol w:w="146"/>
        <w:gridCol w:w="146"/>
        <w:gridCol w:w="268"/>
        <w:gridCol w:w="611"/>
        <w:gridCol w:w="166"/>
        <w:gridCol w:w="146"/>
        <w:gridCol w:w="230"/>
        <w:gridCol w:w="461"/>
        <w:gridCol w:w="166"/>
        <w:gridCol w:w="146"/>
        <w:gridCol w:w="450"/>
        <w:gridCol w:w="738"/>
        <w:gridCol w:w="146"/>
        <w:gridCol w:w="146"/>
        <w:gridCol w:w="230"/>
        <w:gridCol w:w="461"/>
        <w:gridCol w:w="594"/>
      </w:tblGrid>
      <w:tr>
        <w:trPr/>
        <w:tc>
          <w:tcPr>
            <w:tcW w:w="2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26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84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6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Tax 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Tax 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Amount</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and postretirement benefits (a):</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8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ind w:left="0" w:right="0" w:firstLine="200"/>
              <w:jc w:val="right"/>
              <w:rPr/>
            </w:pPr>
            <w:r>
              <w:rPr/>
              <w:t> </w:t>
            </w:r>
          </w:p>
        </w:tc>
      </w:tr>
      <w:tr>
        <w:trPr/>
        <w:tc>
          <w:tcPr>
            <w:tcW w:w="261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net actuarial gain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59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1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Actuarial gains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0"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261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1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53"/>
        <w:gridCol w:w="146"/>
        <w:gridCol w:w="211"/>
        <w:gridCol w:w="631"/>
        <w:gridCol w:w="166"/>
        <w:gridCol w:w="146"/>
        <w:gridCol w:w="405"/>
        <w:gridCol w:w="926"/>
        <w:gridCol w:w="166"/>
        <w:gridCol w:w="146"/>
        <w:gridCol w:w="221"/>
        <w:gridCol w:w="662"/>
        <w:gridCol w:w="166"/>
        <w:gridCol w:w="146"/>
        <w:gridCol w:w="211"/>
        <w:gridCol w:w="571"/>
        <w:gridCol w:w="166"/>
        <w:gridCol w:w="146"/>
        <w:gridCol w:w="405"/>
        <w:gridCol w:w="926"/>
        <w:gridCol w:w="166"/>
        <w:gridCol w:w="146"/>
        <w:gridCol w:w="211"/>
        <w:gridCol w:w="571"/>
        <w:gridCol w:w="595"/>
      </w:tblGrid>
      <w:tr>
        <w:trPr/>
        <w:tc>
          <w:tcPr>
            <w:tcW w:w="1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19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6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1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Tax (Provision) Benefit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Tax (Provision) Benefit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Amount</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and postretirement benefits (a):</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3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3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595" w:type="dxa"/>
            <w:tcBorders/>
            <w:shd w:fill="CFF0FC" w:val="clear"/>
            <w:vAlign w:val="center"/>
          </w:tcPr>
          <w:p>
            <w:pPr>
              <w:pStyle w:val="TableContents"/>
              <w:bidi w:val="0"/>
              <w:spacing w:before="0" w:after="283"/>
              <w:ind w:left="0" w:right="0" w:firstLine="200"/>
              <w:jc w:val="right"/>
              <w:rPr/>
            </w:pPr>
            <w:r>
              <w:rPr/>
              <w:t> </w:t>
            </w:r>
          </w:p>
        </w:tc>
      </w:tr>
      <w:tr>
        <w:trPr/>
        <w:tc>
          <w:tcPr>
            <w:tcW w:w="195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net actuarial gain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59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5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Actuarial gains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195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5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 Actuarial gains are amortized into other income (expense). (See Note 11, Retirement Plans)</w:t>
      </w:r>
    </w:p>
    <w:p>
      <w:pPr>
        <w:pStyle w:val="TextBody"/>
        <w:bidi w:val="0"/>
        <w:spacing w:before="200" w:after="283"/>
        <w:jc w:val="left"/>
        <w:rPr>
          <w:rFonts w:ascii="Times New Roman" w:hAnsi="Times New Roman"/>
          <w:sz w:val="20"/>
        </w:rPr>
      </w:pPr>
      <w:r>
        <w:rPr>
          <w:rFonts w:ascii="Times New Roman" w:hAnsi="Times New Roman"/>
          <w:b/>
          <w:color w:val="000000"/>
          <w:sz w:val="20"/>
        </w:rPr>
        <w:t>(13)</w:t>
      </w:r>
      <w:r>
        <w:rPr>
          <w:rFonts w:ascii="Times New Roman" w:hAnsi="Times New Roman"/>
          <w:color w:val="000000"/>
          <w:sz w:val="20"/>
        </w:rPr>
        <w:t xml:space="preserve"> </w:t>
      </w:r>
      <w:r>
        <w:rPr>
          <w:rFonts w:ascii="Times New Roman" w:hAnsi="Times New Roman"/>
          <w:b/>
          <w:color w:val="000000"/>
          <w:sz w:val="20"/>
        </w:rPr>
        <w:t>Contingencies and Commitments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October 13, 2016, the tug Nathan E. Stewart and barge DBL 55, an articulated tank barge and tugboat unit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United States Coast Guard and the National Transportation Safety Board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 2019 and it is expected that the Federal Court of Canada will decide all claims against the Company. The Company is unable to estimate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potential exposure in the civil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its accrual of such estimated liability is adequate for the incident and does not expect the incident to have a material adverse effect on its business or financial condition.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its accrual of such estimated liability is adequate and believes that it has adequate insurance coverage or has meritorious defenses for these other claims and contingencies.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$31.5 million at September 30, 2024, including $11.6 million in letters of credit and $19.9 million in performance bonds. All of these instruments have an expiration date within two years. The Company does not believe demand for payment under these instruments is likely and expects no material cash outlays to occur regarding these instruments.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Management’s Discussion and Analysis of Financial Condition and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Statements contained in this Form 10-Q that are not historical facts, including, but not limited to, any projections contained herein, are forward-looking statements and involve a number of risks and uncertainties. Such statements involve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COVID-19 or other pandemics, marine accidents, lock delays or closures,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found in the Company’s Annual Report on Form 10</w:t>
        <w:noBreakHyphen/>
        <w:t xml:space="preserve">K for the year ended December 31, 2023. Forward-looking statements are based on currently available information and the Company assumes no obligation to update any such statements. For purposes of Management’s Discussion, all net earnings per share attributable to Kirby common stockholders are “diluted earnings per share.”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the nation’s largest domestic tank barge operator, transporting bulk liquid products throughout the Mississippi River System, on the Gulf Intracoastal Waterway, and coastwise along all three United States coasts. The Company transports petrochemicals, black oil, refined petroleum products and agricultural chemicals by tank barge. Through KDS, the Company provides after-market service and parts for engines, transmissions, reduction gears and related equipment used in oilfield services, marine, power generation, on-highway, backup power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manufactures cementing and pumping equipment as well as coil tubing and well intervention equipment, electric power generation equipment, and specialized electrical distribution and control equipment.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key operating results of the Company (in thousands, except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47"/>
        <w:gridCol w:w="146"/>
        <w:gridCol w:w="235"/>
        <w:gridCol w:w="871"/>
        <w:gridCol w:w="162"/>
        <w:gridCol w:w="162"/>
        <w:gridCol w:w="235"/>
        <w:gridCol w:w="871"/>
        <w:gridCol w:w="146"/>
        <w:gridCol w:w="146"/>
        <w:gridCol w:w="211"/>
        <w:gridCol w:w="935"/>
        <w:gridCol w:w="146"/>
        <w:gridCol w:w="146"/>
        <w:gridCol w:w="211"/>
        <w:gridCol w:w="935"/>
        <w:gridCol w:w="200"/>
      </w:tblGrid>
      <w:tr>
        <w:trPr/>
        <w:tc>
          <w:tcPr>
            <w:tcW w:w="4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4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831,149</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764,772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2,463,561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2,292,464</w:t>
            </w:r>
          </w:p>
        </w:tc>
        <w:tc>
          <w:tcPr>
            <w:tcW w:w="200" w:type="dxa"/>
            <w:tcBorders/>
            <w:shd w:fill="CFF0FC" w:val="clear"/>
            <w:vAlign w:val="center"/>
          </w:tcPr>
          <w:p>
            <w:pPr>
              <w:pStyle w:val="TableContents"/>
              <w:bidi w:val="0"/>
              <w:spacing w:before="0" w:after="283"/>
              <w:jc w:val="left"/>
              <w:rPr/>
            </w:pPr>
            <w:r>
              <w:rPr/>
              <w:t> </w:t>
            </w:r>
          </w:p>
        </w:tc>
      </w:tr>
      <w:tr>
        <w:trPr/>
        <w:tc>
          <w:tcPr>
            <w:tcW w:w="44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attributable to Kirby</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89,968</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161,029</w:t>
            </w:r>
          </w:p>
        </w:tc>
        <w:tc>
          <w:tcPr>
            <w:tcW w:w="200" w:type="dxa"/>
            <w:tcBorders/>
            <w:shd w:fill="FFFFFF" w:val="clear"/>
            <w:vAlign w:val="center"/>
          </w:tcPr>
          <w:p>
            <w:pPr>
              <w:pStyle w:val="TableContents"/>
              <w:bidi w:val="0"/>
              <w:spacing w:before="0" w:after="283"/>
              <w:jc w:val="left"/>
              <w:rPr/>
            </w:pPr>
            <w:r>
              <w:rPr/>
              <w:t> </w:t>
            </w:r>
          </w:p>
        </w:tc>
      </w:tr>
      <w:tr>
        <w:trPr/>
        <w:tc>
          <w:tcPr>
            <w:tcW w:w="44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per share attributable to Kirby common stockholders – diluted</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200" w:type="dxa"/>
            <w:tcBorders/>
            <w:shd w:fill="CFF0FC" w:val="clear"/>
            <w:vAlign w:val="center"/>
          </w:tcPr>
          <w:p>
            <w:pPr>
              <w:pStyle w:val="TableContents"/>
              <w:bidi w:val="0"/>
              <w:spacing w:before="0" w:after="283"/>
              <w:jc w:val="left"/>
              <w:rPr/>
            </w:pPr>
            <w:r>
              <w:rPr/>
              <w:t> </w:t>
            </w:r>
          </w:p>
        </w:tc>
      </w:tr>
      <w:tr>
        <w:trPr/>
        <w:tc>
          <w:tcPr>
            <w:tcW w:w="44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1106" w:type="dxa"/>
            <w:gridSpan w:val="2"/>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11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324,227</w:t>
            </w:r>
          </w:p>
        </w:tc>
        <w:tc>
          <w:tcPr>
            <w:tcW w:w="200" w:type="dxa"/>
            <w:tcBorders/>
            <w:shd w:fill="FFFFFF" w:val="clear"/>
            <w:vAlign w:val="center"/>
          </w:tcPr>
          <w:p>
            <w:pPr>
              <w:pStyle w:val="TableContents"/>
              <w:bidi w:val="0"/>
              <w:spacing w:before="0" w:after="283"/>
              <w:jc w:val="left"/>
              <w:rPr/>
            </w:pPr>
            <w:r>
              <w:rPr/>
              <w:t> </w:t>
            </w:r>
          </w:p>
        </w:tc>
      </w:tr>
      <w:tr>
        <w:trPr/>
        <w:tc>
          <w:tcPr>
            <w:tcW w:w="44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vAlign w:val="center"/>
          </w:tcPr>
          <w:p>
            <w:pPr>
              <w:pStyle w:val="TableContents"/>
              <w:bidi w:val="0"/>
              <w:spacing w:before="0" w:after="283"/>
              <w:jc w:val="left"/>
              <w:rPr/>
            </w:pPr>
            <w:r>
              <w:rPr/>
              <w:t> </w:t>
            </w:r>
          </w:p>
        </w:tc>
        <w:tc>
          <w:tcPr>
            <w:tcW w:w="1106" w:type="dxa"/>
            <w:gridSpan w:val="2"/>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11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274,963</w:t>
            </w:r>
          </w:p>
        </w:tc>
        <w:tc>
          <w:tcPr>
            <w:tcW w:w="200"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2023 first quarter included $3.0 million before taxes, $2.4 million after taxes, or $0.04 per share of costs related to strategic review and shareholder engagement and $2.7 million before taxes, $2.2 million after taxes, or $0.04 per share of other income associated with the interest on the refund from the IRS.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provided by operating activities for the 2024 first nine months increased in comparison to the 2023 first nine months primarily due to higher business activity levels. For the 2024 first nine months, capital expenditures of $246.0 million included $182.6 million in KMT and $63.4 million in KDS and corporate, each more fully described under Cash Flow and Capital Expenditures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projects that capital expenditures for 2024 will be in the $325 million to $355 million range. Approximately $200 million to $240 million is associated with marine maintenance capital and improvements to existing inland and coastal marine equipment, and facility improvements. Approximately $115 million is associated with growth capital spending in both segments.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debt-to-capitalization ratio decreased to 22.9% at September 30, 2024 compared to 24.2% at December 31, 2023. Total equity increased as of September 30, 2024 as compared to December 31, 2023 primarily from net earnings attributable to Kirby of $243.9 million, partially offset by treasury stock purchases of $141.3 million. The Company’s debt outstanding as of September 30, 2024 and December 31, 2023 is detailed in Long-Term Financing below.</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Marine Transportation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2024 third quarter and first nine months, KMT generated 58% and 59%, respectively, of the Company’s revenues compared to 56% and 55%, respectively, for the 2023 third quarter and first nine months.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KMT is directly affected by the volumes produced by the Company’s petroleum, petrochemical, and refining customer base.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Company’s marine transportation fleet:</w:t>
      </w:r>
    </w:p>
    <w:p>
      <w:pPr>
        <w:pStyle w:val="TextBody"/>
        <w:bidi w:val="0"/>
        <w:jc w:val="both"/>
        <w:rPr/>
      </w:pPr>
      <w:r>
        <w:rPr/>
        <w:t> </w:t>
      </w:r>
    </w:p>
    <w:tbl>
      <w:tblPr>
        <w:tblW w:w="7409" w:type="dxa"/>
        <w:jc w:val="left"/>
        <w:tblInd w:w="0" w:type="dxa"/>
        <w:tblLayout w:type="fixed"/>
        <w:tblCellMar>
          <w:top w:w="28" w:type="dxa"/>
          <w:left w:w="28" w:type="dxa"/>
          <w:bottom w:w="28" w:type="dxa"/>
          <w:right w:w="28" w:type="dxa"/>
        </w:tblCellMar>
      </w:tblPr>
      <w:tblGrid>
        <w:gridCol w:w="5146"/>
        <w:gridCol w:w="146"/>
        <w:gridCol w:w="146"/>
        <w:gridCol w:w="571"/>
        <w:gridCol w:w="146"/>
        <w:gridCol w:w="146"/>
        <w:gridCol w:w="146"/>
        <w:gridCol w:w="571"/>
        <w:gridCol w:w="39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Inland tank barges:</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Owned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Barrel capacity (in millions)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391" w:type="dxa"/>
            <w:tcBorders/>
            <w:shd w:fill="CFF0FC" w:val="clear"/>
            <w:vAlign w:val="center"/>
          </w:tcPr>
          <w:p>
            <w:pPr>
              <w:pStyle w:val="TableContents"/>
              <w:bidi w:val="0"/>
              <w:spacing w:before="0" w:after="283"/>
              <w:jc w:val="left"/>
              <w:rPr/>
            </w:pPr>
            <w:r>
              <w:rPr/>
              <w:t> </w:t>
            </w:r>
          </w:p>
        </w:tc>
      </w:tr>
      <w:tr>
        <w:trPr/>
        <w:tc>
          <w:tcPr>
            <w:tcW w:w="5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1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Active inland towboats (quarter average):</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Owned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Chartered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51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Coastal tank barges:</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Owned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Barrel capacity (in millions)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shd w:fill="FFFFFF" w:val="clear"/>
            <w:vAlign w:val="center"/>
          </w:tcPr>
          <w:p>
            <w:pPr>
              <w:pStyle w:val="TableContents"/>
              <w:bidi w:val="0"/>
              <w:spacing w:before="0" w:after="283"/>
              <w:jc w:val="left"/>
              <w:rPr/>
            </w:pPr>
            <w:r>
              <w:rPr/>
              <w:t> </w:t>
            </w:r>
          </w:p>
        </w:tc>
      </w:tr>
      <w:tr>
        <w:trPr/>
        <w:tc>
          <w:tcPr>
            <w:tcW w:w="5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51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Coastal tugboats:</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Owned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Chartered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1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Offshore dry-bulk cargo barges (owned)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CFF0FC" w:val="clear"/>
            <w:vAlign w:val="center"/>
          </w:tcPr>
          <w:p>
            <w:pPr>
              <w:pStyle w:val="TableContents"/>
              <w:bidi w:val="0"/>
              <w:spacing w:before="0" w:after="283"/>
              <w:jc w:val="left"/>
              <w:rPr/>
            </w:pPr>
            <w:r>
              <w:rPr/>
              <w:t> </w:t>
            </w:r>
          </w:p>
        </w:tc>
      </w:tr>
      <w:tr>
        <w:trPr/>
        <w:tc>
          <w:tcPr>
            <w:tcW w:w="51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Offshore tugboats and docking tugboat (owned and chartered)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also owns shifting operations and fleeting facilities for dry cargo barges and tank barges in the Houston Ship Channel and in Freeport and Port Arthur, Texas, and Lake Charles, Louisiana and a shipyard for building towboats and performing routine maintenance near the Houston Ship Channel. Furthermore, the Company owns a two-thirds interest in Osprey Line, L.L.C., which transports project cargoes and cargo containers by barge.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2024 first nine months, the Company brought back into service four inland tank barges, purchased 13 inland tank barges, purchased five newly constructed inland tank barges, and retired three inland tank barges, increasing its capacity by approximately 0.5 million barrels.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KMT revenues for the 2024 third quarter and first nine months increased 13% and 14%, respectively, and operating income increased 57% and 62%, respectively, compared to the 2023 third quarter and first nine months. The increase in revenues was primarily due to higher term and spot pricing in the inland and coastal markets. The 2024 second and third quarters were modestly impacted by weather and lock delays. The 2023 third quarter was impacted by lower tank barge utilization as a result of Illinois River lock closures and several refinery outages, as well as lower fuel rebills in the inland market. The 2024 and 2023 first quarters were impacted by poor operating conditions including seasonal wind and fog along the Gulf Coast and various lock closures. For both the 2024 third quarter and first nine months, the inland tank barge fleet contributed 81% and the coastal fleet contributed 19% of KMT revenues. For both the 2023 third quarter and first nine months, the inland tank barge fleet contributed 82% and the coastal fleet contributed 18% of KMT revenues.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Inland tank barge utilization levels averaged in the low to mid-90% range during both the 2024 first and second quarters, and the 90% range during the 2024 third quarter. Inland tank barge utilization levels averaged in the low to mid-90% range during the 2023 first quarter, the low 90% range during the 2023 second quarter, and the high 80% range during the 2023 third quarter. The 2024 second and third quarters were modestly impacted by weather and lock closures. The 2023 third quarter was impacted by Illinois River lock closures and several refinery outages. The 2024 and 2023 first quarters were impacted by high winds and heavy fog along the Gulf Coast and lock delays.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Coastal tank barge utilization levels averaged in the mid to high 90% range during the 2024 first, second and third quarters. Coastal tank barge utilization levels averaged in the mid to high 90% range during both the 2023 first and second quarters, and the mid-90% range during the 2023 third quarter.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both the 2024 third quarter and first nine months, approximately 65% of KMT inland revenues were under term contracts and 35% were spot contract revenues. During both the 2023 third quarter and first nine months, approximately 55% of KMT inland revenues were under term contracts and 45% were spot contract revenues. Inland time charters during the 2024 third quarter and first nine months represented approximately 62% and 61%, respectively, of inland revenues under term contracts compared with 66% and 63% in the 2023 third quarter and first nine months, respectively. During the 2024 third quarter and first nine months, approximately 99% and 98%, respectively, of KMT coastal revenues were under term contracts and 1% and 2%, respectively, were under spot contracts. During the 2023 third quarter and first nine months, approximately 90% and 85%, respectively, of KMT coastal revenues were under term contracts and 10% and 15%, respectively, were under spot contracts. Coastal time charters represented approximately 99% and 98% of coastal revenues under term contracts during the 2024 third quarter and first nine months, respectively, compared to 90% during both the 2023 third quarter and first nine months. Term contracts have contract terms of 12 months or longer, while spot contracts have contract terms of less than 12 months.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average range of pricing changes in term and spot contracts renewed during 2024 compared to contracts renewed during the corresponding quarter of 2023:</w:t>
      </w:r>
    </w:p>
    <w:p>
      <w:pPr>
        <w:pStyle w:val="TextBody"/>
        <w:bidi w:val="0"/>
        <w:jc w:val="both"/>
        <w:rPr/>
      </w:pPr>
      <w:r>
        <w:rPr/>
        <w:t> </w:t>
      </w:r>
    </w:p>
    <w:tbl>
      <w:tblPr>
        <w:tblW w:w="6267" w:type="dxa"/>
        <w:jc w:val="left"/>
        <w:tblInd w:w="0" w:type="dxa"/>
        <w:tblLayout w:type="fixed"/>
        <w:tblCellMar>
          <w:top w:w="28" w:type="dxa"/>
          <w:left w:w="28" w:type="dxa"/>
          <w:bottom w:w="28" w:type="dxa"/>
          <w:right w:w="28" w:type="dxa"/>
        </w:tblCellMar>
      </w:tblPr>
      <w:tblGrid>
        <w:gridCol w:w="1651"/>
        <w:gridCol w:w="346"/>
        <w:gridCol w:w="1261"/>
        <w:gridCol w:w="146"/>
        <w:gridCol w:w="1126"/>
        <w:gridCol w:w="146"/>
        <w:gridCol w:w="1591"/>
      </w:tblGrid>
      <w:tr>
        <w:trPr/>
        <w:tc>
          <w:tcPr>
            <w:tcW w:w="16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42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165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r>
      <w:tr>
        <w:trPr/>
        <w:tc>
          <w:tcPr>
            <w:tcW w:w="1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Inland market:</w:t>
            </w:r>
          </w:p>
        </w:tc>
        <w:tc>
          <w:tcPr>
            <w:tcW w:w="3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91" w:type="dxa"/>
            <w:tcBorders/>
            <w:shd w:fill="CFF0FC" w:val="clear"/>
            <w:vAlign w:val="center"/>
          </w:tcPr>
          <w:p>
            <w:pPr>
              <w:pStyle w:val="TableContents"/>
              <w:bidi w:val="0"/>
              <w:spacing w:before="0" w:after="283"/>
              <w:ind w:left="0" w:right="0" w:firstLine="200"/>
              <w:jc w:val="right"/>
              <w:rPr/>
            </w:pPr>
            <w:r>
              <w:rPr/>
              <w:t> </w:t>
            </w:r>
          </w:p>
        </w:tc>
      </w:tr>
      <w:tr>
        <w:trPr/>
        <w:tc>
          <w:tcPr>
            <w:tcW w:w="165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increase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2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 – 12%</w:t>
            </w:r>
          </w:p>
        </w:tc>
        <w:tc>
          <w:tcPr>
            <w:tcW w:w="14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 – 6%</w:t>
            </w:r>
          </w:p>
        </w:tc>
        <w:tc>
          <w:tcPr>
            <w:tcW w:w="146" w:type="dxa"/>
            <w:tcBorders/>
            <w:shd w:fill="FFFFFF" w:val="clear"/>
            <w:vAlign w:val="center"/>
          </w:tcPr>
          <w:p>
            <w:pPr>
              <w:pStyle w:val="TableContents"/>
              <w:bidi w:val="0"/>
              <w:spacing w:before="0" w:after="283"/>
              <w:jc w:val="left"/>
              <w:rPr/>
            </w:pPr>
            <w:r>
              <w:rPr/>
              <w:t> </w:t>
            </w:r>
          </w:p>
        </w:tc>
        <w:tc>
          <w:tcPr>
            <w:tcW w:w="1591" w:type="dxa"/>
            <w:tcBorders/>
            <w:shd w:fill="FFFFFF" w:val="cle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 – 9%</w:t>
            </w:r>
          </w:p>
        </w:tc>
      </w:tr>
      <w:tr>
        <w:trPr/>
        <w:tc>
          <w:tcPr>
            <w:tcW w:w="165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Spot increase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2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 – 17%</w:t>
            </w:r>
          </w:p>
        </w:tc>
        <w:tc>
          <w:tcPr>
            <w:tcW w:w="146"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 – 16%</w:t>
            </w:r>
          </w:p>
        </w:tc>
        <w:tc>
          <w:tcPr>
            <w:tcW w:w="146" w:type="dxa"/>
            <w:tcBorders/>
            <w:shd w:fill="CFF0FC" w:val="clear"/>
            <w:vAlign w:val="center"/>
          </w:tcPr>
          <w:p>
            <w:pPr>
              <w:pStyle w:val="TableContents"/>
              <w:bidi w:val="0"/>
              <w:spacing w:before="0" w:after="283"/>
              <w:jc w:val="left"/>
              <w:rPr/>
            </w:pPr>
            <w:r>
              <w:rPr/>
              <w:t> </w:t>
            </w:r>
          </w:p>
        </w:tc>
        <w:tc>
          <w:tcPr>
            <w:tcW w:w="15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 – 12%</w:t>
            </w:r>
          </w:p>
        </w:tc>
      </w:tr>
      <w:tr>
        <w:trPr/>
        <w:tc>
          <w:tcPr>
            <w:tcW w:w="1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Coastal market (a):</w:t>
            </w:r>
          </w:p>
        </w:tc>
        <w:tc>
          <w:tcPr>
            <w:tcW w:w="3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91" w:type="dxa"/>
            <w:tcBorders/>
            <w:shd w:fill="FFFFFF" w:val="clear"/>
            <w:vAlign w:val="center"/>
          </w:tcPr>
          <w:p>
            <w:pPr>
              <w:pStyle w:val="TableContents"/>
              <w:bidi w:val="0"/>
              <w:spacing w:before="0" w:after="283"/>
              <w:ind w:left="0" w:right="0" w:firstLine="200"/>
              <w:jc w:val="right"/>
              <w:rPr/>
            </w:pPr>
            <w:r>
              <w:rPr/>
              <w:t> </w:t>
            </w:r>
          </w:p>
        </w:tc>
      </w:tr>
      <w:tr>
        <w:trPr/>
        <w:tc>
          <w:tcPr>
            <w:tcW w:w="165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increase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2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 – 21%</w:t>
            </w:r>
          </w:p>
        </w:tc>
        <w:tc>
          <w:tcPr>
            <w:tcW w:w="146"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 – 20%</w:t>
            </w:r>
          </w:p>
        </w:tc>
        <w:tc>
          <w:tcPr>
            <w:tcW w:w="146" w:type="dxa"/>
            <w:tcBorders/>
            <w:shd w:fill="CFF0FC" w:val="clear"/>
            <w:vAlign w:val="center"/>
          </w:tcPr>
          <w:p>
            <w:pPr>
              <w:pStyle w:val="TableContents"/>
              <w:bidi w:val="0"/>
              <w:spacing w:before="0" w:after="283"/>
              <w:jc w:val="left"/>
              <w:rPr/>
            </w:pPr>
            <w:r>
              <w:rPr/>
              <w:t> </w:t>
            </w:r>
          </w:p>
        </w:tc>
        <w:tc>
          <w:tcPr>
            <w:tcW w:w="1591" w:type="dxa"/>
            <w:tcBorders/>
            <w:shd w:fill="CFF0FC" w:val="cle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25% – 28%</w:t>
            </w:r>
          </w:p>
        </w:tc>
      </w:tr>
      <w:tr>
        <w:trPr/>
        <w:tc>
          <w:tcPr>
            <w:tcW w:w="165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Spot increase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2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 – 32%</w:t>
            </w:r>
          </w:p>
        </w:tc>
        <w:tc>
          <w:tcPr>
            <w:tcW w:w="14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 – 26%</w:t>
            </w:r>
          </w:p>
        </w:tc>
        <w:tc>
          <w:tcPr>
            <w:tcW w:w="146" w:type="dxa"/>
            <w:tcBorders/>
            <w:shd w:fill="FFFFFF" w:val="clear"/>
            <w:vAlign w:val="center"/>
          </w:tcPr>
          <w:p>
            <w:pPr>
              <w:pStyle w:val="TableContents"/>
              <w:bidi w:val="0"/>
              <w:spacing w:before="0" w:after="283"/>
              <w:jc w:val="left"/>
              <w:rPr/>
            </w:pPr>
            <w:r>
              <w:rPr/>
              <w:t> </w:t>
            </w:r>
          </w:p>
        </w:tc>
        <w:tc>
          <w:tcPr>
            <w:tcW w:w="1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 – 13%</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Spot and term contract pricing in the coastal market are contingent on various factors including geographic location, vessel capacity, vessel type, and product serviced.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Effective January 1, 2024, annual escalators for labor and the producer price index on a number of inland multi-year contracts resulted in rate increases on those contracts of approximately 9.5%, excluding fuel.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KMT operating margin was 20.5% and 19.2% for the 2024 third quarter and first nine months, respectively, compared to 14.8% and 13.5% for the 2023 third quarter and first nine months, respectively.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Distribution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KDS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power generation, on-highway, backup power and other industrial applications. The Company also rents equipment including generators, industrial compressors, high capacity lift trucks, and refrigeration trailers for use in a variety of industrial markets, manufactures and remanufactures oilfield service equipment, including pressure pumping units, and manufactures cementing and pumping equipment as well as coil tubing and well intervention equipment, electric power generation equipment, and specialized electric distribution and control equipment.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2024 third quarter and first nine months, KDS generated 42% and 41%, respectively, of the Company’s revenues, of which 85% and 80%, respectively, were generated from service and parts and 15% and 20%, respectively, from manufacturing. The results of KDS are largely influenced by the economic cycles of the oil and gas, marine, power generation, on-highway, and other related industrial markets.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KDS revenues for the 2024 third quarter and first nine months increased 3% and decreased 1%, respectively, and operating income decreased 8% and 5%, respectively, compared with the 2023 third quarter and first nine months. In the commercial and industrial market, revenues and operating income increased compared to the 2023 third quarter and first nine months, as higher business levels in marine repair were partially offset by lower on-highway activity. For the 2024 third quarter and first nine months, the commercial and industrial market contributed 47% and 46%, respectively, of KDS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power generation market, revenues and operating income decreased compared to the 2023 third quarter as delays in power generation equipment for oil and gas impacted 2024 third quarter results. Revenues and operating income in the power generation market increased compared to the 2023 first nine months with several large project awards from data center customers as well as other backup power industrial customers. For the 2024 third quarter and first nine months, the power generation market contributed 32% and 35%, respectively, of KDS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oil and gas market, revenues increased and operating income declined compared to the 2023 third quarter as deliveries of electric fracturing equipment were partially offset by lower levels of conventional oilfield activity which resulted in decreased demand for new transmissions and parts. Revenues and operating income in the oil and gas market decreased compared to the 2023 first nine months due to lower levels of conventional oilfield activity, partially offset by deliveries of electric fracturing equipment. For the 2024 third quarter and first nine months, the oil and gas market contributed 21% and 19%, respectively, of KDS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KDS operating margin was 8.8% and 8.0% for the 2024 third quarter and first nine months, respectively, compared to 9.9% and 8.4% for the 2023 third quarter and first nine months, respectively.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Outlook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Overall, the Company expects to deliver improved financial results in 2024. In KMT, barge utilization and customer demand remain strong, and rates continue to increase. In KDS, demand for products and services remains steady, and the Company continues to receive new orders in manufacturing. The Company remains mindful of the ever-changing economic landscape related to the impact of continued high interest rates, and possible recessionary headwinds as it moves through 2024 and into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inland marine transportation market, the Company’s outlook for the fourth quarter of 2024 anticipates continued positive market dynamics with limited new barge construction in the industry and normal seasonal weather impacts and steady demand with slightly lower refinery utilization. With these market conditions, the Company expects its barge utilization rates to remain around the 90% range throughout the remainder of the year and continued improvement in term contract pricing as renewals occur during the final quarter of the year. In coastal marine, market conditions remain favorable with supply and demand in balance across the industry fleet. Steady customer demand is expected to continue in the fourth quarter with barge utilization in the mid-90% range. Coastal marine is expected to be impacted by a number of planned shipyards in the fourth quarter.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distribution and services segment, the Company anticipates the 2024 fourth quarter will see near-term variability in equipment deliveries due to uncertainty from supply issues, some customer maintenance deferrals, and lower overall levels of activity in oil and gas. In oil and gas, activity levels are lower but have been stabilizing at these lower levels. In commercial and industrial, the demand outlook in marine repair remains steady while on-highway service and repair is somewhat weak in the current environment. In power generation, the Company anticipates continued strong growth in orders as data center demand and the need for backup power is very strong. The Company does anticipate extended lead times for certain OEM products to continue contributing to a volatile delivery schedule of new products in the fourth quarter and into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Acquisitions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15, 2024, the Company completed the purchase of 13 inland tank barges, with a total capacity of 347,000 barrels, and two high horsepower towboats from an undisclosed seller for $65.2 million in cash. The 13 tank barges, including three specialty barges, transport petrochemicals and refined products on the Mississippi River System and Gulf Intracoastal Waterway. The average age of the 13 barges was 15 years. Financing of the equipment acquisition was through borrowings under the Company’s revolving credit facility.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July 14, 2023, the Company purchased 23 inland tank barges with a total capacity of 265,000 barrels from an undisclosed seller for $37 million in cash. The 23 tank barges transport petrochemicals and refined products on the Mississippi River System and the Gulf Intracoastal Waterway. The average age of the 23 barges was 14 years. Financing of the equipment acquisition was through borrowings under the Company’s revolving credit facility.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purchased four inland tank barges from a leasing company for $0.5 million in cash during the 2023 third quarter. The Company had been leasing the barges prior to the purchase. Financing of the equipment acquisition was through borrowings under the Company’s revolving credit facility.</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the Company’s KMT and KDS revenues and the percentage of each to total revenues (dollars in thousands):</w:t>
      </w:r>
    </w:p>
    <w:p>
      <w:pPr>
        <w:pStyle w:val="TextBody"/>
        <w:bidi w:val="0"/>
        <w:jc w:val="both"/>
        <w:rPr/>
      </w:pPr>
      <w:r>
        <w:rPr/>
        <w:t> </w:t>
      </w:r>
    </w:p>
    <w:tbl>
      <w:tblPr>
        <w:tblW w:w="10678" w:type="dxa"/>
        <w:jc w:val="left"/>
        <w:tblInd w:w="0" w:type="dxa"/>
        <w:tblLayout w:type="fixed"/>
        <w:tblCellMar>
          <w:top w:w="28" w:type="dxa"/>
          <w:left w:w="28" w:type="dxa"/>
          <w:bottom w:w="28" w:type="dxa"/>
          <w:right w:w="28" w:type="dxa"/>
        </w:tblCellMar>
      </w:tblPr>
      <w:tblGrid>
        <w:gridCol w:w="1261"/>
        <w:gridCol w:w="146"/>
        <w:gridCol w:w="211"/>
        <w:gridCol w:w="781"/>
        <w:gridCol w:w="146"/>
        <w:gridCol w:w="146"/>
        <w:gridCol w:w="146"/>
        <w:gridCol w:w="421"/>
        <w:gridCol w:w="271"/>
        <w:gridCol w:w="146"/>
        <w:gridCol w:w="211"/>
        <w:gridCol w:w="781"/>
        <w:gridCol w:w="146"/>
        <w:gridCol w:w="146"/>
        <w:gridCol w:w="146"/>
        <w:gridCol w:w="421"/>
        <w:gridCol w:w="271"/>
        <w:gridCol w:w="146"/>
        <w:gridCol w:w="211"/>
        <w:gridCol w:w="931"/>
        <w:gridCol w:w="146"/>
        <w:gridCol w:w="146"/>
        <w:gridCol w:w="146"/>
        <w:gridCol w:w="421"/>
        <w:gridCol w:w="271"/>
        <w:gridCol w:w="146"/>
        <w:gridCol w:w="211"/>
        <w:gridCol w:w="931"/>
        <w:gridCol w:w="146"/>
        <w:gridCol w:w="146"/>
        <w:gridCol w:w="146"/>
        <w:gridCol w:w="421"/>
        <w:gridCol w:w="316"/>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1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4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Marine transportation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1,446,274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1,269,342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and services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1,017,287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1,023,122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831,149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764,772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2,292,464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Marine Transportation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KMT revenues, costs and expenses, operating income, and operating margin (dollars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53"/>
        <w:gridCol w:w="146"/>
        <w:gridCol w:w="211"/>
        <w:gridCol w:w="781"/>
        <w:gridCol w:w="271"/>
        <w:gridCol w:w="146"/>
        <w:gridCol w:w="211"/>
        <w:gridCol w:w="781"/>
        <w:gridCol w:w="271"/>
        <w:gridCol w:w="146"/>
        <w:gridCol w:w="243"/>
        <w:gridCol w:w="628"/>
        <w:gridCol w:w="271"/>
        <w:gridCol w:w="146"/>
        <w:gridCol w:w="211"/>
        <w:gridCol w:w="931"/>
        <w:gridCol w:w="271"/>
        <w:gridCol w:w="146"/>
        <w:gridCol w:w="211"/>
        <w:gridCol w:w="931"/>
        <w:gridCol w:w="271"/>
        <w:gridCol w:w="146"/>
        <w:gridCol w:w="275"/>
        <w:gridCol w:w="596"/>
        <w:gridCol w:w="411"/>
      </w:tblGrid>
      <w:tr>
        <w:trPr/>
        <w:tc>
          <w:tcPr>
            <w:tcW w:w="1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6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Marine transportation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486,054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429,885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1,446,274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1,269,342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15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155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Costs of sales and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296,114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278,979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897,351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836,620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55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103,712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101,592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55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Taxes, other than on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146,772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137,324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553"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386,578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366,418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1,168,939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1,098,588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1" w:type="dxa"/>
            <w:tcBorders/>
            <w:shd w:fill="FFFFFF" w:val="clear"/>
            <w:vAlign w:val="center"/>
          </w:tcPr>
          <w:p>
            <w:pPr>
              <w:pStyle w:val="TableContents"/>
              <w:bidi w:val="0"/>
              <w:spacing w:before="0" w:after="283"/>
              <w:jc w:val="left"/>
              <w:rPr/>
            </w:pPr>
            <w:r>
              <w:rPr/>
              <w:t> </w:t>
            </w:r>
          </w:p>
        </w:tc>
      </w:tr>
      <w:tr>
        <w:trPr/>
        <w:tc>
          <w:tcPr>
            <w:tcW w:w="15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99,476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63,467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277,335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170,754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Marine Transportation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shows the marine transportation markets serviced by the Company, KMT revenue distribution, products moved and the drivers of the demand for the products the Company transports: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86"/>
        <w:gridCol w:w="146"/>
        <w:gridCol w:w="1119"/>
        <w:gridCol w:w="146"/>
        <w:gridCol w:w="1088"/>
        <w:gridCol w:w="146"/>
        <w:gridCol w:w="3432"/>
        <w:gridCol w:w="146"/>
        <w:gridCol w:w="2396"/>
      </w:tblGrid>
      <w:tr>
        <w:trPr/>
        <w:tc>
          <w:tcPr>
            <w:tcW w:w="1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r>
      <w:tr>
        <w:trPr/>
        <w:tc>
          <w:tcPr>
            <w:tcW w:w="1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Markets </w:t>
              <w:br/>
              <w:t>Serviced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2024 Third Quarter </w:t>
              <w:br/>
              <w:t xml:space="preserve">Revenue </w:t>
              <w:b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2024 Nine Months </w:t>
              <w:br/>
              <w:t xml:space="preserve">Revenue </w:t>
              <w:b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Products Moved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Drivers</w:t>
            </w:r>
          </w:p>
        </w:tc>
      </w:tr>
      <w:tr>
        <w:trPr/>
        <w:tc>
          <w:tcPr>
            <w:tcW w:w="1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Petrochemicals</w:t>
            </w:r>
          </w:p>
        </w:tc>
        <w:tc>
          <w:tcPr>
            <w:tcW w:w="146" w:type="dxa"/>
            <w:tcBorders/>
            <w:shd w:fill="CFF0FC" w:val="clear"/>
            <w:vAlign w:val="center"/>
          </w:tcPr>
          <w:p>
            <w:pPr>
              <w:pStyle w:val="TableContents"/>
              <w:bidi w:val="0"/>
              <w:spacing w:before="0" w:after="283"/>
              <w:jc w:val="left"/>
              <w:rPr/>
            </w:pPr>
            <w:r>
              <w:rPr/>
              <w:t> </w:t>
            </w:r>
          </w:p>
        </w:tc>
        <w:tc>
          <w:tcPr>
            <w:tcW w:w="111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c>
          <w:tcPr>
            <w:tcW w:w="146" w:type="dxa"/>
            <w:tcBorders/>
            <w:shd w:fill="CFF0FC" w:val="clear"/>
            <w:vAlign w:val="center"/>
          </w:tcPr>
          <w:p>
            <w:pPr>
              <w:pStyle w:val="TableContents"/>
              <w:bidi w:val="0"/>
              <w:spacing w:before="0" w:after="283"/>
              <w:jc w:val="left"/>
              <w:rPr/>
            </w:pPr>
            <w:r>
              <w:rPr/>
              <w:t> </w:t>
            </w:r>
          </w:p>
        </w:tc>
        <w:tc>
          <w:tcPr>
            <w:tcW w:w="1088"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shd w:fill="CFF0FC" w:val="clear"/>
            <w:vAlign w:val="center"/>
          </w:tcPr>
          <w:p>
            <w:pPr>
              <w:pStyle w:val="TableContents"/>
              <w:bidi w:val="0"/>
              <w:spacing w:before="0" w:after="283"/>
              <w:jc w:val="left"/>
              <w:rPr/>
            </w:pPr>
            <w:r>
              <w:rPr/>
              <w:t> </w:t>
            </w:r>
          </w:p>
        </w:tc>
        <w:tc>
          <w:tcPr>
            <w:tcW w:w="34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Benzene, Styrene, Methanol, Acrylonitrile, Xylene, Naphtha, Caustic Soda, Butadiene, Propylene</w:t>
            </w:r>
          </w:p>
        </w:tc>
        <w:tc>
          <w:tcPr>
            <w:tcW w:w="146" w:type="dxa"/>
            <w:tcBorders/>
            <w:shd w:fill="CFF0FC" w:val="clear"/>
            <w:vAlign w:val="center"/>
          </w:tcPr>
          <w:p>
            <w:pPr>
              <w:pStyle w:val="TableContents"/>
              <w:bidi w:val="0"/>
              <w:spacing w:before="0" w:after="283"/>
              <w:jc w:val="left"/>
              <w:rPr/>
            </w:pPr>
            <w:r>
              <w:rPr/>
              <w:t> </w:t>
            </w:r>
          </w:p>
        </w:tc>
        <w:tc>
          <w:tcPr>
            <w:tcW w:w="2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non-durables – 70%, Consumer durables – 30%</w:t>
            </w:r>
          </w:p>
        </w:tc>
      </w:tr>
      <w:tr>
        <w:trPr/>
        <w:tc>
          <w:tcPr>
            <w:tcW w:w="1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 Oil</w:t>
            </w:r>
          </w:p>
        </w:tc>
        <w:tc>
          <w:tcPr>
            <w:tcW w:w="146"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FFFFFF" w:val="clear"/>
            <w:vAlign w:val="center"/>
          </w:tcPr>
          <w:p>
            <w:pPr>
              <w:pStyle w:val="TableContents"/>
              <w:bidi w:val="0"/>
              <w:spacing w:before="0" w:after="283"/>
              <w:jc w:val="left"/>
              <w:rPr/>
            </w:pPr>
            <w:r>
              <w:rPr/>
              <w:t> </w:t>
            </w:r>
          </w:p>
        </w:tc>
        <w:tc>
          <w:tcPr>
            <w:tcW w:w="34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Residual Fuel Oil, Coker Feedstock, Vacuum Gas Oil, Asphalt, Carbon Black Feedstock, Crude Oil, Natural Gas Condensate, Ship Bunkers</w:t>
            </w:r>
          </w:p>
        </w:tc>
        <w:tc>
          <w:tcPr>
            <w:tcW w:w="146" w:type="dxa"/>
            <w:tcBorders/>
            <w:shd w:fill="FFFFFF" w:val="clear"/>
            <w:vAlign w:val="center"/>
          </w:tcPr>
          <w:p>
            <w:pPr>
              <w:pStyle w:val="TableContents"/>
              <w:bidi w:val="0"/>
              <w:spacing w:before="0" w:after="283"/>
              <w:jc w:val="left"/>
              <w:rPr/>
            </w:pPr>
            <w:r>
              <w:rPr/>
              <w:t> </w:t>
            </w:r>
          </w:p>
        </w:tc>
        <w:tc>
          <w:tcPr>
            <w:tcW w:w="2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for Power Plants and Ships, Feedstock for Refineries, Road Construction</w:t>
            </w:r>
          </w:p>
        </w:tc>
      </w:tr>
      <w:tr>
        <w:trPr/>
        <w:tc>
          <w:tcPr>
            <w:tcW w:w="1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Refined Petroleum Products</w:t>
            </w:r>
          </w:p>
        </w:tc>
        <w:tc>
          <w:tcPr>
            <w:tcW w:w="146" w:type="dxa"/>
            <w:tcBorders/>
            <w:shd w:fill="CFF0FC" w:val="clear"/>
            <w:vAlign w:val="center"/>
          </w:tcPr>
          <w:p>
            <w:pPr>
              <w:pStyle w:val="TableContents"/>
              <w:bidi w:val="0"/>
              <w:spacing w:before="0" w:after="283"/>
              <w:jc w:val="left"/>
              <w:rPr/>
            </w:pPr>
            <w:r>
              <w:rPr/>
              <w:t> </w:t>
            </w:r>
          </w:p>
        </w:tc>
        <w:tc>
          <w:tcPr>
            <w:tcW w:w="111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CFF0FC" w:val="clear"/>
            <w:vAlign w:val="center"/>
          </w:tcPr>
          <w:p>
            <w:pPr>
              <w:pStyle w:val="TableContents"/>
              <w:bidi w:val="0"/>
              <w:spacing w:before="0" w:after="283"/>
              <w:jc w:val="left"/>
              <w:rPr/>
            </w:pPr>
            <w:r>
              <w:rPr/>
              <w:t> </w:t>
            </w:r>
          </w:p>
        </w:tc>
        <w:tc>
          <w:tcPr>
            <w:tcW w:w="1088"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CFF0FC" w:val="clear"/>
            <w:vAlign w:val="center"/>
          </w:tcPr>
          <w:p>
            <w:pPr>
              <w:pStyle w:val="TableContents"/>
              <w:bidi w:val="0"/>
              <w:spacing w:before="0" w:after="283"/>
              <w:jc w:val="left"/>
              <w:rPr/>
            </w:pPr>
            <w:r>
              <w:rPr/>
              <w:t> </w:t>
            </w:r>
          </w:p>
        </w:tc>
        <w:tc>
          <w:tcPr>
            <w:tcW w:w="34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Gasoline, No. 2 Oil, Jet Fuel, Heating Oil, Diesel Fuel, Ethanol</w:t>
            </w:r>
          </w:p>
        </w:tc>
        <w:tc>
          <w:tcPr>
            <w:tcW w:w="146" w:type="dxa"/>
            <w:tcBorders/>
            <w:shd w:fill="CFF0FC" w:val="clear"/>
            <w:vAlign w:val="center"/>
          </w:tcPr>
          <w:p>
            <w:pPr>
              <w:pStyle w:val="TableContents"/>
              <w:bidi w:val="0"/>
              <w:spacing w:before="0" w:after="283"/>
              <w:jc w:val="left"/>
              <w:rPr/>
            </w:pPr>
            <w:r>
              <w:rPr/>
              <w:t> </w:t>
            </w:r>
          </w:p>
        </w:tc>
        <w:tc>
          <w:tcPr>
            <w:tcW w:w="2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 Usage, Air Travel, Weather Conditions, Refinery Utilization</w:t>
            </w:r>
          </w:p>
        </w:tc>
      </w:tr>
      <w:tr>
        <w:trPr/>
        <w:tc>
          <w:tcPr>
            <w:tcW w:w="1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Agricultural Chemicals</w:t>
            </w:r>
          </w:p>
        </w:tc>
        <w:tc>
          <w:tcPr>
            <w:tcW w:w="146"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34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Anhydrous Ammonia, Nitrogen – Based Liquid Fertilizer, Industrial Ammonia</w:t>
            </w:r>
          </w:p>
        </w:tc>
        <w:tc>
          <w:tcPr>
            <w:tcW w:w="146" w:type="dxa"/>
            <w:tcBorders/>
            <w:shd w:fill="FFFFFF" w:val="clear"/>
            <w:vAlign w:val="center"/>
          </w:tcPr>
          <w:p>
            <w:pPr>
              <w:pStyle w:val="TableContents"/>
              <w:bidi w:val="0"/>
              <w:spacing w:before="0" w:after="283"/>
              <w:jc w:val="left"/>
              <w:rPr/>
            </w:pPr>
            <w:r>
              <w:rPr/>
              <w:t> </w:t>
            </w:r>
          </w:p>
        </w:tc>
        <w:tc>
          <w:tcPr>
            <w:tcW w:w="2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Corn, Cotton and Wheat Production, Chemical Feedstock Usage</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KMT revenues for the 2024 third quarter and first nine months increased 13% and 14%, respectively, and operating income increased 57% and 62%, respectively, compared to the 2023 third quarter and first nine months. The increase in revenues for the 2024 third quarter and first nine months was primarily due to higher term and spot pricing in the inland and coastal markets. The 2024 second and third quarters were modestly impacted by weather and lock delays. The 2023 third quarter was impacted by lower tank barge utilization as a result of Illinois River lock closures and several refinery outages, as well as lower fuel rebills in the inland market. The 2024 and 2023 first quarters were impacted by poor operating conditions including seasonal wind and fog along the Gulf Coast and various lock closures. For both the 2024 third quarter and first nine months, the inland tank barge fleet contributed 81% and the coastal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fleet contributed 19% of KMT revenues. For both the 2023 third quarter and first nine months, the inland tank barge fleet contributed 82% and the coastal fleet contributed 18% of KMT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Inland tank barge utilization levels averaged in the low to mid-90% range during both the 2024 first and second quarters, and the 90% range during the 2024 third quarter. Inland tank barge utilization levels averaged in the low to mid-90% range during the 2023 first quarter, the low 90% range during the 2023 second quarter, and the high 80% range during the 2023 third quarter. The 2024 second and third quarters were modestly impacted by weather and lock closures. The 2023 third quarter was impacted by Illinois River lock closures and several refinery outages. The 2024 and 2023 first quarters were impacted by high winds and heavy fog along the Gulf Coast and lock delays.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Coastal tank barge utilization levels averaged in the mid to high 90% range during the 2024 first, second and third quarters. Coastal tank barge utilization levels averaged in the mid to high 90% range during both the 2023 first and second quarters, and the mid-90% range during the 2023 third quarter.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petrochemical market, which is the Company’s largest market, contributed 52% and 51% of KMT revenues for the 2024 third quarter and first nine months, respectively, reflecting increased rates, volumes and utilization from Gulf Coast petrochemical plants as a result of improved economic conditions and a reduced supply of barges across the industry due to a heavier than normal maintenance cycle as compared to the 2023 third quarter and first nine months.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black oil market, which contributed 25% of KMT revenues for both the 2024 third quarter and first nine months reflected stable demand as refinery utilization and production levels of refined petroleum products and fuel oils increased. During the 2024 first nine months, the Company transported crude oil and natural gas condensate produced from major U.S. shale basins along the Gulf Intracoastal Waterway with inland vessels and in the Gulf of Mexico with coastal equipment. Additionally, the Company transported volumes of Utica natural gas condensate downriver from the Mid-Atlantic to the Gulf Coast.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refined petroleum products market, which contributed 21% of KMT revenues for both the 2024 third quarter and first nine months, reflected stable volumes in the inland market with steady refinery utilization and product levels as compared to the 2023 third quarter and first nine months.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agricultural chemical market, which contributed 2% and 3% of KMT revenues for the 2024 third quarter and first nine months, respectively, reflected stable demand for transportation of both domestically produced and imported products as compared to the 2023 third quarter and first nine months.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2024 third quarter, inland operations incurred 2,061 delay days, 33% more than the 1,548 delay days that occurred during the 2023 third quarter. For the 2024 first nine months, inland operations incurred 8,902 delay days, 11% more than the 7,990 delay days that occurred during the 2023 first nine months. Delay days measure the lost time incurred by a tow (towboat and one or more tank barges) during transit when the tow is stopped due to weather, lock conditions, or other navigational factors. Delay days reflected the modest impact of weather and lock delays during the 2024 second and third quarters, Illinois River lock closures during the 2023 third quarter, and poor operating conditions due to heavy wind and fog along the Gulf Coast and lock delays during the 2024 and 2023 first quarters.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both the 2024 third quarter and first nine months, approximately 65% of KMT inland revenues were under term contracts and 35% were spot contract revenues. During both the 2023 third quarter and first nine months, approximately 55% of KMT inland revenues were under term contracts and 45% were spot contract revenues. Inland time charters during the 2024 third quarter and first nine months represented approximately 62% and 61%, respectively, of inland revenues under term contracts compared with 66% and 63% in the 2023 third quarter and first nine months, respectively. During the 2024 third quarter and first nine months, approximately 99% and 98%, respectively, of KMT coastal revenues were under term contracts and 1% and 2%, respectively, were under spot contracts. During the 2023 third quarter and first nine months, approximately 90% and 85%, respectively, of KMT coastal revenues were under term contracts and 10% and 15%, respectively, were under spot contracts. Coastal time charters represented approximately 99% and 98% of coastal revenues under term contracts during the 2024 third quarter and first nine months, respectively, compared to 90% during both the 2023 third quarter and first nine months. Term contracts have contract terms of 12 months or longer, while spot contracts have contract terms of less than 12 months.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average range of pricing changes in term and spot contracts renewed during 2024 compared to contracts renewed during the corresponding quarter of 2023:</w:t>
      </w:r>
    </w:p>
    <w:p>
      <w:pPr>
        <w:pStyle w:val="TextBody"/>
        <w:bidi w:val="0"/>
        <w:jc w:val="both"/>
        <w:rPr/>
      </w:pPr>
      <w:r>
        <w:rPr/>
        <w:t> </w:t>
      </w:r>
    </w:p>
    <w:tbl>
      <w:tblPr>
        <w:tblW w:w="6267" w:type="dxa"/>
        <w:jc w:val="left"/>
        <w:tblInd w:w="0" w:type="dxa"/>
        <w:tblLayout w:type="fixed"/>
        <w:tblCellMar>
          <w:top w:w="28" w:type="dxa"/>
          <w:left w:w="28" w:type="dxa"/>
          <w:bottom w:w="28" w:type="dxa"/>
          <w:right w:w="28" w:type="dxa"/>
        </w:tblCellMar>
      </w:tblPr>
      <w:tblGrid>
        <w:gridCol w:w="1651"/>
        <w:gridCol w:w="346"/>
        <w:gridCol w:w="1261"/>
        <w:gridCol w:w="146"/>
        <w:gridCol w:w="1126"/>
        <w:gridCol w:w="146"/>
        <w:gridCol w:w="1591"/>
      </w:tblGrid>
      <w:tr>
        <w:trPr/>
        <w:tc>
          <w:tcPr>
            <w:tcW w:w="16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42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165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r>
      <w:tr>
        <w:trPr/>
        <w:tc>
          <w:tcPr>
            <w:tcW w:w="1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Inland market:</w:t>
            </w:r>
          </w:p>
        </w:tc>
        <w:tc>
          <w:tcPr>
            <w:tcW w:w="3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91" w:type="dxa"/>
            <w:tcBorders/>
            <w:shd w:fill="CFF0FC" w:val="clear"/>
            <w:vAlign w:val="center"/>
          </w:tcPr>
          <w:p>
            <w:pPr>
              <w:pStyle w:val="TableContents"/>
              <w:bidi w:val="0"/>
              <w:spacing w:before="0" w:after="283"/>
              <w:ind w:left="0" w:right="0" w:firstLine="200"/>
              <w:jc w:val="right"/>
              <w:rPr/>
            </w:pPr>
            <w:r>
              <w:rPr/>
              <w:t> </w:t>
            </w:r>
          </w:p>
        </w:tc>
      </w:tr>
      <w:tr>
        <w:trPr/>
        <w:tc>
          <w:tcPr>
            <w:tcW w:w="165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increase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2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 – 12%</w:t>
            </w:r>
          </w:p>
        </w:tc>
        <w:tc>
          <w:tcPr>
            <w:tcW w:w="14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 – 6%</w:t>
            </w:r>
          </w:p>
        </w:tc>
        <w:tc>
          <w:tcPr>
            <w:tcW w:w="146" w:type="dxa"/>
            <w:tcBorders/>
            <w:shd w:fill="FFFFFF" w:val="clear"/>
            <w:vAlign w:val="center"/>
          </w:tcPr>
          <w:p>
            <w:pPr>
              <w:pStyle w:val="TableContents"/>
              <w:bidi w:val="0"/>
              <w:spacing w:before="0" w:after="283"/>
              <w:jc w:val="left"/>
              <w:rPr/>
            </w:pPr>
            <w:r>
              <w:rPr/>
              <w:t> </w:t>
            </w:r>
          </w:p>
        </w:tc>
        <w:tc>
          <w:tcPr>
            <w:tcW w:w="1591" w:type="dxa"/>
            <w:tcBorders/>
            <w:shd w:fill="FFFFFF" w:val="cle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 – 9%</w:t>
            </w:r>
          </w:p>
        </w:tc>
      </w:tr>
      <w:tr>
        <w:trPr/>
        <w:tc>
          <w:tcPr>
            <w:tcW w:w="165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Spot increase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2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 – 17%</w:t>
            </w:r>
          </w:p>
        </w:tc>
        <w:tc>
          <w:tcPr>
            <w:tcW w:w="146"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 – 16%</w:t>
            </w:r>
          </w:p>
        </w:tc>
        <w:tc>
          <w:tcPr>
            <w:tcW w:w="146" w:type="dxa"/>
            <w:tcBorders/>
            <w:shd w:fill="CFF0FC" w:val="clear"/>
            <w:vAlign w:val="center"/>
          </w:tcPr>
          <w:p>
            <w:pPr>
              <w:pStyle w:val="TableContents"/>
              <w:bidi w:val="0"/>
              <w:spacing w:before="0" w:after="283"/>
              <w:jc w:val="left"/>
              <w:rPr/>
            </w:pPr>
            <w:r>
              <w:rPr/>
              <w:t> </w:t>
            </w:r>
          </w:p>
        </w:tc>
        <w:tc>
          <w:tcPr>
            <w:tcW w:w="15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 – 12%</w:t>
            </w:r>
          </w:p>
        </w:tc>
      </w:tr>
      <w:tr>
        <w:trPr/>
        <w:tc>
          <w:tcPr>
            <w:tcW w:w="1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Coastal market (a):</w:t>
            </w:r>
          </w:p>
        </w:tc>
        <w:tc>
          <w:tcPr>
            <w:tcW w:w="3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91" w:type="dxa"/>
            <w:tcBorders/>
            <w:shd w:fill="FFFFFF" w:val="clear"/>
            <w:vAlign w:val="center"/>
          </w:tcPr>
          <w:p>
            <w:pPr>
              <w:pStyle w:val="TableContents"/>
              <w:bidi w:val="0"/>
              <w:spacing w:before="0" w:after="283"/>
              <w:ind w:left="0" w:right="0" w:firstLine="200"/>
              <w:jc w:val="right"/>
              <w:rPr/>
            </w:pPr>
            <w:r>
              <w:rPr/>
              <w:t> </w:t>
            </w:r>
          </w:p>
        </w:tc>
      </w:tr>
      <w:tr>
        <w:trPr/>
        <w:tc>
          <w:tcPr>
            <w:tcW w:w="165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increase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2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 – 21%</w:t>
            </w:r>
          </w:p>
        </w:tc>
        <w:tc>
          <w:tcPr>
            <w:tcW w:w="146"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 – 20%</w:t>
            </w:r>
          </w:p>
        </w:tc>
        <w:tc>
          <w:tcPr>
            <w:tcW w:w="146" w:type="dxa"/>
            <w:tcBorders/>
            <w:shd w:fill="CFF0FC" w:val="clear"/>
            <w:vAlign w:val="center"/>
          </w:tcPr>
          <w:p>
            <w:pPr>
              <w:pStyle w:val="TableContents"/>
              <w:bidi w:val="0"/>
              <w:spacing w:before="0" w:after="283"/>
              <w:jc w:val="left"/>
              <w:rPr/>
            </w:pPr>
            <w:r>
              <w:rPr/>
              <w:t> </w:t>
            </w:r>
          </w:p>
        </w:tc>
        <w:tc>
          <w:tcPr>
            <w:tcW w:w="1591" w:type="dxa"/>
            <w:tcBorders/>
            <w:shd w:fill="CFF0FC" w:val="cle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25% – 28%</w:t>
            </w:r>
          </w:p>
        </w:tc>
      </w:tr>
      <w:tr>
        <w:trPr/>
        <w:tc>
          <w:tcPr>
            <w:tcW w:w="165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Spot increase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2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 – 32%</w:t>
            </w:r>
          </w:p>
        </w:tc>
        <w:tc>
          <w:tcPr>
            <w:tcW w:w="14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 – 26%</w:t>
            </w:r>
          </w:p>
        </w:tc>
        <w:tc>
          <w:tcPr>
            <w:tcW w:w="146" w:type="dxa"/>
            <w:tcBorders/>
            <w:shd w:fill="FFFFFF" w:val="clear"/>
            <w:vAlign w:val="center"/>
          </w:tcPr>
          <w:p>
            <w:pPr>
              <w:pStyle w:val="TableContents"/>
              <w:bidi w:val="0"/>
              <w:spacing w:before="0" w:after="283"/>
              <w:jc w:val="left"/>
              <w:rPr/>
            </w:pPr>
            <w:r>
              <w:rPr/>
              <w:t> </w:t>
            </w:r>
          </w:p>
        </w:tc>
        <w:tc>
          <w:tcPr>
            <w:tcW w:w="1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 – 13%</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Spot and term contract pricing in the coastal market are contingent on various factors including geographic location, vessel capacity, vessel type, and product serviced.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Effective January 1, 2024, annual escalators for labor and the producer price index on a number of inland multi-year contracts resulted in rate increases on those contracts of approximately 9.5%, excluding fuel.</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Marine Transportation Costs and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Costs and expenses for both the 2024 third quarter and first nine months increased 6% compared to the 2023 third quarter and first nine months. Costs of sales and operating expenses for the 2024 third quarter and first nine months increased 6% and 7%, respectively, compared with the 2023 third quarter and first nine months. The increase during the 2024 third quarter and first nine months was driven by higher levels of business activity and continued inflationary cost pressures, partially offset by lower fuel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inland marine transportation fleet operated an average of 287 towboats during the 2024 third quarter, of which an average of 71 were chartered, compared to 274 during the 2023 third quarter, of which an average of 55 were chartered. The Company charters in or releases chartered towboats in an effort to balance horsepower needs with current requirements, taking into account variability in demand or anticipated demand, addition or removal of tank barges from the fleet, chartered towboat availability, and weather or water conditions. The Company has historically used chartered towboats for approximately one-fourth of its horsepower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2024 third quarter, inland operations consumed 11.3 million gallons of diesel fuel compared to 11.6 million gallons consumed during the 2023 third quarter. The average price per gallon of diesel fuel consumed during the 2024 third quarter was $2.65 per gallon compared with $2.71 per gallon for the 2023 third quarter. During the 2024 first nine months, inland operations consumed 35.3 million gallons of diesel fuel compared to 35.9 million gallons consumed during the 2023 first nine months. The average price per gallon of diesel fuel consumed during the 2024 first nine months was $2.77 per gallon compared with $2.97 per gallon for the 2023 first nine months. Fuel escalation and de-escalation clauses are typically included in term contracts and are designed to rebate fuel costs when prices decline and recover additional fuel costs when fuel prices rise; however, there is generally a 30 to 120 day delay before contracts are adjusted. Spot contracts do not have escalators for fuel.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Selling, general and administrative expenses for the 2024 third quarter and first nine months increased 3% and 2%, respectively, compared to the 2023 third quarter and first nine months. The increase in selling, general and administrative expenses for the 2024 third quarter and first nine months as compared to the 2023 third quarter and first nine months was primarily due to higher business activity levels and continued inflationary cost pressures, which was partially offset by lower legal costs. Both the 2024 third quarter and first nine months were also impacted by salary and wage increases that went into effect July 1, 2024.</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Marine Transportation Operating Income and Operating Margin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KMT operating income for the 2024 third quarter and first nine months increased 57% and 62%, respectively, compared with the 2023 third quarter and first nine months. The 2024 third quarter operating margin was 20.5% compared with 14.8% for the 2023 third quarter. The 2024 first nine months operating margin was 19.2% compared with 13.5% for the 2023 first nine months. The increases in operating income and operating margin were primarily due to higher term and spot contract pricing in the inland and coastal markets as a result of improving business activity levels, high utilization and a reduced supply of barges across the industry due to a heavier than normal maintenance cycle.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Distribution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KDS revenues, costs and expenses, operating income, and operating margin (dollars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51"/>
        <w:gridCol w:w="146"/>
        <w:gridCol w:w="211"/>
        <w:gridCol w:w="781"/>
        <w:gridCol w:w="271"/>
        <w:gridCol w:w="146"/>
        <w:gridCol w:w="211"/>
        <w:gridCol w:w="781"/>
        <w:gridCol w:w="271"/>
        <w:gridCol w:w="146"/>
        <w:gridCol w:w="275"/>
        <w:gridCol w:w="596"/>
        <w:gridCol w:w="272"/>
        <w:gridCol w:w="146"/>
        <w:gridCol w:w="211"/>
        <w:gridCol w:w="931"/>
        <w:gridCol w:w="271"/>
        <w:gridCol w:w="146"/>
        <w:gridCol w:w="211"/>
        <w:gridCol w:w="931"/>
        <w:gridCol w:w="271"/>
        <w:gridCol w:w="146"/>
        <w:gridCol w:w="258"/>
        <w:gridCol w:w="613"/>
        <w:gridCol w:w="412"/>
      </w:tblGrid>
      <w:tr>
        <w:trPr/>
        <w:tc>
          <w:tcPr>
            <w:tcW w:w="1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5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6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and services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345,095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334,887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1,017,287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1,023,122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412" w:type="dxa"/>
            <w:tcBorders/>
            <w:shd w:fill="FFFFFF" w:val="clear"/>
            <w:vAlign w:val="center"/>
          </w:tcPr>
          <w:p>
            <w:pPr>
              <w:pStyle w:val="TableContents"/>
              <w:bidi w:val="0"/>
              <w:spacing w:before="0" w:after="283"/>
              <w:jc w:val="right"/>
              <w:rPr/>
            </w:pPr>
            <w:r>
              <w:rPr/>
              <w:t> </w:t>
            </w:r>
          </w:p>
        </w:tc>
      </w:tr>
      <w:tr>
        <w:trPr/>
        <w:tc>
          <w:tcPr>
            <w:tcW w:w="1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27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412" w:type="dxa"/>
            <w:tcBorders/>
            <w:shd w:fill="CFF0FC" w:val="clear"/>
            <w:vAlign w:val="center"/>
          </w:tcPr>
          <w:p>
            <w:pPr>
              <w:pStyle w:val="TableContents"/>
              <w:bidi w:val="0"/>
              <w:spacing w:before="0" w:after="283"/>
              <w:ind w:left="0" w:right="0" w:firstLine="200"/>
              <w:jc w:val="right"/>
              <w:rPr/>
            </w:pPr>
            <w:r>
              <w:rPr/>
              <w:t> </w:t>
            </w:r>
          </w:p>
        </w:tc>
      </w:tr>
      <w:tr>
        <w:trPr/>
        <w:tc>
          <w:tcPr>
            <w:tcW w:w="1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Costs of sales and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255,835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251,163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758,980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779,684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144,987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138,584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1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Taxes, other than on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1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1551"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314,717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301,693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935,459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937,294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color w:val="000000"/>
              </w:rPr>
            </w:pPr>
            <w:r>
              <w:rPr>
                <w:color w:val="000000"/>
              </w:rPr>
              <w:t>—</w:t>
            </w:r>
          </w:p>
        </w:tc>
        <w:tc>
          <w:tcPr>
            <w:tcW w:w="412" w:type="dxa"/>
            <w:tcBorders/>
            <w:shd w:fill="FFFFFF" w:val="clear"/>
            <w:vAlign w:val="center"/>
          </w:tcPr>
          <w:p>
            <w:pPr>
              <w:pStyle w:val="TableContents"/>
              <w:bidi w:val="0"/>
              <w:spacing w:before="0" w:after="283"/>
              <w:jc w:val="left"/>
              <w:rPr/>
            </w:pPr>
            <w:r>
              <w:rPr/>
              <w:t> </w:t>
            </w:r>
          </w:p>
        </w:tc>
      </w:tr>
      <w:tr>
        <w:trPr/>
        <w:tc>
          <w:tcPr>
            <w:tcW w:w="1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33,194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85,828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412" w:type="dxa"/>
            <w:tcBorders/>
            <w:shd w:fill="FFFFFF" w:val="cle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Distribution and Services 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shows the markets serviced by KDS, the revenue distribution, and the customers for each market: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82"/>
        <w:gridCol w:w="146"/>
        <w:gridCol w:w="1122"/>
        <w:gridCol w:w="146"/>
        <w:gridCol w:w="1090"/>
        <w:gridCol w:w="146"/>
        <w:gridCol w:w="6173"/>
      </w:tblGrid>
      <w:tr>
        <w:trPr/>
        <w:tc>
          <w:tcPr>
            <w:tcW w:w="13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3" w:type="dxa"/>
            <w:tcBorders/>
            <w:vAlign w:val="center"/>
          </w:tcPr>
          <w:p>
            <w:pPr>
              <w:pStyle w:val="TableContents"/>
              <w:bidi w:val="0"/>
              <w:spacing w:before="0" w:after="283"/>
              <w:jc w:val="left"/>
              <w:rPr>
                <w:sz w:val="4"/>
                <w:szCs w:val="4"/>
              </w:rPr>
            </w:pPr>
            <w:r>
              <w:rPr>
                <w:sz w:val="4"/>
                <w:szCs w:val="4"/>
              </w:rPr>
            </w:r>
          </w:p>
        </w:tc>
      </w:tr>
      <w:tr>
        <w:trPr/>
        <w:tc>
          <w:tcPr>
            <w:tcW w:w="1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Markets Serviced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2024 Third Quarter </w:t>
              <w:br/>
              <w:t xml:space="preserve">Revenue </w:t>
              <w:b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2024 Nine Months </w:t>
              <w:br/>
              <w:t xml:space="preserve">Revenue </w:t>
              <w:b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Customers</w:t>
            </w:r>
          </w:p>
        </w:tc>
      </w:tr>
      <w:tr>
        <w:trPr/>
        <w:tc>
          <w:tcPr>
            <w:tcW w:w="13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and Industrial</w:t>
            </w:r>
          </w:p>
        </w:tc>
        <w:tc>
          <w:tcPr>
            <w:tcW w:w="146" w:type="dxa"/>
            <w:tcBorders/>
            <w:shd w:fill="CFF0FC" w:val="clear"/>
            <w:vAlign w:val="center"/>
          </w:tcPr>
          <w:p>
            <w:pPr>
              <w:pStyle w:val="TableContents"/>
              <w:bidi w:val="0"/>
              <w:spacing w:before="0" w:after="283"/>
              <w:jc w:val="left"/>
              <w:rPr/>
            </w:pPr>
            <w:r>
              <w:rPr/>
              <w:t> </w:t>
            </w:r>
          </w:p>
        </w:tc>
        <w:tc>
          <w:tcPr>
            <w:tcW w:w="112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46" w:type="dxa"/>
            <w:tcBorders/>
            <w:shd w:fill="CFF0FC" w:val="clear"/>
            <w:vAlign w:val="center"/>
          </w:tcPr>
          <w:p>
            <w:pPr>
              <w:pStyle w:val="TableContents"/>
              <w:bidi w:val="0"/>
              <w:spacing w:before="0" w:after="283"/>
              <w:jc w:val="left"/>
              <w:rPr/>
            </w:pPr>
            <w:r>
              <w:rPr/>
              <w:t> </w:t>
            </w:r>
          </w:p>
        </w:tc>
        <w:tc>
          <w:tcPr>
            <w:tcW w:w="109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shd w:fill="CFF0FC" w:val="clear"/>
            <w:vAlign w:val="center"/>
          </w:tcPr>
          <w:p>
            <w:pPr>
              <w:pStyle w:val="TableContents"/>
              <w:bidi w:val="0"/>
              <w:spacing w:before="0" w:after="283"/>
              <w:jc w:val="left"/>
              <w:rPr/>
            </w:pPr>
            <w:r>
              <w:rPr/>
              <w:t> </w:t>
            </w:r>
          </w:p>
        </w:tc>
        <w:tc>
          <w:tcPr>
            <w:tcW w:w="61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Inland River Carriers — Dry and Liquid, Offshore Towing — Dry and Liquid, Offshore Oilfield Services — Drilling Rigs &amp; Supply Boats, Harbor Towing, Dredging, Great Lakes Ore Carriers, Pleasure Crafts, On and Off-Highway Transportation, Pumping Stations, Mining</w:t>
            </w:r>
          </w:p>
        </w:tc>
      </w:tr>
      <w:tr>
        <w:trPr/>
        <w:tc>
          <w:tcPr>
            <w:tcW w:w="13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Power Generation</w:t>
            </w:r>
          </w:p>
        </w:tc>
        <w:tc>
          <w:tcPr>
            <w:tcW w:w="146"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c>
          <w:tcPr>
            <w:tcW w:w="146" w:type="dxa"/>
            <w:tcBorders/>
            <w:shd w:fill="FFFFFF" w:val="clear"/>
            <w:vAlign w:val="center"/>
          </w:tcPr>
          <w:p>
            <w:pPr>
              <w:pStyle w:val="TableContents"/>
              <w:bidi w:val="0"/>
              <w:spacing w:before="0" w:after="283"/>
              <w:jc w:val="left"/>
              <w:rPr/>
            </w:pPr>
            <w:r>
              <w:rPr/>
              <w:t> </w:t>
            </w:r>
          </w:p>
        </w:tc>
        <w:tc>
          <w:tcPr>
            <w:tcW w:w="61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Power Generation &amp; Standby Power Generation Equipment, Power Generation Rentals &amp; Related Service, Data Centers</w:t>
            </w:r>
          </w:p>
        </w:tc>
      </w:tr>
      <w:tr>
        <w:trPr/>
        <w:tc>
          <w:tcPr>
            <w:tcW w:w="13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 and Gas</w:t>
            </w:r>
          </w:p>
        </w:tc>
        <w:tc>
          <w:tcPr>
            <w:tcW w:w="146" w:type="dxa"/>
            <w:tcBorders/>
            <w:shd w:fill="CFF0FC" w:val="clear"/>
            <w:vAlign w:val="center"/>
          </w:tcPr>
          <w:p>
            <w:pPr>
              <w:pStyle w:val="TableContents"/>
              <w:bidi w:val="0"/>
              <w:spacing w:before="0" w:after="283"/>
              <w:jc w:val="left"/>
              <w:rPr/>
            </w:pPr>
            <w:r>
              <w:rPr/>
              <w:t> </w:t>
            </w:r>
          </w:p>
        </w:tc>
        <w:tc>
          <w:tcPr>
            <w:tcW w:w="112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CFF0FC" w:val="clear"/>
            <w:vAlign w:val="center"/>
          </w:tcPr>
          <w:p>
            <w:pPr>
              <w:pStyle w:val="TableContents"/>
              <w:bidi w:val="0"/>
              <w:spacing w:before="0" w:after="283"/>
              <w:jc w:val="left"/>
              <w:rPr/>
            </w:pPr>
            <w:r>
              <w:rPr/>
              <w:t> </w:t>
            </w:r>
          </w:p>
        </w:tc>
        <w:tc>
          <w:tcPr>
            <w:tcW w:w="109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46" w:type="dxa"/>
            <w:tcBorders/>
            <w:shd w:fill="CFF0FC" w:val="clear"/>
            <w:vAlign w:val="center"/>
          </w:tcPr>
          <w:p>
            <w:pPr>
              <w:pStyle w:val="TableContents"/>
              <w:bidi w:val="0"/>
              <w:spacing w:before="0" w:after="283"/>
              <w:jc w:val="left"/>
              <w:rPr/>
            </w:pPr>
            <w:r>
              <w:rPr/>
              <w:t> </w:t>
            </w:r>
          </w:p>
        </w:tc>
        <w:tc>
          <w:tcPr>
            <w:tcW w:w="61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Oilfield Services, Oil and Gas Operators and Producers</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KDS revenues for the 2024 third quarter and first nine months increased 3% and decreased 1%, respectively, compared to the 2023 third quarter and first nine months. In the commercial and industrial market, revenues increased compared to the 2023 third quarter and first nine months, as higher business levels in marine repair were partially offset by lower on-highway activity. Operating income in the commercial and industrial market was up compared to the 2023 third quarter and first nine months mainly due to sales mix. In the power generation market, revenues and operating income decreased compared to the 2023 third quarter as delays in power generation equipment for oil and gas impacted 2024 third quarter results. Revenues and operating income in the power generation market increased compared to the 2023 first nine months with several large project awards from data center customers as well as other backup power industrial customers. In the oil and gas market, revenues increased and operating income declined compared to the 2023 third quarter as deliveries of electric fracturing equipment were offset by lower levels of conventional oilfield activity which resulted in decreased demand for new transmissions and parts. Revenues and operating income in the oil and gas market decreased compared to the 2023 first nine months due to lower levels of conventional oilfield activity, partially offset by deliveries of electric fracturing equipment.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Distribution and Services Costs and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Costs and expenses for the 2024 third quarter and first nine months increased 4% and were flat, respectively, compared with the 2023 third quarter and first nine months. Costs of sales and operating expenses for the 2024 third quarter and first nine months increased 2% and decreased 3%, respectively, compared with the 2023 third quarter and first nine months, reflecting deliveries of electric fracturing equipment and lower on-highway and conventional oilfield activity.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Selling, general and administrative expenses for the 2024 third quarter and first nine months increased 9% and 5%, respectively, compared to the 2023 third quarter and first nine months, primarily due to continued inflationary cost pressures and salary and wage increases that went into effect July 1, 2024.</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Depreciation and amortization for the 2024 third quarter and first nine months increased 78% and 86%, respectively, compared to the 2023 third quarter and first nine months. The increase was primarily due to capital additions during the 2023 second half and 2024 first nine months including additions to the equipment rental fleet.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Distribution and Services Operating Income and Operating Margin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KDS operating income for the 2024 third quarter and first nine months decreased 8% and 5%, respectively, compared with the 2023 third quarter and first nine months. The 2024 third quarter operating margin was 8.8% compared to 9.9% for the 2023 third quarter. The 2024 first nine months operating margin was 8.0% compared to 8.4% for the 2023 first nine months. The results reflect lower on-highway and conventional oilfield activity partially offset by increased power generation in industrial end markets and marine repair activity.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General Corporate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corporate expenses for the 2024 third quarter and first nine months decreased compared to the 2023 third quarter and first nine months primarily due to lower legal and insurance costs. The 2023 first nine months also included costs related to strategic review and shareholder engagement.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Gain on Disposition of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reported a net gain on disposition of assets of $1.6 million for the 2024 third quarter and $1.5 million for the 2023 third quarter. The Company reported a net gain on disposition of assets of $2.2 million for the 2024 first nine months and $4.2 million for the 2023 first nine months. The net gains were primarily from sales of marine transportation equipment.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Other Income and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other income, noncontrolling interests, and interest expense (dollars in thousands):</w:t>
      </w:r>
    </w:p>
    <w:p>
      <w:pPr>
        <w:pStyle w:val="TextBody"/>
        <w:bidi w:val="0"/>
        <w:jc w:val="both"/>
        <w:rPr/>
      </w:pPr>
      <w:r>
        <w:rPr/>
        <w:t> </w:t>
      </w:r>
    </w:p>
    <w:tbl>
      <w:tblPr>
        <w:tblW w:w="9878" w:type="dxa"/>
        <w:jc w:val="left"/>
        <w:tblInd w:w="0" w:type="dxa"/>
        <w:tblLayout w:type="fixed"/>
        <w:tblCellMar>
          <w:top w:w="28" w:type="dxa"/>
          <w:left w:w="28" w:type="dxa"/>
          <w:bottom w:w="28" w:type="dxa"/>
          <w:right w:w="28" w:type="dxa"/>
        </w:tblCellMar>
      </w:tblPr>
      <w:tblGrid>
        <w:gridCol w:w="2101"/>
        <w:gridCol w:w="146"/>
        <w:gridCol w:w="211"/>
        <w:gridCol w:w="736"/>
        <w:gridCol w:w="166"/>
        <w:gridCol w:w="146"/>
        <w:gridCol w:w="211"/>
        <w:gridCol w:w="736"/>
        <w:gridCol w:w="166"/>
        <w:gridCol w:w="146"/>
        <w:gridCol w:w="275"/>
        <w:gridCol w:w="596"/>
        <w:gridCol w:w="331"/>
        <w:gridCol w:w="146"/>
        <w:gridCol w:w="211"/>
        <w:gridCol w:w="736"/>
        <w:gridCol w:w="166"/>
        <w:gridCol w:w="146"/>
        <w:gridCol w:w="211"/>
        <w:gridCol w:w="736"/>
        <w:gridCol w:w="166"/>
        <w:gridCol w:w="146"/>
        <w:gridCol w:w="202"/>
        <w:gridCol w:w="669"/>
        <w:gridCol w:w="37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color w:val="000000"/>
              </w:rPr>
            </w:pPr>
            <w:r>
              <w:rPr>
                <w:color w:val="000000"/>
              </w:rPr>
              <w:t>—</w:t>
            </w:r>
          </w:p>
        </w:tc>
        <w:tc>
          <w:tcPr>
            <w:tcW w:w="37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2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3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Other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income for the 2024 and 2023 third quarters includes income of $2.6 million and $1.2 million, respectively, and the 2024 and 2023 first nine months includes income of $7.7 million and $3.6 million, respectively, for all components of net benefit costs except the service cost component related to the Company’s defined benefit plans. The 2023 first nine months also includes interest income associated with an Internal Revenue Service refund.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average debt and average interest rate (dollars in thousands):</w:t>
      </w:r>
    </w:p>
    <w:p>
      <w:pPr>
        <w:pStyle w:val="TextBody"/>
        <w:bidi w:val="0"/>
        <w:jc w:val="both"/>
        <w:rPr/>
      </w:pPr>
      <w:r>
        <w:rPr/>
        <w:t> </w:t>
      </w:r>
    </w:p>
    <w:tbl>
      <w:tblPr>
        <w:tblW w:w="8067" w:type="dxa"/>
        <w:jc w:val="left"/>
        <w:tblInd w:w="0" w:type="dxa"/>
        <w:tblLayout w:type="fixed"/>
        <w:tblCellMar>
          <w:top w:w="28" w:type="dxa"/>
          <w:left w:w="28" w:type="dxa"/>
          <w:bottom w:w="28" w:type="dxa"/>
          <w:right w:w="28" w:type="dxa"/>
        </w:tblCellMar>
      </w:tblPr>
      <w:tblGrid>
        <w:gridCol w:w="1786"/>
        <w:gridCol w:w="146"/>
        <w:gridCol w:w="211"/>
        <w:gridCol w:w="931"/>
        <w:gridCol w:w="271"/>
        <w:gridCol w:w="146"/>
        <w:gridCol w:w="211"/>
        <w:gridCol w:w="931"/>
        <w:gridCol w:w="271"/>
        <w:gridCol w:w="146"/>
        <w:gridCol w:w="211"/>
        <w:gridCol w:w="931"/>
        <w:gridCol w:w="271"/>
        <w:gridCol w:w="146"/>
        <w:gridCol w:w="211"/>
        <w:gridCol w:w="931"/>
        <w:gridCol w:w="31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1,034,089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1,071,262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1,053,875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1,099,058</w:t>
            </w:r>
          </w:p>
        </w:tc>
        <w:tc>
          <w:tcPr>
            <w:tcW w:w="316" w:type="dxa"/>
            <w:tcBorders/>
            <w:shd w:fill="CFF0FC" w:val="cle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interest rate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for the 2024 third quarter and first nine months decreased 7% and 1%, respectively, compared with the 2023 third quarter and first nine months, primarily due to a lower average interest rate in the 2024 third quarter, as well as lower debt levels in the 2024 third quarter and first nine months. There was no capitalized interest excluded from interest expense during the 2024 or 2023 first nine months.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Financial Condition, Capital Resources and Liquidity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Balance Sheets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the significant components of the balance sheets (dollars in thousands):</w:t>
      </w:r>
    </w:p>
    <w:p>
      <w:pPr>
        <w:pStyle w:val="TextBody"/>
        <w:bidi w:val="0"/>
        <w:jc w:val="both"/>
        <w:rPr/>
      </w:pPr>
      <w:r>
        <w:rPr/>
        <w:t> </w:t>
      </w:r>
    </w:p>
    <w:tbl>
      <w:tblPr>
        <w:tblW w:w="8562" w:type="dxa"/>
        <w:jc w:val="left"/>
        <w:tblInd w:w="0" w:type="dxa"/>
        <w:tblLayout w:type="fixed"/>
        <w:tblCellMar>
          <w:top w:w="28" w:type="dxa"/>
          <w:left w:w="28" w:type="dxa"/>
          <w:bottom w:w="28" w:type="dxa"/>
          <w:right w:w="28" w:type="dxa"/>
        </w:tblCellMar>
      </w:tblPr>
      <w:tblGrid>
        <w:gridCol w:w="4161"/>
        <w:gridCol w:w="146"/>
        <w:gridCol w:w="211"/>
        <w:gridCol w:w="931"/>
        <w:gridCol w:w="146"/>
        <w:gridCol w:w="146"/>
        <w:gridCol w:w="211"/>
        <w:gridCol w:w="931"/>
        <w:gridCol w:w="146"/>
        <w:gridCol w:w="146"/>
        <w:gridCol w:w="243"/>
        <w:gridCol w:w="628"/>
        <w:gridCol w:w="516"/>
      </w:tblGrid>
      <w:tr>
        <w:trPr/>
        <w:tc>
          <w:tcPr>
            <w:tcW w:w="4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41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1,135,161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3,985,393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3,861,105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41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41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color w:val="000000"/>
              </w:rPr>
            </w:pPr>
            <w:r>
              <w:rPr>
                <w:color w:val="000000"/>
              </w:rPr>
              <w:t>—</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41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intangibles,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5,870,723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5,722,197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jc w:val="right"/>
              <w:rPr/>
            </w:pPr>
            <w:r>
              <w:rPr/>
              <w:t> </w:t>
            </w:r>
          </w:p>
        </w:tc>
      </w:tr>
      <w:tr>
        <w:trPr/>
        <w:tc>
          <w:tcPr>
            <w:tcW w:w="4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41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697,978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675,795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 net – less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970,419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1,008,527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735,290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696,557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41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 less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41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3,303,610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3,186,677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6" w:type="dxa"/>
            <w:tcBorders/>
            <w:shd w:fill="FFFFFF" w:val="clear"/>
            <w:vAlign w:val="center"/>
          </w:tcPr>
          <w:p>
            <w:pPr>
              <w:pStyle w:val="TableContents"/>
              <w:bidi w:val="0"/>
              <w:spacing w:before="0" w:after="283"/>
              <w:jc w:val="left"/>
              <w:rPr/>
            </w:pPr>
            <w:r>
              <w:rPr/>
              <w:t> </w:t>
            </w:r>
          </w:p>
        </w:tc>
      </w:tr>
      <w:tr>
        <w:trPr/>
        <w:tc>
          <w:tcPr>
            <w:tcW w:w="41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5,870,723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5,722,197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Current assets as of September 30, 2024 increased 3% compared with December 31, 2023. Trade accounts receivable increased 3% primarily due to higher business activity levels in KMT. Inventories – net decreased by 4% primarily due to strong deliveries of power generation units and oilfield service equipment during the 2024 first nine months.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Property and equipment, net of accumulated depreciation, at September 30, 2024 increased 3% compared with December 31, 2023. The increase reflected $244.3 million of capital additions (net of a decrease in accrued capital expenditures of $1.7 million) and a $65.2 million equipment acquisition in the 2024 second quarter, partially offset by $171.3 million of depreciation expense and $13.9 million of property disposals more fully described under Cash Flow and Capital Expenditures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Operating lease right-of-use assets as of September 30, 2024 increased 7% compared with December 31, 2023, primarily due to new leases acquired during the 2024 first nine months, partially offset by lease amortization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intangibles, net, as of September 30, 2024 decreased 15% compared with December 31, 2023, due to amortization during the 2024 first nine months.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assets as of September 30, 2024 decreased 11% compared with December 31, 2023, primarily due to amortization of drydock expenditures, partially offset by additional deferred major maintenance drydock expenditures incurred during the 2024 first nine months.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Current liabilities as of September 30, 2024 increased 3% compared with December 31, 2023. Income taxes payable increased by $20.2 million primarily due to timing of federal income tax payments. Accounts payable decreased 8% primarily due to timing of KDS inventory purchases and KMT shipyard payments. Accrued liabilities decreased 5% primarily from payment during the 2024 first quarter of employee incentive compensation accrued during 2023. Deferred revenue increased 25% primarily due to deposits on equipment expected to be shipped later in 2024 and 2025 in KDS.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Long-term debt, net – less current portion, as of September 30, 2024 decreased 4% compared with December 31, 2023, primarily reflecting reduced borrowings under the 2027 Revolving Credit Facility.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Deferred income taxes as of September 30, 2024 increased 6% compared with December 31, 2023, primarily reflecting the deferred tax provision of $38.7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Total equity as of September 30, 2024 increased 4% compared with December 31, 2023. The increase was primarily due to the net earnings attributable to Kirby of $243.9 million, amortization of share-based compensation of $12.8 million, and stock option exercises of $8.4 million, partially offset by treasury stock purchases of $141.3 million and tax withholdings of $5.4 million on RSU vestings.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Long-Term Financing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Company’s outstanding debt (in thousands):</w:t>
      </w:r>
    </w:p>
    <w:p>
      <w:pPr>
        <w:pStyle w:val="TextBody"/>
        <w:bidi w:val="0"/>
        <w:jc w:val="both"/>
        <w:rPr/>
      </w:pPr>
      <w:r>
        <w:rPr/>
        <w:t> </w:t>
      </w:r>
    </w:p>
    <w:tbl>
      <w:tblPr>
        <w:tblW w:w="7307" w:type="dxa"/>
        <w:jc w:val="left"/>
        <w:tblInd w:w="0" w:type="dxa"/>
        <w:tblLayout w:type="fixed"/>
        <w:tblCellMar>
          <w:top w:w="28" w:type="dxa"/>
          <w:left w:w="28" w:type="dxa"/>
          <w:bottom w:w="28" w:type="dxa"/>
          <w:right w:w="28" w:type="dxa"/>
        </w:tblCellMar>
      </w:tblPr>
      <w:tblGrid>
        <w:gridCol w:w="4176"/>
        <w:gridCol w:w="146"/>
        <w:gridCol w:w="242"/>
        <w:gridCol w:w="898"/>
        <w:gridCol w:w="166"/>
        <w:gridCol w:w="146"/>
        <w:gridCol w:w="211"/>
        <w:gridCol w:w="931"/>
        <w:gridCol w:w="391"/>
      </w:tblGrid>
      <w:tr>
        <w:trPr/>
        <w:tc>
          <w:tcPr>
            <w:tcW w:w="4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including current portion:</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Revolving Credit Facility due July 29, 2027 (a)</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due July 29, 2027 (a)</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4.2% senior notes due March 1, 2028</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3.46% senior notes due January 19, 2033</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3.51% senior notes due January 19, 2033</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Credit line due June 30, 2026</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Bank notes payable</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7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983,174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1,022,068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Unamortized debt discounts and issuance costs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1,016,595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Variable interest rate of 6.1% at September 30, 2024 and 6.8% at December 31, 2023.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July 29, 2022, the Company entered into the 2027 Credit Agreement with a group of commercial banks, with JPMorgan Chase Bank, N.A. as the administrative agent bank that allows for a $500 million 2027 Revolving Credit Facility and a $250 million 2027 Term Loan with a maturity date of July 29, 2027. In October 2024, the Company repaid $10.0 million under the 2027 Term Loan prior to scheduled maturities. As a result, no repayments are required until September 30, 2025. Future repayments under the 2027 Term Loan are excluded from short term liabilities because the Company intends to use availability under the 2027 Revolving Credit Facility to repay these amounts upon maturity. Outstanding letters of credit under the 2027 Revolving Credit Facility were $6,000 and available borrowing capacity was $495.0 million as of September 30, 2024.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3, 2022, the Company entered into a note purchase agreement for the 2033 Notes with a group of institutional investors, consisting of $60 million Series A Notes and $240 million Series B Notes, each due January 19, 2033. The Series A Notes were issued on October 20, 2022, and the Series B Notes were issued on January 19, 2023. No principal payments will be required until maturity.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a $15 million Credit Line with Bank of America for short-term liquidity needs and letters of credit, with a maturity date of June 30, 2026. Outstanding letters of credit under the Credit Line were $6.8 million and available borrowing capacity was $8.2 million as of September 30,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September 30, 2024, the Company was in compliance with all covenants under its debt instruments. For additional information about the Company’s debt instruments, see Note 5, Long-Term Debt, of the Notes to Condensed Financial Statements (Unaudited) as well as Note 5, Long-Term Debt, in the Company’s Annual Report on Form 10-K for the year ended December 31, 2023.</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Cash Flow and Capital Expenditures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generated positive operating cash flows during the 2024 first nine months with net cash provided by operating activities of $509.1 million compared with $324.2 million for the 2023 first nine months, a 57% increase. The improvement in operating cash flows was due to higher revenues and operating income in KMT and a favorable change in inventories and deferred revenues, primarily due to timing of shipments and customer deposits. The 2023 first nine months includes the receipt of the Internal Revenue Service refund of $70.4 million plus accrued interest in April 2023. Increases in KMT revenues and operating income were driven by higher term and spot contract pricing during the 2024 first nine months. During the 2024 and 2023 first nine months, the Company generated cash of $13.8 million and $21.8 million, respectively, from proceeds from the disposition of assets, and $8.4 million and $3.4 million, respectively, from proceeds from the exercise of stock options.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2024 first nine months, cash generated was used for capital expenditures of $246.0 million, including $166.9 million associated with marine maintenance capital and improvements to existing inland and coastal marine equipment and facility improvements, as well as $79.1 million for growth spending in both segments. The growth spending is related to inland equipment construction and equipment for use in a variety of KDS markets including electric fracturing equipment, generators, and other related equipment.</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Treasury Stock Purchases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2024 first nine months, the Company purchased 1,354,105 shares of its common stock for $141.3 million, at an average price of $104.33 per share. Subsequent to September 30, 2024 and through November 8, 2024, the Company purchased an additional 138,085 shares of its common stock for $16.0 million, at an average price of $115.62 per share. As of November 8, 2024, the Company had approximately 3.0 million shares available under its existing purchase authorizations.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 For more information about stock purchases in the 2024 third quarter, see Part II, Item 2. Unregistered Sales of Equity Securities and Use of Proceeds.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Funds generated from operations are available for acquisitions, capital expenditure projects, common stock purchases, repayments of borrowings, and for other corporate and operating requirements. In addition to net cash flows provided by operating activities, as of November 8, 2024 the Company also had cash and cash equivalents of $108.5 million, availability of $500.0 million under its 2027 Revolving Credit Facility, and $8.2 million available under its Credit Line.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Neither the Company, nor any of its subsidiaries, is obligated on any debt instrument, swap agreement, or any other financial instrument or commercial contract which has a rating trigger, except for the pricing grid on its 2027 Credit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expects to continue to fund expenditures for acquisitions, capital construction projects, common stock purchases, repayment of borrowings, and for other operating requirements from a combination of available cash and cash equivalents, funds generated from operating activities, and available financing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2027 Revolving Credit Facility’s commitment is in the amount of $500 million and matures July 29, 2027. The $500 million 4.2% senior unsecured notes do not mature until March 1, 2028 and require no prepayments. The 2033 Notes do not mature until January 19, 2033 and require no prepayments. The 2027 Term Loan is subject to quarterly installments, beginning September 30, 2025, in increasing percentages of the original principal amount of the loan, with the remaining unpaid balance of approximately $43.8 million payable on July 29, 2027, assuming no prepayments. The 2027 Term Loan is prepayable, in whole or in part, without penalty.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are numerous factors that may negatively impact the Company’s cash flows in 2024. For a list of significant risks and uncertainties that could impact cash flows, see Note 13, Contingencies and Commitments, of the Notes to Condensed Financial Statements (Unaudited), and Item 1A — Risk Factors and Note 14, Contingencies and Commitments, in the Company’s Annual Report on Form 10-K for the year ended December 31, 2023. Amounts available under the Company’s existing financial arrangements are subject to the Company continuing to meet the covenants of the credit facilities as described in Note 5, Long-Term Debt, of the Notes to Condensed Financial Statements (Unaudited) as well as Note 5, Long-Term Debt, in the Company’s Annual Report on Form 10-K for the year ended December 31, 2023.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$31.5 million at September 30, 2024, including $11.6 million in letters of credit and $19.9 million in performance bonds. All of these instruments have an expiration date within two years. The Company does not believe demand for payment under these instruments is likely and expects no material cash outlays to occur in connection with these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KMT term contracts typically contain fuel escalation clauses, or the customer pays for the fuel. However, there is generally a 30 to 120 day delay before contracts are adjusted depending on the specific terms of the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The Company’s spot contract rates generally reflect current fuel prices at the time the contract is signed but do not have escalators for fuel.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certain mechanisms designed to help mitigate the impacts of rising costs. For example, KMT has long-term contracts which generally contain cost escalation clauses whereby certain costs, including fuel as noted above, can be largely passed through to its customers. Spot contract rates include the cost of fuel and are subject to market volatility. In KDS, the cost of major components for large manufacturing orders is secured with suppliers at the time a customer order is finalized, which somewhat limits exposure to inflation. The repair portion of KDS is based on prevailing current market rates.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color w:val="000000"/>
          <w:sz w:val="20"/>
        </w:rPr>
        <w:t>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quantitative and qualitative disclosures about market risk, see Part II, Item 7A, “Quantitative and Qualitative Disclosures About Market Risk,” in the Company’s Annual Report on Form 10-K. The Company’s exposure to market risk has not changed materially since December 31, 2023.</w:t>
      </w:r>
    </w:p>
    <w:p>
      <w:pPr>
        <w:pStyle w:val="TextBody"/>
        <w:bidi w:val="0"/>
        <w:spacing w:before="200" w:after="283"/>
        <w:jc w:val="left"/>
        <w:rPr>
          <w:rFonts w:ascii="Times New Roman" w:hAnsi="Times New Roman"/>
          <w:sz w:val="20"/>
        </w:rPr>
      </w:pPr>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Controls and Procedures</w:t>
      </w:r>
    </w:p>
    <w:p>
      <w:pPr>
        <w:pStyle w:val="TextBody"/>
        <w:bidi w:val="0"/>
        <w:spacing w:before="200" w:after="283"/>
        <w:jc w:val="both"/>
        <w:rPr>
          <w:rFonts w:ascii="Times New Roman" w:hAnsi="Times New Roman"/>
          <w:sz w:val="20"/>
        </w:rPr>
      </w:pPr>
      <w:r>
        <w:rPr>
          <w:rFonts w:ascii="Times New Roman" w:hAnsi="Times New Roman"/>
          <w:i/>
          <w:color w:val="000000"/>
          <w:sz w:val="20"/>
        </w:rPr>
        <w:t>Disclosure Controls and Procedures</w:t>
      </w:r>
      <w:r>
        <w:rPr>
          <w:rFonts w:ascii="Times New Roman" w:hAnsi="Times New Roman"/>
          <w:color w:val="000000"/>
          <w:sz w:val="20"/>
        </w:rPr>
        <w:t>. The Company’s management, with the participation of the Chief Executive Officer and the Chief Financial Officer, has evaluated the Company’s disclosure controls and procedures (as defined in Rule 13a-15(e) under the Securities Exchange Act of 1934 (“Exchange Act”)), as of September 30, 2024, as required by Rule 13a-15(b) under the Exchange Act. Based on that evaluation, the Chief Executive Officer and the Chief Financial Officer concluded that, as of September 30, 2024,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00" w:after="283"/>
        <w:jc w:val="both"/>
        <w:rPr>
          <w:rFonts w:ascii="Times New Roman" w:hAnsi="Times New Roman"/>
          <w:sz w:val="20"/>
        </w:rPr>
      </w:pPr>
      <w:r>
        <w:rPr>
          <w:rFonts w:ascii="Times New Roman" w:hAnsi="Times New Roman"/>
          <w:i/>
          <w:color w:val="000000"/>
          <w:sz w:val="20"/>
        </w:rPr>
        <w:t>Changes in Internal Control Over Financial Reporting</w:t>
      </w:r>
      <w:r>
        <w:rPr>
          <w:rFonts w:ascii="Times New Roman" w:hAnsi="Times New Roman"/>
          <w:color w:val="000000"/>
          <w:sz w:val="20"/>
        </w:rPr>
        <w:t>. There were no changes in the Company’s internal control over financial reporting during the quarter ended September 30, 2024 that have materially affected, or are reasonably likely to materially affect, the Company’s internal control over financial reporting.</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PART II – OTHER INFORMATION</w:t>
      </w:r>
    </w:p>
    <w:p>
      <w:pPr>
        <w:pStyle w:val="TextBody"/>
        <w:bidi w:val="0"/>
        <w:spacing w:before="200" w:after="283"/>
        <w:jc w:val="left"/>
        <w:rPr>
          <w:rFonts w:ascii="Times New Roman" w:hAnsi="Times New Roman"/>
          <w:sz w:val="20"/>
        </w:rPr>
      </w:pPr>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Legal 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Note 13, Contingencies and Commitments, of the Notes to Condensed Financial Statements (Unaudited).</w:t>
      </w:r>
    </w:p>
    <w:p>
      <w:pPr>
        <w:pStyle w:val="TextBody"/>
        <w:bidi w:val="0"/>
        <w:spacing w:before="200" w:after="283"/>
        <w:jc w:val="left"/>
        <w:rPr>
          <w:rFonts w:ascii="Times New Roman" w:hAnsi="Times New Roman"/>
          <w:sz w:val="20"/>
        </w:rPr>
      </w:pPr>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color w:val="000000"/>
          <w:sz w:val="20"/>
        </w:rPr>
        <w:t>Risk Factors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continues to be subject to the risk factors previously disclosed in its “Risk Factors” in Part I, Item 1A of the Company’s Annual Report on Form 10-K for the year ended December 31, 2023.</w:t>
      </w:r>
    </w:p>
    <w:p>
      <w:pPr>
        <w:pStyle w:val="TextBody"/>
        <w:bidi w:val="0"/>
        <w:spacing w:before="200" w:after="283"/>
        <w:jc w:val="left"/>
        <w:rPr>
          <w:rFonts w:ascii="Times New Roman" w:hAnsi="Times New Roman"/>
          <w:sz w:val="20"/>
        </w:rPr>
      </w:pPr>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Unregistered Sales of Equity Securities and Use of Proceeds</w:t>
      </w:r>
    </w:p>
    <w:p>
      <w:pPr>
        <w:pStyle w:val="TextBody"/>
        <w:bidi w:val="0"/>
        <w:spacing w:before="200" w:after="200"/>
        <w:jc w:val="center"/>
        <w:rPr>
          <w:rFonts w:ascii="Times New Roman" w:hAnsi="Times New Roman"/>
          <w:b/>
          <w:color w:val="000000"/>
          <w:sz w:val="20"/>
        </w:rPr>
      </w:pPr>
      <w:r>
        <w:rPr>
          <w:rFonts w:ascii="Times New Roman" w:hAnsi="Times New Roman"/>
          <w:b/>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1763"/>
        <w:gridCol w:w="146"/>
        <w:gridCol w:w="227"/>
        <w:gridCol w:w="1216"/>
        <w:gridCol w:w="146"/>
        <w:gridCol w:w="146"/>
        <w:gridCol w:w="310"/>
        <w:gridCol w:w="996"/>
        <w:gridCol w:w="146"/>
        <w:gridCol w:w="146"/>
        <w:gridCol w:w="664"/>
        <w:gridCol w:w="1581"/>
        <w:gridCol w:w="146"/>
        <w:gridCol w:w="146"/>
        <w:gridCol w:w="662"/>
        <w:gridCol w:w="1569"/>
        <w:gridCol w:w="195"/>
      </w:tblGrid>
      <w:tr>
        <w:trPr/>
        <w:tc>
          <w:tcPr>
            <w:tcW w:w="1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Number of Shares that May Yet be Purchased Under the Plans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 — July 31, 2024</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2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c>
          <w:tcPr>
            <w:tcW w:w="15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left"/>
              <w:rPr/>
            </w:pPr>
            <w:r>
              <w:rPr/>
              <w:t> </w:t>
            </w:r>
          </w:p>
        </w:tc>
        <w:tc>
          <w:tcPr>
            <w:tcW w:w="1569" w:type="dxa"/>
            <w:tcBorders/>
            <w:shd w:fill="CFF0FC" w:val="clear"/>
            <w:vAlign w:val="center"/>
          </w:tcPr>
          <w:p>
            <w:pPr>
              <w:pStyle w:val="TableContents"/>
              <w:bidi w:val="0"/>
              <w:spacing w:before="0" w:after="283"/>
              <w:jc w:val="right"/>
              <w:rPr>
                <w:color w:val="000000"/>
              </w:rPr>
            </w:pPr>
            <w:r>
              <w:rPr>
                <w:color w:val="000000"/>
              </w:rPr>
              <w:t>—</w:t>
            </w:r>
          </w:p>
        </w:tc>
        <w:tc>
          <w:tcPr>
            <w:tcW w:w="195" w:type="dxa"/>
            <w:tcBorders/>
            <w:shd w:fill="CFF0FC" w:val="clear"/>
            <w:vAlign w:val="center"/>
          </w:tcPr>
          <w:p>
            <w:pPr>
              <w:pStyle w:val="TableContents"/>
              <w:bidi w:val="0"/>
              <w:spacing w:before="0" w:after="283"/>
              <w:jc w:val="left"/>
              <w:rPr/>
            </w:pPr>
            <w:r>
              <w:rPr/>
              <w:t> </w:t>
            </w:r>
          </w:p>
        </w:tc>
      </w:tr>
      <w:tr>
        <w:trPr/>
        <w:tc>
          <w:tcPr>
            <w:tcW w:w="17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 — August 31, 2024</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c>
          <w:tcPr>
            <w:tcW w:w="15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color w:val="000000"/>
              </w:rPr>
            </w:pPr>
            <w:r>
              <w:rPr>
                <w:color w:val="000000"/>
              </w:rPr>
              <w:t>—</w:t>
            </w:r>
          </w:p>
        </w:tc>
        <w:tc>
          <w:tcPr>
            <w:tcW w:w="195" w:type="dxa"/>
            <w:tcBorders/>
            <w:shd w:fill="FFFFFF" w:val="clear"/>
            <w:vAlign w:val="center"/>
          </w:tcPr>
          <w:p>
            <w:pPr>
              <w:pStyle w:val="TableContents"/>
              <w:bidi w:val="0"/>
              <w:spacing w:before="0" w:after="283"/>
              <w:jc w:val="left"/>
              <w:rPr/>
            </w:pPr>
            <w:r>
              <w:rPr/>
              <w:t> </w:t>
            </w:r>
          </w:p>
        </w:tc>
      </w:tr>
      <w:tr>
        <w:trPr/>
        <w:tc>
          <w:tcPr>
            <w:tcW w:w="17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 — September 30, 2024</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Purchases of the Company’s common stock during the 2024 third quarter were made in the open market pursuant to a discretionary authorization by the Board of Directors. For more information about stock purchases in the 2024 third quarter and other information responsive to this Item, see “Treasury Stock Purchases” in Financial Condition, Capital Resources and Liquidity included in Part I, Item 2. Management’s Discussion and Analysis of Financial Condition and Results of Operations.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Item 5. Other Information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no “Rule 10b5-1 trading arrangements” or “non-Rule 10b5-1 trading arrangements” (as defined in Item 408 of Regulation S-K of the Exchange Act) adopted, modified or terminated during the 2024 third quarter by the Company’s directors and Section 16 officers.</w:t>
      </w:r>
    </w:p>
    <w:p>
      <w:pPr>
        <w:pStyle w:val="TextBody"/>
        <w:bidi w:val="0"/>
        <w:spacing w:before="200" w:after="283"/>
        <w:jc w:val="left"/>
        <w:rPr>
          <w:rFonts w:ascii="Times New Roman" w:hAnsi="Times New Roman"/>
          <w:sz w:val="20"/>
        </w:rPr>
      </w:pPr>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929"/>
        <w:gridCol w:w="226"/>
        <w:gridCol w:w="9050"/>
      </w:tblGrid>
      <w:tr>
        <w:trPr/>
        <w:tc>
          <w:tcPr>
            <w:tcW w:w="9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50" w:type="dxa"/>
            <w:tcBorders/>
            <w:vAlign w:val="center"/>
          </w:tcPr>
          <w:p>
            <w:pPr>
              <w:pStyle w:val="TableContents"/>
              <w:bidi w:val="0"/>
              <w:spacing w:before="0" w:after="283"/>
              <w:jc w:val="left"/>
              <w:rPr>
                <w:sz w:val="4"/>
                <w:szCs w:val="4"/>
              </w:rPr>
            </w:pPr>
            <w:r>
              <w:rPr>
                <w:sz w:val="4"/>
                <w:szCs w:val="4"/>
              </w:rPr>
            </w:r>
          </w:p>
        </w:tc>
      </w:tr>
      <w:tr>
        <w:trPr/>
        <w:tc>
          <w:tcPr>
            <w:tcW w:w="92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5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Exhibits</w:t>
            </w:r>
          </w:p>
        </w:tc>
      </w:tr>
      <w:tr>
        <w:trPr/>
        <w:tc>
          <w:tcPr>
            <w:tcW w:w="9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226" w:type="dxa"/>
            <w:tcBorders/>
            <w:shd w:fill="CFF0FC" w:val="clear"/>
            <w:vAlign w:val="center"/>
          </w:tcPr>
          <w:p>
            <w:pPr>
              <w:pStyle w:val="TableContents"/>
              <w:bidi w:val="0"/>
              <w:spacing w:before="0" w:after="283"/>
              <w:jc w:val="center"/>
              <w:rPr>
                <w:color w:val="000000"/>
              </w:rPr>
            </w:pPr>
            <w:r>
              <w:rPr>
                <w:color w:val="000000"/>
              </w:rPr>
              <w:t>–</w:t>
            </w:r>
          </w:p>
        </w:tc>
        <w:tc>
          <w:tcPr>
            <w:tcW w:w="9050" w:type="dxa"/>
            <w:tcBorders/>
            <w:shd w:fill="CFF0FC" w:val="cle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Articles of Incorporation of the Company with all amendments to date (incorporated by reference to Exhibit 3.1 to the Registrant’s Annual Report on Form 10-K for the year ended December 31, 2014).</w:t>
              </w:r>
            </w:hyperlink>
          </w:p>
        </w:tc>
      </w:tr>
      <w:tr>
        <w:trPr/>
        <w:tc>
          <w:tcPr>
            <w:tcW w:w="92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226" w:type="dxa"/>
            <w:tcBorders/>
            <w:vAlign w:val="center"/>
          </w:tcPr>
          <w:p>
            <w:pPr>
              <w:pStyle w:val="TableContents"/>
              <w:bidi w:val="0"/>
              <w:spacing w:before="0" w:after="283"/>
              <w:jc w:val="center"/>
              <w:rPr>
                <w:color w:val="000000"/>
              </w:rPr>
            </w:pPr>
            <w:r>
              <w:rPr>
                <w:color w:val="000000"/>
              </w:rPr>
              <w:t>–</w:t>
            </w:r>
          </w:p>
        </w:tc>
        <w:tc>
          <w:tcPr>
            <w:tcW w:w="9050"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Bylaws of the Company, as amended to April 25, 2024 (incorporated by reference to Exhibit 3.1 to the Registrant’s Current Report on Form 8-K filed with the Commission on October 28, 2022).</w:t>
              </w:r>
            </w:hyperlink>
          </w:p>
        </w:tc>
      </w:tr>
      <w:tr>
        <w:trPr/>
        <w:tc>
          <w:tcPr>
            <w:tcW w:w="9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226" w:type="dxa"/>
            <w:tcBorders/>
            <w:shd w:fill="CFF0FC" w:val="clear"/>
            <w:vAlign w:val="center"/>
          </w:tcPr>
          <w:p>
            <w:pPr>
              <w:pStyle w:val="TableContents"/>
              <w:bidi w:val="0"/>
              <w:spacing w:before="0" w:after="283"/>
              <w:jc w:val="center"/>
              <w:rPr>
                <w:color w:val="000000"/>
              </w:rPr>
            </w:pPr>
            <w:r>
              <w:rPr>
                <w:color w:val="000000"/>
              </w:rPr>
              <w:t>–</w:t>
            </w:r>
          </w:p>
        </w:tc>
        <w:tc>
          <w:tcPr>
            <w:tcW w:w="9050" w:type="dxa"/>
            <w:tcBorders/>
            <w:shd w:fill="CFF0FC" w:val="cle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Amendment to Bylaws of Kirby Corporation dated April 26, 2024 (incorporated by reference to Exhibit 3.2 to the Registrant’s Current Report on Form 8-K filed with the Commission on April 26, 2024).</w:t>
              </w:r>
            </w:hyperlink>
          </w:p>
        </w:tc>
      </w:tr>
      <w:tr>
        <w:trPr/>
        <w:tc>
          <w:tcPr>
            <w:tcW w:w="92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226" w:type="dxa"/>
            <w:tcBorders/>
            <w:vAlign w:val="center"/>
          </w:tcPr>
          <w:p>
            <w:pPr>
              <w:pStyle w:val="TableContents"/>
              <w:bidi w:val="0"/>
              <w:spacing w:before="0" w:after="283"/>
              <w:jc w:val="center"/>
              <w:rPr>
                <w:color w:val="000000"/>
              </w:rPr>
            </w:pPr>
            <w:r>
              <w:rPr>
                <w:color w:val="000000"/>
              </w:rPr>
              <w:t>–</w:t>
            </w:r>
          </w:p>
        </w:tc>
        <w:tc>
          <w:tcPr>
            <w:tcW w:w="9050" w:type="dxa"/>
            <w:tcBorders/>
            <w:vAlign w:val="center"/>
          </w:tcPr>
          <w:p>
            <w:pPr>
              <w:pStyle w:val="TableContents"/>
              <w:bidi w:val="0"/>
              <w:spacing w:before="0" w:after="283"/>
              <w:jc w:val="left"/>
              <w:rPr/>
            </w:pPr>
            <w:r>
              <w:rPr>
                <w:rFonts w:ascii="Times New Roman" w:hAnsi="Times New Roman"/>
                <w:color w:val="000000"/>
                <w:sz w:val="20"/>
              </w:rPr>
              <w:t xml:space="preserve">See Exhibits 3.1, 3.2 and 3.3 hereof for provisions of our Restated Articles of Incorporation of the Company with all amendments to date and the Bylaws of the Company with all amendments to date (incorporated, respectively, by reference to Exhibit </w:t>
            </w:r>
            <w:hyperlink r:id="rId5">
              <w:r>
                <w:rPr>
                  <w:rStyle w:val="InternetLink"/>
                  <w:rFonts w:ascii="Times New Roman" w:hAnsi="Times New Roman"/>
                  <w:color w:val="0000FF"/>
                  <w:sz w:val="20"/>
                  <w:u w:val="single"/>
                </w:rPr>
                <w:t>3.1</w:t>
              </w:r>
            </w:hyperlink>
            <w:r>
              <w:rPr>
                <w:rFonts w:ascii="Times New Roman" w:hAnsi="Times New Roman"/>
                <w:color w:val="000000"/>
                <w:sz w:val="20"/>
              </w:rPr>
              <w:t xml:space="preserve"> to the Registrant’s Annual Report on Form 10-K for the year ended December 31, 2014, Exhibit </w:t>
            </w:r>
            <w:hyperlink r:id="rId6">
              <w:r>
                <w:rPr>
                  <w:rStyle w:val="InternetLink"/>
                  <w:rFonts w:ascii="Times New Roman" w:hAnsi="Times New Roman"/>
                  <w:color w:val="0000FF"/>
                  <w:sz w:val="20"/>
                  <w:u w:val="single"/>
                </w:rPr>
                <w:t>3.1</w:t>
              </w:r>
            </w:hyperlink>
            <w:r>
              <w:rPr>
                <w:rFonts w:ascii="Times New Roman" w:hAnsi="Times New Roman"/>
                <w:color w:val="000000"/>
                <w:sz w:val="20"/>
              </w:rPr>
              <w:t xml:space="preserve"> to the Registrant’s Current Report on Form 8-K filed with the Commission on October 28, 2022, and Exhibit </w:t>
            </w:r>
            <w:hyperlink r:id="rId7">
              <w:r>
                <w:rPr>
                  <w:rStyle w:val="InternetLink"/>
                  <w:rFonts w:ascii="Times New Roman" w:hAnsi="Times New Roman"/>
                  <w:color w:val="0000FF"/>
                  <w:sz w:val="20"/>
                  <w:u w:val="single"/>
                </w:rPr>
                <w:t>3.2</w:t>
              </w:r>
            </w:hyperlink>
            <w:r>
              <w:rPr>
                <w:rFonts w:ascii="Times New Roman" w:hAnsi="Times New Roman"/>
                <w:color w:val="000000"/>
                <w:sz w:val="20"/>
              </w:rPr>
              <w:t> to the Registrant’s Current Report on Form 8-K filed with the Commission on April 26, 2024).</w:t>
            </w:r>
          </w:p>
        </w:tc>
      </w:tr>
      <w:tr>
        <w:trPr/>
        <w:tc>
          <w:tcPr>
            <w:tcW w:w="9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226" w:type="dxa"/>
            <w:tcBorders/>
            <w:shd w:fill="CFF0FC" w:val="clear"/>
            <w:vAlign w:val="center"/>
          </w:tcPr>
          <w:p>
            <w:pPr>
              <w:pStyle w:val="TableContents"/>
              <w:bidi w:val="0"/>
              <w:spacing w:before="0" w:after="283"/>
              <w:jc w:val="center"/>
              <w:rPr>
                <w:color w:val="000000"/>
              </w:rPr>
            </w:pPr>
            <w:r>
              <w:rPr>
                <w:color w:val="000000"/>
              </w:rPr>
              <w:t>–</w:t>
            </w:r>
          </w:p>
        </w:tc>
        <w:tc>
          <w:tcPr>
            <w:tcW w:w="9050" w:type="dxa"/>
            <w:tcBorders/>
            <w:shd w:fill="CFF0FC" w:val="clear"/>
            <w:vAlign w:val="center"/>
          </w:tcPr>
          <w:p>
            <w:pPr>
              <w:pStyle w:val="TableContents"/>
              <w:bidi w:val="0"/>
              <w:spacing w:before="0" w:after="283"/>
              <w:jc w:val="left"/>
              <w:rPr/>
            </w:pPr>
            <w:hyperlink w:anchor="kex-ex31_1.htm">
              <w:r>
                <w:rPr>
                  <w:rStyle w:val="InternetLink"/>
                  <w:rFonts w:ascii="Times New Roman" w:hAnsi="Times New Roman"/>
                  <w:color w:val="0000FF"/>
                  <w:sz w:val="20"/>
                  <w:u w:val="single"/>
                </w:rPr>
                <w:t>Certification of Chief Executive Officer Pursuant to Rule 13a-14(a)</w:t>
              </w:r>
            </w:hyperlink>
          </w:p>
        </w:tc>
      </w:tr>
      <w:tr>
        <w:trPr/>
        <w:tc>
          <w:tcPr>
            <w:tcW w:w="92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226" w:type="dxa"/>
            <w:tcBorders/>
            <w:vAlign w:val="center"/>
          </w:tcPr>
          <w:p>
            <w:pPr>
              <w:pStyle w:val="TableContents"/>
              <w:bidi w:val="0"/>
              <w:spacing w:before="0" w:after="283"/>
              <w:jc w:val="center"/>
              <w:rPr>
                <w:color w:val="000000"/>
              </w:rPr>
            </w:pPr>
            <w:r>
              <w:rPr>
                <w:color w:val="000000"/>
              </w:rPr>
              <w:t>–</w:t>
            </w:r>
          </w:p>
        </w:tc>
        <w:tc>
          <w:tcPr>
            <w:tcW w:w="9050" w:type="dxa"/>
            <w:tcBorders/>
            <w:vAlign w:val="center"/>
          </w:tcPr>
          <w:p>
            <w:pPr>
              <w:pStyle w:val="TableContents"/>
              <w:bidi w:val="0"/>
              <w:spacing w:before="0" w:after="283"/>
              <w:jc w:val="left"/>
              <w:rPr/>
            </w:pPr>
            <w:hyperlink w:anchor="kex-ex31_2.htm">
              <w:r>
                <w:rPr>
                  <w:rStyle w:val="InternetLink"/>
                  <w:rFonts w:ascii="Times New Roman" w:hAnsi="Times New Roman"/>
                  <w:color w:val="0000FF"/>
                  <w:sz w:val="20"/>
                  <w:u w:val="single"/>
                </w:rPr>
                <w:t>Certification of Chief Financial Officer Pursuant to Rule 13a-14(a)</w:t>
              </w:r>
            </w:hyperlink>
          </w:p>
        </w:tc>
      </w:tr>
      <w:tr>
        <w:trPr/>
        <w:tc>
          <w:tcPr>
            <w:tcW w:w="9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226" w:type="dxa"/>
            <w:tcBorders/>
            <w:shd w:fill="CFF0FC" w:val="clear"/>
            <w:vAlign w:val="center"/>
          </w:tcPr>
          <w:p>
            <w:pPr>
              <w:pStyle w:val="TableContents"/>
              <w:bidi w:val="0"/>
              <w:spacing w:before="0" w:after="283"/>
              <w:jc w:val="center"/>
              <w:rPr>
                <w:color w:val="000000"/>
              </w:rPr>
            </w:pPr>
            <w:r>
              <w:rPr>
                <w:color w:val="000000"/>
              </w:rPr>
              <w:t>–</w:t>
            </w:r>
          </w:p>
        </w:tc>
        <w:tc>
          <w:tcPr>
            <w:tcW w:w="9050" w:type="dxa"/>
            <w:tcBorders/>
            <w:shd w:fill="CFF0FC" w:val="clear"/>
            <w:vAlign w:val="center"/>
          </w:tcPr>
          <w:p>
            <w:pPr>
              <w:pStyle w:val="TableContents"/>
              <w:bidi w:val="0"/>
              <w:spacing w:before="0" w:after="283"/>
              <w:jc w:val="left"/>
              <w:rPr/>
            </w:pPr>
            <w:hyperlink w:anchor="kex-ex32.htm">
              <w:r>
                <w:rPr>
                  <w:rStyle w:val="InternetLink"/>
                  <w:rFonts w:ascii="Times New Roman" w:hAnsi="Times New Roman"/>
                  <w:color w:val="0000FF"/>
                  <w:sz w:val="20"/>
                  <w:u w:val="single"/>
                </w:rPr>
                <w:t>Certification Pursuant to 18 U.S.C. Section 1350</w:t>
              </w:r>
            </w:hyperlink>
          </w:p>
        </w:tc>
      </w:tr>
      <w:tr>
        <w:trPr/>
        <w:tc>
          <w:tcPr>
            <w:tcW w:w="92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226" w:type="dxa"/>
            <w:tcBorders/>
            <w:vAlign w:val="center"/>
          </w:tcPr>
          <w:p>
            <w:pPr>
              <w:pStyle w:val="TableContents"/>
              <w:bidi w:val="0"/>
              <w:spacing w:before="0" w:after="283"/>
              <w:jc w:val="center"/>
              <w:rPr>
                <w:color w:val="000000"/>
              </w:rPr>
            </w:pPr>
            <w:r>
              <w:rPr>
                <w:color w:val="000000"/>
              </w:rPr>
              <w:t>–</w:t>
            </w:r>
          </w:p>
        </w:tc>
        <w:tc>
          <w:tcPr>
            <w:tcW w:w="905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9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226" w:type="dxa"/>
            <w:tcBorders/>
            <w:shd w:fill="CFF0FC" w:val="clear"/>
            <w:vAlign w:val="center"/>
          </w:tcPr>
          <w:p>
            <w:pPr>
              <w:pStyle w:val="TableContents"/>
              <w:bidi w:val="0"/>
              <w:spacing w:before="0" w:after="283"/>
              <w:jc w:val="center"/>
              <w:rPr>
                <w:color w:val="000000"/>
              </w:rPr>
            </w:pPr>
            <w:r>
              <w:rPr>
                <w:color w:val="000000"/>
              </w:rPr>
              <w:t>–</w:t>
            </w:r>
          </w:p>
        </w:tc>
        <w:tc>
          <w:tcPr>
            <w:tcW w:w="90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92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905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Management contract, compensatory plan or arrangement.</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253" w:type="dxa"/>
        <w:jc w:val="left"/>
        <w:tblInd w:w="0" w:type="dxa"/>
        <w:tblLayout w:type="fixed"/>
        <w:tblCellMar>
          <w:top w:w="28" w:type="dxa"/>
          <w:left w:w="28" w:type="dxa"/>
          <w:bottom w:w="28" w:type="dxa"/>
          <w:right w:w="28" w:type="dxa"/>
        </w:tblCellMar>
      </w:tblPr>
      <w:tblGrid>
        <w:gridCol w:w="2311"/>
        <w:gridCol w:w="406"/>
        <w:gridCol w:w="2536"/>
      </w:tblGrid>
      <w:tr>
        <w:trPr/>
        <w:tc>
          <w:tcPr>
            <w:tcW w:w="23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283"/>
              <w:jc w:val="left"/>
              <w:rPr>
                <w:sz w:val="4"/>
                <w:szCs w:val="4"/>
              </w:rPr>
            </w:pPr>
            <w:r>
              <w:rPr>
                <w:sz w:val="4"/>
                <w:szCs w:val="4"/>
              </w:rPr>
            </w:r>
          </w:p>
        </w:tc>
        <w:tc>
          <w:tcPr>
            <w:tcW w:w="2942"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KIRBY CORPORATION</w:t>
            </w:r>
          </w:p>
        </w:tc>
      </w:tr>
      <w:tr>
        <w:trPr/>
        <w:tc>
          <w:tcPr>
            <w:tcW w:w="2311" w:type="dxa"/>
            <w:tcBorders/>
            <w:vAlign w:val="center"/>
          </w:tcPr>
          <w:p>
            <w:pPr>
              <w:pStyle w:val="TableContents"/>
              <w:bidi w:val="0"/>
              <w:spacing w:before="0" w:after="283"/>
              <w:jc w:val="left"/>
              <w:rPr>
                <w:sz w:val="4"/>
                <w:szCs w:val="4"/>
              </w:rPr>
            </w:pPr>
            <w:r>
              <w:rPr>
                <w:sz w:val="4"/>
                <w:szCs w:val="4"/>
              </w:rPr>
            </w:r>
          </w:p>
        </w:tc>
        <w:tc>
          <w:tcPr>
            <w:tcW w:w="2942"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2311" w:type="dxa"/>
            <w:tcBorders/>
            <w:vAlign w:val="center"/>
          </w:tcPr>
          <w:p>
            <w:pPr>
              <w:pStyle w:val="TableContents"/>
              <w:bidi w:val="0"/>
              <w:spacing w:before="0" w:after="283"/>
              <w:jc w:val="left"/>
              <w:rPr>
                <w:sz w:val="4"/>
                <w:szCs w:val="4"/>
              </w:rPr>
            </w:pPr>
            <w:r>
              <w:rPr>
                <w:sz w:val="4"/>
                <w:szCs w:val="4"/>
              </w:rPr>
            </w:r>
          </w:p>
        </w:tc>
        <w:tc>
          <w:tcPr>
            <w:tcW w:w="2942" w:type="dxa"/>
            <w:gridSpan w:val="2"/>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Raj Kumar</w:t>
            </w:r>
          </w:p>
        </w:tc>
      </w:tr>
      <w:tr>
        <w:trPr/>
        <w:tc>
          <w:tcPr>
            <w:tcW w:w="23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Raj Kumar</w:t>
            </w:r>
          </w:p>
        </w:tc>
      </w:tr>
      <w:tr>
        <w:trPr/>
        <w:tc>
          <w:tcPr>
            <w:tcW w:w="23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Executive Vice President and</w:t>
            </w:r>
          </w:p>
        </w:tc>
      </w:tr>
      <w:tr>
        <w:trPr/>
        <w:tc>
          <w:tcPr>
            <w:tcW w:w="23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Financial Officer</w:t>
            </w:r>
          </w:p>
        </w:tc>
      </w:tr>
      <w:tr>
        <w:trPr/>
        <w:tc>
          <w:tcPr>
            <w:tcW w:w="23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November 12, 2024</w:t>
            </w:r>
          </w:p>
        </w:tc>
        <w:tc>
          <w:tcPr>
            <w:tcW w:w="40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bookmarkStart w:id="2" w:name="kex-ex31_1.htm"/>
      <w:bookmarkStart w:id="3" w:name="kskexex31_1"/>
      <w:bookmarkEnd w:id="2"/>
      <w:bookmarkEnd w:id="3"/>
      <w:r>
        <w:rPr/>
        <w:t> </w:t>
      </w:r>
      <w:r>
        <w:br w:type="page"/>
      </w:r>
    </w:p>
    <w:p>
      <w:pPr>
        <w:pStyle w:val="TextBody"/>
        <w:pBdr>
          <w:top w:val="single" w:sz="4" w:space="1" w:color="000000"/>
        </w:pBdr>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filing of the Quarterly Report on Form 10-Q for the quarter ended September 30, 2024 by Kirby Corporation, David W. Grzebinski certifies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report on Form 10-Q of Kirby Corporation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97" w:type="dxa"/>
        <w:jc w:val="left"/>
        <w:tblInd w:w="0" w:type="dxa"/>
        <w:tblLayout w:type="fixed"/>
        <w:tblCellMar>
          <w:top w:w="28" w:type="dxa"/>
          <w:left w:w="28" w:type="dxa"/>
          <w:bottom w:w="28" w:type="dxa"/>
          <w:right w:w="28" w:type="dxa"/>
        </w:tblCellMar>
      </w:tblPr>
      <w:tblGrid>
        <w:gridCol w:w="2311"/>
        <w:gridCol w:w="2086"/>
      </w:tblGrid>
      <w:tr>
        <w:trPr/>
        <w:tc>
          <w:tcPr>
            <w:tcW w:w="231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283"/>
              <w:jc w:val="left"/>
              <w:rPr/>
            </w:pPr>
            <w:r>
              <w:rPr/>
              <w:t> </w:t>
            </w:r>
          </w:p>
        </w:tc>
        <w:tc>
          <w:tcPr>
            <w:tcW w:w="208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W. Grzebinski</w:t>
            </w:r>
          </w:p>
        </w:tc>
      </w:tr>
      <w:tr>
        <w:trPr/>
        <w:tc>
          <w:tcPr>
            <w:tcW w:w="2311"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David W. Grzebinski</w:t>
            </w:r>
          </w:p>
        </w:tc>
      </w:tr>
      <w:tr>
        <w:trPr/>
        <w:tc>
          <w:tcPr>
            <w:tcW w:w="2311"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Executive Officer</w:t>
            </w:r>
          </w:p>
        </w:tc>
      </w:tr>
      <w:tr>
        <w:trPr/>
        <w:tc>
          <w:tcPr>
            <w:tcW w:w="2311"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center"/>
              <w:rPr/>
            </w:pPr>
            <w:r>
              <w:rPr/>
              <w:t> </w:t>
            </w:r>
          </w:p>
        </w:tc>
      </w:tr>
      <w:tr>
        <w:trPr/>
        <w:tc>
          <w:tcPr>
            <w:tcW w:w="2311"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center"/>
              <w:rPr/>
            </w:pPr>
            <w:r>
              <w:rPr/>
              <w:t> </w:t>
            </w:r>
          </w:p>
        </w:tc>
      </w:tr>
      <w:tr>
        <w:trPr/>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November 12, 2024</w:t>
            </w:r>
          </w:p>
        </w:tc>
        <w:tc>
          <w:tcPr>
            <w:tcW w:w="2086" w:type="dxa"/>
            <w:tcBorders/>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 w:name="kex-ex31_2.htm"/>
      <w:bookmarkStart w:id="5" w:name="kskexex31_2"/>
      <w:bookmarkEnd w:id="4"/>
      <w:bookmarkEnd w:id="5"/>
      <w:r>
        <w:rPr/>
        <w:t> </w:t>
      </w:r>
      <w:r>
        <w:br w:type="page"/>
      </w:r>
    </w:p>
    <w:p>
      <w:pPr>
        <w:pStyle w:val="TextBody"/>
        <w:pBdr>
          <w:top w:val="single" w:sz="4" w:space="1" w:color="000000"/>
        </w:pBdr>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filing of the Quarterly Report on Form 10-Q for the quarter ended September 30, 2024 by Kirby Corporation, Raj Kumar certifies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report on Form 10-Q of Kirby Corporation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47" w:type="dxa"/>
        <w:jc w:val="left"/>
        <w:tblInd w:w="0" w:type="dxa"/>
        <w:tblLayout w:type="fixed"/>
        <w:tblCellMar>
          <w:top w:w="28" w:type="dxa"/>
          <w:left w:w="28" w:type="dxa"/>
          <w:bottom w:w="28" w:type="dxa"/>
          <w:right w:w="28" w:type="dxa"/>
        </w:tblCellMar>
      </w:tblPr>
      <w:tblGrid>
        <w:gridCol w:w="2311"/>
        <w:gridCol w:w="2536"/>
      </w:tblGrid>
      <w:tr>
        <w:trPr/>
        <w:tc>
          <w:tcPr>
            <w:tcW w:w="2311"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283"/>
              <w:jc w:val="left"/>
              <w:rPr/>
            </w:pPr>
            <w:r>
              <w:rPr/>
              <w:t> </w:t>
            </w:r>
          </w:p>
        </w:tc>
        <w:tc>
          <w:tcPr>
            <w:tcW w:w="25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Raj Kumar</w:t>
            </w:r>
          </w:p>
        </w:tc>
      </w:tr>
      <w:tr>
        <w:trPr/>
        <w:tc>
          <w:tcPr>
            <w:tcW w:w="2311" w:type="dxa"/>
            <w:tcBorders/>
            <w:vAlign w:val="center"/>
          </w:tcPr>
          <w:p>
            <w:pPr>
              <w:pStyle w:val="TableContents"/>
              <w:bidi w:val="0"/>
              <w:spacing w:before="0" w:after="283"/>
              <w:jc w:val="left"/>
              <w:rPr/>
            </w:pPr>
            <w:r>
              <w:rPr/>
              <w:t> </w:t>
            </w:r>
          </w:p>
        </w:tc>
        <w:tc>
          <w:tcPr>
            <w:tcW w:w="25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Raj Kumar</w:t>
            </w:r>
          </w:p>
        </w:tc>
      </w:tr>
      <w:tr>
        <w:trPr/>
        <w:tc>
          <w:tcPr>
            <w:tcW w:w="2311" w:type="dxa"/>
            <w:tcBorders/>
            <w:vAlign w:val="center"/>
          </w:tcPr>
          <w:p>
            <w:pPr>
              <w:pStyle w:val="TableContents"/>
              <w:bidi w:val="0"/>
              <w:spacing w:before="0" w:after="283"/>
              <w:jc w:val="left"/>
              <w:rPr/>
            </w:pPr>
            <w:r>
              <w:rPr/>
              <w:t> </w:t>
            </w:r>
          </w:p>
        </w:tc>
        <w:tc>
          <w:tcPr>
            <w:tcW w:w="2536" w:type="dxa"/>
            <w:tcBorders/>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Executive Vice President and</w:t>
            </w:r>
          </w:p>
        </w:tc>
      </w:tr>
      <w:tr>
        <w:trPr/>
        <w:tc>
          <w:tcPr>
            <w:tcW w:w="2311" w:type="dxa"/>
            <w:tcBorders/>
            <w:vAlign w:val="center"/>
          </w:tcPr>
          <w:p>
            <w:pPr>
              <w:pStyle w:val="TableContents"/>
              <w:bidi w:val="0"/>
              <w:spacing w:before="0" w:after="283"/>
              <w:jc w:val="left"/>
              <w:rPr/>
            </w:pPr>
            <w:r>
              <w:rPr/>
              <w:t> </w:t>
            </w:r>
          </w:p>
        </w:tc>
        <w:tc>
          <w:tcPr>
            <w:tcW w:w="2536" w:type="dxa"/>
            <w:tcBorders/>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Financial Officer</w:t>
            </w:r>
          </w:p>
        </w:tc>
      </w:tr>
      <w:tr>
        <w:trPr/>
        <w:tc>
          <w:tcPr>
            <w:tcW w:w="2311" w:type="dxa"/>
            <w:tcBorders/>
            <w:vAlign w:val="center"/>
          </w:tcPr>
          <w:p>
            <w:pPr>
              <w:pStyle w:val="TableContents"/>
              <w:bidi w:val="0"/>
              <w:spacing w:before="0" w:after="283"/>
              <w:jc w:val="left"/>
              <w:rPr/>
            </w:pPr>
            <w:r>
              <w:rPr/>
              <w:t> </w:t>
            </w:r>
          </w:p>
        </w:tc>
        <w:tc>
          <w:tcPr>
            <w:tcW w:w="2536" w:type="dxa"/>
            <w:tcBorders/>
            <w:vAlign w:val="center"/>
          </w:tcPr>
          <w:p>
            <w:pPr>
              <w:pStyle w:val="TableContents"/>
              <w:bidi w:val="0"/>
              <w:spacing w:before="0" w:after="283"/>
              <w:jc w:val="center"/>
              <w:rPr/>
            </w:pPr>
            <w:r>
              <w:rPr/>
              <w:t> </w:t>
            </w:r>
          </w:p>
        </w:tc>
      </w:tr>
      <w:tr>
        <w:trPr/>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November 12, 2024</w:t>
            </w:r>
          </w:p>
        </w:tc>
        <w:tc>
          <w:tcPr>
            <w:tcW w:w="2536" w:type="dxa"/>
            <w:tcBorders/>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 w:name="kex-ex32.htm"/>
      <w:bookmarkStart w:id="7" w:name="kskexex32"/>
      <w:bookmarkEnd w:id="6"/>
      <w:bookmarkEnd w:id="7"/>
      <w:r>
        <w:rPr/>
        <w:t> </w:t>
      </w:r>
      <w:r>
        <w:br w:type="page"/>
      </w:r>
    </w:p>
    <w:p>
      <w:pPr>
        <w:pStyle w:val="TextBody"/>
        <w:pBdr>
          <w:top w:val="single" w:sz="4" w:space="1" w:color="000000"/>
        </w:pBdr>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Section 18 U.S.C. Section 1350</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filing of the Quarterly Report on Form 10-Q for the quarter ended September 30, 2024 (the “Report”) by Kirby Corporation (the “Company”), each of the undersigned hereby certifies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4847" w:type="dxa"/>
        <w:jc w:val="left"/>
        <w:tblInd w:w="0" w:type="dxa"/>
        <w:tblLayout w:type="fixed"/>
        <w:tblCellMar>
          <w:top w:w="28" w:type="dxa"/>
          <w:left w:w="28" w:type="dxa"/>
          <w:bottom w:w="28" w:type="dxa"/>
          <w:right w:w="28" w:type="dxa"/>
        </w:tblCellMar>
      </w:tblPr>
      <w:tblGrid>
        <w:gridCol w:w="2311"/>
        <w:gridCol w:w="2536"/>
      </w:tblGrid>
      <w:tr>
        <w:trPr/>
        <w:tc>
          <w:tcPr>
            <w:tcW w:w="2311"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283"/>
              <w:jc w:val="left"/>
              <w:rPr/>
            </w:pPr>
            <w:r>
              <w:rPr/>
              <w:t> </w:t>
            </w:r>
          </w:p>
        </w:tc>
        <w:tc>
          <w:tcPr>
            <w:tcW w:w="25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W. Grzebinski</w:t>
            </w:r>
          </w:p>
        </w:tc>
      </w:tr>
      <w:tr>
        <w:trPr/>
        <w:tc>
          <w:tcPr>
            <w:tcW w:w="2311" w:type="dxa"/>
            <w:tcBorders/>
            <w:vAlign w:val="center"/>
          </w:tcPr>
          <w:p>
            <w:pPr>
              <w:pStyle w:val="TableContents"/>
              <w:bidi w:val="0"/>
              <w:spacing w:before="0" w:after="283"/>
              <w:jc w:val="left"/>
              <w:rPr/>
            </w:pPr>
            <w:r>
              <w:rPr/>
              <w:t> </w:t>
            </w:r>
          </w:p>
        </w:tc>
        <w:tc>
          <w:tcPr>
            <w:tcW w:w="25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David W. Grzebinski</w:t>
            </w:r>
          </w:p>
        </w:tc>
      </w:tr>
      <w:tr>
        <w:trPr/>
        <w:tc>
          <w:tcPr>
            <w:tcW w:w="2311" w:type="dxa"/>
            <w:tcBorders/>
            <w:vAlign w:val="center"/>
          </w:tcPr>
          <w:p>
            <w:pPr>
              <w:pStyle w:val="TableContents"/>
              <w:bidi w:val="0"/>
              <w:spacing w:before="0" w:after="283"/>
              <w:jc w:val="left"/>
              <w:rPr/>
            </w:pPr>
            <w:r>
              <w:rPr/>
              <w:t> </w:t>
            </w:r>
          </w:p>
        </w:tc>
        <w:tc>
          <w:tcPr>
            <w:tcW w:w="2536" w:type="dxa"/>
            <w:tcBorders/>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Executive Officer</w:t>
            </w:r>
          </w:p>
        </w:tc>
      </w:tr>
      <w:tr>
        <w:trPr/>
        <w:tc>
          <w:tcPr>
            <w:tcW w:w="2311" w:type="dxa"/>
            <w:tcBorders/>
            <w:vAlign w:val="center"/>
          </w:tcPr>
          <w:p>
            <w:pPr>
              <w:pStyle w:val="TableContents"/>
              <w:bidi w:val="0"/>
              <w:spacing w:before="0" w:after="283"/>
              <w:jc w:val="left"/>
              <w:rPr/>
            </w:pPr>
            <w:r>
              <w:rPr/>
              <w:t> </w:t>
            </w:r>
          </w:p>
        </w:tc>
        <w:tc>
          <w:tcPr>
            <w:tcW w:w="2536" w:type="dxa"/>
            <w:tcBorders/>
            <w:vAlign w:val="center"/>
          </w:tcPr>
          <w:p>
            <w:pPr>
              <w:pStyle w:val="TableContents"/>
              <w:bidi w:val="0"/>
              <w:spacing w:before="0" w:after="283"/>
              <w:jc w:val="center"/>
              <w:rPr/>
            </w:pPr>
            <w:r>
              <w:rPr/>
              <w:t> </w:t>
            </w:r>
          </w:p>
        </w:tc>
      </w:tr>
      <w:tr>
        <w:trPr/>
        <w:tc>
          <w:tcPr>
            <w:tcW w:w="2311" w:type="dxa"/>
            <w:tcBorders/>
            <w:vAlign w:val="center"/>
          </w:tcPr>
          <w:p>
            <w:pPr>
              <w:pStyle w:val="TableContents"/>
              <w:bidi w:val="0"/>
              <w:spacing w:before="0" w:after="283"/>
              <w:jc w:val="left"/>
              <w:rPr/>
            </w:pPr>
            <w:r>
              <w:rPr/>
              <w:t> </w:t>
            </w:r>
          </w:p>
        </w:tc>
        <w:tc>
          <w:tcPr>
            <w:tcW w:w="25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Raj Kumar</w:t>
            </w:r>
          </w:p>
        </w:tc>
      </w:tr>
      <w:tr>
        <w:trPr/>
        <w:tc>
          <w:tcPr>
            <w:tcW w:w="2311" w:type="dxa"/>
            <w:tcBorders/>
            <w:vAlign w:val="center"/>
          </w:tcPr>
          <w:p>
            <w:pPr>
              <w:pStyle w:val="TableContents"/>
              <w:bidi w:val="0"/>
              <w:spacing w:before="0" w:after="283"/>
              <w:jc w:val="left"/>
              <w:rPr/>
            </w:pPr>
            <w:r>
              <w:rPr/>
              <w:t> </w:t>
            </w:r>
          </w:p>
        </w:tc>
        <w:tc>
          <w:tcPr>
            <w:tcW w:w="25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Raj Kumar</w:t>
            </w:r>
          </w:p>
        </w:tc>
      </w:tr>
      <w:tr>
        <w:trPr/>
        <w:tc>
          <w:tcPr>
            <w:tcW w:w="2311" w:type="dxa"/>
            <w:tcBorders/>
            <w:vAlign w:val="center"/>
          </w:tcPr>
          <w:p>
            <w:pPr>
              <w:pStyle w:val="TableContents"/>
              <w:bidi w:val="0"/>
              <w:spacing w:before="0" w:after="283"/>
              <w:jc w:val="left"/>
              <w:rPr/>
            </w:pPr>
            <w:r>
              <w:rPr/>
              <w:t> </w:t>
            </w:r>
          </w:p>
        </w:tc>
        <w:tc>
          <w:tcPr>
            <w:tcW w:w="2536" w:type="dxa"/>
            <w:tcBorders/>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Executive Vice President and</w:t>
            </w:r>
          </w:p>
        </w:tc>
      </w:tr>
      <w:tr>
        <w:trPr/>
        <w:tc>
          <w:tcPr>
            <w:tcW w:w="2311" w:type="dxa"/>
            <w:tcBorders/>
            <w:vAlign w:val="center"/>
          </w:tcPr>
          <w:p>
            <w:pPr>
              <w:pStyle w:val="TableContents"/>
              <w:bidi w:val="0"/>
              <w:spacing w:before="0" w:after="283"/>
              <w:jc w:val="left"/>
              <w:rPr/>
            </w:pPr>
            <w:r>
              <w:rPr/>
              <w:t> </w:t>
            </w:r>
          </w:p>
        </w:tc>
        <w:tc>
          <w:tcPr>
            <w:tcW w:w="2536" w:type="dxa"/>
            <w:tcBorders/>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Financial Officer</w:t>
            </w:r>
          </w:p>
        </w:tc>
      </w:tr>
      <w:tr>
        <w:trPr/>
        <w:tc>
          <w:tcPr>
            <w:tcW w:w="2311" w:type="dxa"/>
            <w:tcBorders/>
            <w:vAlign w:val="center"/>
          </w:tcPr>
          <w:p>
            <w:pPr>
              <w:pStyle w:val="TableContents"/>
              <w:bidi w:val="0"/>
              <w:spacing w:before="0" w:after="283"/>
              <w:jc w:val="left"/>
              <w:rPr/>
            </w:pPr>
            <w:r>
              <w:rPr/>
              <w:t> </w:t>
            </w:r>
          </w:p>
        </w:tc>
        <w:tc>
          <w:tcPr>
            <w:tcW w:w="2536" w:type="dxa"/>
            <w:tcBorders/>
            <w:vAlign w:val="center"/>
          </w:tcPr>
          <w:p>
            <w:pPr>
              <w:pStyle w:val="TableContents"/>
              <w:bidi w:val="0"/>
              <w:spacing w:before="0" w:after="283"/>
              <w:jc w:val="center"/>
              <w:rPr/>
            </w:pPr>
            <w:r>
              <w:rPr/>
              <w:t> </w:t>
            </w:r>
          </w:p>
        </w:tc>
      </w:tr>
      <w:tr>
        <w:trPr/>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November 12, 2024</w:t>
            </w:r>
          </w:p>
        </w:tc>
        <w:tc>
          <w:tcPr>
            <w:tcW w:w="2536" w:type="dxa"/>
            <w:tcBorders/>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56047/000114036115008395/ex3_1.htm" TargetMode="External"/><Relationship Id="rId3" Type="http://schemas.openxmlformats.org/officeDocument/2006/relationships/hyperlink" Target="https://www.sec.gov/Archives/edgar/data/56047/000095017022020426/kex-ex3_1.htm" TargetMode="External"/><Relationship Id="rId4" Type="http://schemas.openxmlformats.org/officeDocument/2006/relationships/hyperlink" Target="https://www.sec.gov/Archives/edgar/data/0000056047/000095017024049254/kex-ex3_2.htm" TargetMode="External"/><Relationship Id="rId5" Type="http://schemas.openxmlformats.org/officeDocument/2006/relationships/hyperlink" Target="https://www.sec.gov/Archives/edgar/data/56047/000114036115008395/ex3_1.htm" TargetMode="External"/><Relationship Id="rId6" Type="http://schemas.openxmlformats.org/officeDocument/2006/relationships/hyperlink" Target="https://www.sec.gov/Archives/edgar/data/56047/000095017022020426/kex-ex3_1.htm" TargetMode="External"/><Relationship Id="rId7" Type="http://schemas.openxmlformats.org/officeDocument/2006/relationships/hyperlink" Target="https://www.sec.gov/Archives/edgar/data/0000056047/000095017024049254/kex-ex3_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15822</Words>
  <Characters>86277</Characters>
  <CharactersWithSpaces>104256</CharactersWithSpaces>
  <Paragraphs>7601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