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spacing w:after="0"/>
        <w:rPr>
          <w:sz w:val="24"/>
          <w:szCs w:val="24"/>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4"/>
          <w:szCs w:val="24"/>
          <w:color w:val="auto"/>
        </w:rPr>
      </w:pPr>
    </w:p>
    <w:p>
      <w:pPr>
        <w:spacing w:after="0"/>
        <w:rPr>
          <w:sz w:val="24"/>
          <w:szCs w:val="24"/>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400"/>
        </w:trPr>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60" w:type="dxa"/>
            <w:vAlign w:val="bottom"/>
            <w:gridSpan w:val="3"/>
          </w:tcPr>
          <w:p>
            <w:pPr>
              <w:jc w:val="center"/>
              <w:ind w:right="3270"/>
              <w:spacing w:after="0"/>
              <w:rPr>
                <w:sz w:val="20"/>
                <w:szCs w:val="20"/>
                <w:color w:val="auto"/>
              </w:rPr>
            </w:pPr>
            <w:r>
              <w:rPr>
                <w:rFonts w:ascii="Times New Roman" w:cs="Times New Roman" w:eastAsia="Times New Roman" w:hAnsi="Times New Roman"/>
                <w:sz w:val="18"/>
                <w:szCs w:val="18"/>
                <w:b w:val="1"/>
                <w:bCs w:val="1"/>
                <w:color w:val="auto"/>
                <w:w w:val="99"/>
              </w:rPr>
              <w:t>Commission File Number: 1-7615</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2"/>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2400" w:type="dxa"/>
            <w:vAlign w:val="bottom"/>
          </w:tcPr>
          <w:p>
            <w:pPr>
              <w:spacing w:after="0"/>
              <w:rPr>
                <w:sz w:val="24"/>
                <w:szCs w:val="24"/>
                <w:color w:val="auto"/>
              </w:rPr>
            </w:pPr>
          </w:p>
        </w:tc>
        <w:tc>
          <w:tcPr>
            <w:tcW w:w="8840" w:type="dxa"/>
            <w:vAlign w:val="bottom"/>
            <w:gridSpan w:val="4"/>
          </w:tcPr>
          <w:p>
            <w:pPr>
              <w:jc w:val="center"/>
              <w:ind w:right="2290"/>
              <w:spacing w:after="0" w:line="474" w:lineRule="exact"/>
              <w:rPr>
                <w:sz w:val="20"/>
                <w:szCs w:val="20"/>
                <w:color w:val="auto"/>
              </w:rPr>
            </w:pPr>
            <w:r>
              <w:rPr>
                <w:rFonts w:ascii="Times New Roman" w:cs="Times New Roman" w:eastAsia="Times New Roman" w:hAnsi="Times New Roman"/>
                <w:sz w:val="43"/>
                <w:szCs w:val="43"/>
                <w:b w:val="1"/>
                <w:bCs w:val="1"/>
                <w:color w:val="auto"/>
                <w:w w:val="99"/>
              </w:rPr>
              <w:t>KIRBY CORPORATION</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60" w:type="dxa"/>
            <w:vAlign w:val="bottom"/>
            <w:gridSpan w:val="3"/>
          </w:tcPr>
          <w:p>
            <w:pPr>
              <w:jc w:val="center"/>
              <w:ind w:right="32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400" w:type="dxa"/>
            <w:vAlign w:val="bottom"/>
          </w:tcPr>
          <w:p>
            <w:pPr>
              <w:spacing w:after="0"/>
              <w:rPr>
                <w:sz w:val="24"/>
                <w:szCs w:val="24"/>
                <w:color w:val="auto"/>
              </w:rPr>
            </w:pPr>
          </w:p>
        </w:tc>
        <w:tc>
          <w:tcPr>
            <w:tcW w:w="4220" w:type="dxa"/>
            <w:vAlign w:val="bottom"/>
            <w:gridSpan w:val="2"/>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620" w:type="dxa"/>
            <w:vAlign w:val="bottom"/>
            <w:gridSpan w:val="2"/>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74-1884980</w:t>
            </w:r>
          </w:p>
        </w:tc>
        <w:tc>
          <w:tcPr>
            <w:tcW w:w="0" w:type="dxa"/>
            <w:vAlign w:val="bottom"/>
          </w:tcPr>
          <w:p>
            <w:pPr>
              <w:spacing w:after="0"/>
              <w:rPr>
                <w:sz w:val="1"/>
                <w:szCs w:val="1"/>
                <w:color w:val="auto"/>
              </w:rPr>
            </w:pPr>
          </w:p>
        </w:tc>
      </w:tr>
      <w:tr>
        <w:trPr>
          <w:trHeight w:val="261"/>
        </w:trPr>
        <w:tc>
          <w:tcPr>
            <w:tcW w:w="6620" w:type="dxa"/>
            <w:vAlign w:val="bottom"/>
            <w:gridSpan w:val="3"/>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60" w:type="dxa"/>
            <w:vAlign w:val="bottom"/>
          </w:tcPr>
          <w:p>
            <w:pPr>
              <w:spacing w:after="0"/>
              <w:rPr>
                <w:sz w:val="22"/>
                <w:szCs w:val="22"/>
                <w:color w:val="auto"/>
              </w:rPr>
            </w:pPr>
          </w:p>
        </w:tc>
        <w:tc>
          <w:tcPr>
            <w:tcW w:w="43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69"/>
        </w:trPr>
        <w:tc>
          <w:tcPr>
            <w:tcW w:w="6620" w:type="dxa"/>
            <w:vAlign w:val="bottom"/>
            <w:gridSpan w:val="3"/>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55 Waugh Drive, Suite 1000</w:t>
            </w:r>
          </w:p>
        </w:tc>
        <w:tc>
          <w:tcPr>
            <w:tcW w:w="4620" w:type="dxa"/>
            <w:vAlign w:val="bottom"/>
            <w:gridSpan w:val="2"/>
            <w:vMerge w:val="restart"/>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7"/>
              </w:rPr>
              <w:t>77007</w:t>
            </w:r>
          </w:p>
        </w:tc>
        <w:tc>
          <w:tcPr>
            <w:tcW w:w="0" w:type="dxa"/>
            <w:vAlign w:val="bottom"/>
          </w:tcPr>
          <w:p>
            <w:pPr>
              <w:spacing w:after="0"/>
              <w:rPr>
                <w:sz w:val="1"/>
                <w:szCs w:val="1"/>
                <w:color w:val="auto"/>
              </w:rPr>
            </w:pPr>
          </w:p>
        </w:tc>
      </w:tr>
      <w:tr>
        <w:trPr>
          <w:trHeight w:val="220"/>
        </w:trPr>
        <w:tc>
          <w:tcPr>
            <w:tcW w:w="6620" w:type="dxa"/>
            <w:vAlign w:val="bottom"/>
            <w:gridSpan w:val="3"/>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4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20" w:type="dxa"/>
            <w:vAlign w:val="bottom"/>
            <w:gridSpan w:val="3"/>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0" w:type="dxa"/>
            <w:vAlign w:val="bottom"/>
          </w:tcPr>
          <w:p>
            <w:pPr>
              <w:spacing w:after="0"/>
              <w:rPr>
                <w:sz w:val="20"/>
                <w:szCs w:val="20"/>
                <w:color w:val="auto"/>
              </w:rPr>
            </w:pPr>
          </w:p>
        </w:tc>
        <w:tc>
          <w:tcPr>
            <w:tcW w:w="43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400"/>
        </w:trPr>
        <w:tc>
          <w:tcPr>
            <w:tcW w:w="2400" w:type="dxa"/>
            <w:vAlign w:val="bottom"/>
          </w:tcPr>
          <w:p>
            <w:pPr>
              <w:spacing w:after="0"/>
              <w:rPr>
                <w:sz w:val="24"/>
                <w:szCs w:val="24"/>
                <w:color w:val="auto"/>
              </w:rPr>
            </w:pPr>
          </w:p>
        </w:tc>
        <w:tc>
          <w:tcPr>
            <w:tcW w:w="4220" w:type="dxa"/>
            <w:vAlign w:val="bottom"/>
            <w:gridSpan w:val="2"/>
          </w:tcPr>
          <w:p>
            <w:pPr>
              <w:jc w:val="center"/>
              <w:ind w:left="2119"/>
              <w:spacing w:after="0"/>
              <w:rPr>
                <w:sz w:val="20"/>
                <w:szCs w:val="20"/>
                <w:color w:val="auto"/>
              </w:rPr>
            </w:pPr>
            <w:r>
              <w:rPr>
                <w:rFonts w:ascii="Times New Roman" w:cs="Times New Roman" w:eastAsia="Times New Roman" w:hAnsi="Times New Roman"/>
                <w:sz w:val="18"/>
                <w:szCs w:val="18"/>
                <w:b w:val="1"/>
                <w:bCs w:val="1"/>
                <w:color w:val="auto"/>
                <w:w w:val="99"/>
              </w:rPr>
              <w:t>713-435-1000</w:t>
            </w:r>
          </w:p>
        </w:tc>
        <w:tc>
          <w:tcPr>
            <w:tcW w:w="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60" w:type="dxa"/>
            <w:vAlign w:val="bottom"/>
            <w:gridSpan w:val="3"/>
          </w:tcPr>
          <w:p>
            <w:pPr>
              <w:jc w:val="center"/>
              <w:ind w:right="3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387"/>
        </w:trPr>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4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No Change</w:t>
            </w:r>
          </w:p>
        </w:tc>
        <w:tc>
          <w:tcPr>
            <w:tcW w:w="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8840" w:type="dxa"/>
            <w:vAlign w:val="bottom"/>
            <w:gridSpan w:val="4"/>
          </w:tcPr>
          <w:p>
            <w:pPr>
              <w:jc w:val="center"/>
              <w:ind w:right="2290"/>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c>
          <w:tcPr>
            <w:tcW w:w="0" w:type="dxa"/>
            <w:vAlign w:val="bottom"/>
          </w:tcPr>
          <w:p>
            <w:pPr>
              <w:spacing w:after="0"/>
              <w:rPr>
                <w:sz w:val="1"/>
                <w:szCs w:val="1"/>
                <w:color w:val="auto"/>
              </w:rPr>
            </w:pPr>
          </w:p>
        </w:tc>
      </w:tr>
      <w:tr>
        <w:trPr>
          <w:trHeight w:val="310"/>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auto"/>
              <w:bottom w:val="single" w:sz="8" w:color="auto"/>
            </w:tcBorders>
          </w:tcPr>
          <w:p>
            <w:pPr>
              <w:jc w:val="center"/>
              <w:ind w:left="890"/>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980" w:type="dxa"/>
            <w:vAlign w:val="bottom"/>
            <w:tcBorders>
              <w:bottom w:val="single" w:sz="8" w:color="auto"/>
              <w:right w:val="single" w:sz="8" w:color="auto"/>
            </w:tcBorders>
          </w:tcPr>
          <w:p>
            <w:pPr>
              <w:spacing w:after="0"/>
              <w:rPr>
                <w:sz w:val="16"/>
                <w:szCs w:val="16"/>
                <w:color w:val="auto"/>
              </w:rPr>
            </w:pPr>
          </w:p>
        </w:tc>
        <w:tc>
          <w:tcPr>
            <w:tcW w:w="3240" w:type="dxa"/>
            <w:vAlign w:val="bottom"/>
            <w:tcBorders>
              <w:bottom w:val="single" w:sz="8" w:color="auto"/>
            </w:tcBorders>
          </w:tcPr>
          <w:p>
            <w:pPr>
              <w:jc w:val="center"/>
              <w:ind w:left="150"/>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260" w:type="dxa"/>
            <w:vAlign w:val="bottom"/>
            <w:tcBorders>
              <w:bottom w:val="single" w:sz="8" w:color="auto"/>
              <w:right w:val="single" w:sz="8" w:color="auto"/>
            </w:tcBorders>
          </w:tcPr>
          <w:p>
            <w:pPr>
              <w:spacing w:after="0"/>
              <w:rPr>
                <w:sz w:val="16"/>
                <w:szCs w:val="16"/>
                <w:color w:val="auto"/>
              </w:rPr>
            </w:pPr>
          </w:p>
        </w:tc>
        <w:tc>
          <w:tcPr>
            <w:tcW w:w="436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193"/>
        </w:trPr>
        <w:tc>
          <w:tcPr>
            <w:tcW w:w="2400" w:type="dxa"/>
            <w:vAlign w:val="bottom"/>
            <w:tcBorders>
              <w:left w:val="single" w:sz="8" w:color="auto"/>
              <w:bottom w:val="single" w:sz="8" w:color="auto"/>
            </w:tcBorders>
          </w:tcPr>
          <w:p>
            <w:pPr>
              <w:jc w:val="center"/>
              <w:ind w:left="910"/>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980" w:type="dxa"/>
            <w:vAlign w:val="bottom"/>
            <w:tcBorders>
              <w:bottom w:val="single" w:sz="8" w:color="auto"/>
              <w:right w:val="single" w:sz="8" w:color="auto"/>
            </w:tcBorders>
          </w:tcPr>
          <w:p>
            <w:pPr>
              <w:spacing w:after="0"/>
              <w:rPr>
                <w:sz w:val="16"/>
                <w:szCs w:val="16"/>
                <w:color w:val="auto"/>
              </w:rPr>
            </w:pPr>
          </w:p>
        </w:tc>
        <w:tc>
          <w:tcPr>
            <w:tcW w:w="3240" w:type="dxa"/>
            <w:vAlign w:val="bottom"/>
            <w:tcBorders>
              <w:bottom w:val="single" w:sz="8" w:color="auto"/>
            </w:tcBorders>
          </w:tcPr>
          <w:p>
            <w:pPr>
              <w:jc w:val="center"/>
              <w:ind w:left="150"/>
              <w:spacing w:after="0" w:line="193" w:lineRule="exact"/>
              <w:rPr>
                <w:sz w:val="20"/>
                <w:szCs w:val="20"/>
                <w:color w:val="auto"/>
              </w:rPr>
            </w:pPr>
            <w:r>
              <w:rPr>
                <w:rFonts w:ascii="Times New Roman" w:cs="Times New Roman" w:eastAsia="Times New Roman" w:hAnsi="Times New Roman"/>
                <w:sz w:val="18"/>
                <w:szCs w:val="18"/>
                <w:color w:val="auto"/>
                <w:w w:val="97"/>
              </w:rPr>
              <w:t>KEX</w:t>
            </w:r>
          </w:p>
        </w:tc>
        <w:tc>
          <w:tcPr>
            <w:tcW w:w="260" w:type="dxa"/>
            <w:vAlign w:val="bottom"/>
            <w:tcBorders>
              <w:bottom w:val="single" w:sz="8" w:color="auto"/>
              <w:right w:val="single" w:sz="8" w:color="auto"/>
            </w:tcBorders>
          </w:tcPr>
          <w:p>
            <w:pPr>
              <w:spacing w:after="0"/>
              <w:rPr>
                <w:sz w:val="16"/>
                <w:szCs w:val="16"/>
                <w:color w:val="auto"/>
              </w:rPr>
            </w:pP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84"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56"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No</w:t>
      </w:r>
    </w:p>
    <w:p>
      <w:pPr>
        <w:spacing w:after="0" w:line="156" w:lineRule="exact"/>
        <w:rPr>
          <w:sz w:val="24"/>
          <w:szCs w:val="24"/>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spacing w:after="0"/>
              <w:rPr>
                <w:sz w:val="18"/>
                <w:szCs w:val="18"/>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spacing w:after="0"/>
              <w:rPr>
                <w:sz w:val="18"/>
                <w:szCs w:val="18"/>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spacing w:after="0"/>
              <w:rPr>
                <w:sz w:val="20"/>
                <w:szCs w:val="20"/>
                <w:color w:val="auto"/>
              </w:rPr>
            </w:pPr>
          </w:p>
        </w:tc>
      </w:tr>
    </w:tbl>
    <w:p>
      <w:pPr>
        <w:spacing w:after="0" w:line="18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spacing w:after="0"/>
        <w:tabs>
          <w:tab w:leader="none" w:pos="87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tab/>
        <w:t>No</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3, 2022, 59.9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762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560" w:type="dxa"/>
            <w:vAlign w:val="bottom"/>
          </w:tcPr>
          <w:p>
            <w:pPr>
              <w:spacing w:after="0"/>
              <w:rPr>
                <w:sz w:val="21"/>
                <w:szCs w:val="21"/>
                <w:color w:val="auto"/>
              </w:rPr>
            </w:pPr>
          </w:p>
        </w:tc>
        <w:tc>
          <w:tcPr>
            <w:tcW w:w="7780" w:type="dxa"/>
            <w:vAlign w:val="bottom"/>
            <w:gridSpan w:val="2"/>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560" w:type="dxa"/>
            <w:vAlign w:val="bottom"/>
          </w:tcPr>
          <w:p>
            <w:pPr>
              <w:spacing w:after="0"/>
              <w:rPr>
                <w:sz w:val="17"/>
                <w:szCs w:val="17"/>
                <w:color w:val="auto"/>
              </w:rPr>
            </w:pPr>
          </w:p>
        </w:tc>
        <w:tc>
          <w:tcPr>
            <w:tcW w:w="7620" w:type="dxa"/>
            <w:vAlign w:val="bottom"/>
          </w:tcPr>
          <w:p>
            <w:pPr>
              <w:jc w:val="center"/>
              <w:ind w:left="24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560" w:type="dxa"/>
            <w:vAlign w:val="bottom"/>
          </w:tcPr>
          <w:p>
            <w:pPr>
              <w:spacing w:after="0"/>
              <w:rPr>
                <w:sz w:val="20"/>
                <w:szCs w:val="20"/>
                <w:color w:val="auto"/>
              </w:rPr>
            </w:pPr>
          </w:p>
        </w:tc>
        <w:tc>
          <w:tcPr>
            <w:tcW w:w="762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6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6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 in</w:t>
            </w:r>
          </w:p>
        </w:tc>
        <w:tc>
          <w:tcPr>
            <w:tcW w:w="1600" w:type="dxa"/>
            <w:vAlign w:val="bottom"/>
            <w:gridSpan w:val="3"/>
          </w:tcPr>
          <w:p>
            <w:pPr>
              <w:jc w:val="center"/>
              <w:ind w:right="911"/>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4"/>
                <w:szCs w:val="14"/>
                <w:color w:val="auto"/>
              </w:rPr>
            </w:pPr>
          </w:p>
        </w:tc>
      </w:tr>
      <w:tr>
        <w:trPr>
          <w:trHeight w:val="216"/>
        </w:trPr>
        <w:tc>
          <w:tcPr>
            <w:tcW w:w="560" w:type="dxa"/>
            <w:vAlign w:val="bottom"/>
            <w:shd w:val="clear" w:color="auto" w:fill="CFF0FC"/>
          </w:tcPr>
          <w:p>
            <w:pPr>
              <w:spacing w:after="0"/>
              <w:rPr>
                <w:sz w:val="18"/>
                <w:szCs w:val="18"/>
                <w:color w:val="auto"/>
              </w:rPr>
            </w:pPr>
          </w:p>
        </w:tc>
        <w:tc>
          <w:tcPr>
            <w:tcW w:w="7620" w:type="dxa"/>
            <w:vAlign w:val="bottom"/>
            <w:shd w:val="clear" w:color="auto" w:fill="CFF0FC"/>
          </w:tcPr>
          <w:p>
            <w:pPr>
              <w:ind w:left="3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482,744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417,958</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149,964</w:t>
            </w:r>
          </w:p>
        </w:tc>
        <w:tc>
          <w:tcPr>
            <w:tcW w:w="100" w:type="dxa"/>
            <w:vAlign w:val="bottom"/>
          </w:tcPr>
          <w:p>
            <w:pPr>
              <w:spacing w:after="0"/>
              <w:rPr>
                <w:sz w:val="18"/>
                <w:szCs w:val="18"/>
                <w:color w:val="auto"/>
              </w:rPr>
            </w:pPr>
          </w:p>
        </w:tc>
      </w:tr>
      <w:tr>
        <w:trPr>
          <w:trHeight w:val="216"/>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 net</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392,470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331,350</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80,899</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69,780</w:t>
            </w:r>
          </w:p>
        </w:tc>
        <w:tc>
          <w:tcPr>
            <w:tcW w:w="100" w:type="dxa"/>
            <w:vAlign w:val="bottom"/>
          </w:tcPr>
          <w:p>
            <w:pPr>
              <w:spacing w:after="0"/>
              <w:rPr>
                <w:sz w:val="18"/>
                <w:szCs w:val="18"/>
                <w:color w:val="auto"/>
              </w:rPr>
            </w:pPr>
          </w:p>
        </w:tc>
      </w:tr>
      <w:tr>
        <w:trPr>
          <w:trHeight w:val="210"/>
        </w:trPr>
        <w:tc>
          <w:tcPr>
            <w:tcW w:w="560" w:type="dxa"/>
            <w:vAlign w:val="bottom"/>
            <w:tcBorders>
              <w:bottom w:val="single" w:sz="8" w:color="CFF0FC"/>
            </w:tcBorders>
            <w:shd w:val="clear" w:color="auto" w:fill="CFF0FC"/>
          </w:tcPr>
          <w:p>
            <w:pPr>
              <w:spacing w:after="0"/>
              <w:rPr>
                <w:sz w:val="18"/>
                <w:szCs w:val="18"/>
                <w:color w:val="auto"/>
              </w:rPr>
            </w:pPr>
          </w:p>
        </w:tc>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1,126,382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1,003,865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15"/>
        </w:trPr>
        <w:tc>
          <w:tcPr>
            <w:tcW w:w="81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5,434,740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5,392,851</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Pr>
          <w:p>
            <w:pPr>
              <w:spacing w:after="0"/>
              <w:rPr>
                <w:sz w:val="18"/>
                <w:szCs w:val="18"/>
                <w:color w:val="auto"/>
              </w:rPr>
            </w:pPr>
          </w:p>
        </w:tc>
        <w:tc>
          <w:tcPr>
            <w:tcW w:w="14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(1,794,050 )</w:t>
            </w: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(1,714,336 )</w:t>
            </w:r>
          </w:p>
        </w:tc>
      </w:tr>
      <w:tr>
        <w:trPr>
          <w:trHeight w:val="209"/>
        </w:trPr>
        <w:tc>
          <w:tcPr>
            <w:tcW w:w="81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3,640,690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3,678,515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15"/>
        </w:trPr>
        <w:tc>
          <w:tcPr>
            <w:tcW w:w="81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153,723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167,730</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100" w:type="dxa"/>
            <w:vAlign w:val="bottom"/>
          </w:tcPr>
          <w:p>
            <w:pPr>
              <w:spacing w:after="0"/>
              <w:rPr>
                <w:sz w:val="18"/>
                <w:szCs w:val="18"/>
                <w:color w:val="auto"/>
              </w:rPr>
            </w:pPr>
          </w:p>
        </w:tc>
      </w:tr>
      <w:tr>
        <w:trPr>
          <w:trHeight w:val="216"/>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53,615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43,140</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50,135</w:t>
            </w:r>
          </w:p>
        </w:tc>
        <w:tc>
          <w:tcPr>
            <w:tcW w:w="100" w:type="dxa"/>
            <w:vAlign w:val="bottom"/>
          </w:tcPr>
          <w:p>
            <w:pPr>
              <w:spacing w:after="0"/>
              <w:rPr>
                <w:sz w:val="18"/>
                <w:szCs w:val="18"/>
                <w:color w:val="auto"/>
              </w:rPr>
            </w:pPr>
          </w:p>
        </w:tc>
      </w:tr>
      <w:tr>
        <w:trPr>
          <w:trHeight w:val="249"/>
        </w:trPr>
        <w:tc>
          <w:tcPr>
            <w:tcW w:w="560" w:type="dxa"/>
            <w:vAlign w:val="bottom"/>
            <w:tcBorders>
              <w:bottom w:val="single" w:sz="8" w:color="CFF0FC"/>
            </w:tcBorders>
            <w:shd w:val="clear" w:color="auto" w:fill="CFF0FC"/>
          </w:tcPr>
          <w:p>
            <w:pPr>
              <w:spacing w:after="0"/>
              <w:rPr>
                <w:sz w:val="21"/>
                <w:szCs w:val="21"/>
                <w:color w:val="auto"/>
              </w:rPr>
            </w:pPr>
          </w:p>
        </w:tc>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5,456,298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02"/>
        </w:trPr>
        <w:tc>
          <w:tcPr>
            <w:tcW w:w="56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60" w:type="dxa"/>
            <w:vAlign w:val="bottom"/>
            <w:shd w:val="clear" w:color="auto" w:fill="CFF0FC"/>
          </w:tcPr>
          <w:p>
            <w:pPr>
              <w:spacing w:after="0"/>
              <w:rPr>
                <w:sz w:val="18"/>
                <w:szCs w:val="18"/>
                <w:color w:val="auto"/>
              </w:rPr>
            </w:pPr>
          </w:p>
        </w:tc>
        <w:tc>
          <w:tcPr>
            <w:tcW w:w="762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199,088</w:t>
            </w:r>
          </w:p>
        </w:tc>
        <w:tc>
          <w:tcPr>
            <w:tcW w:w="100" w:type="dxa"/>
            <w:vAlign w:val="bottom"/>
          </w:tcPr>
          <w:p>
            <w:pPr>
              <w:spacing w:after="0"/>
              <w:rPr>
                <w:sz w:val="18"/>
                <w:szCs w:val="18"/>
                <w:color w:val="auto"/>
              </w:rPr>
            </w:pPr>
          </w:p>
        </w:tc>
      </w:tr>
      <w:tr>
        <w:trPr>
          <w:trHeight w:val="216"/>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236,078</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82,120</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570,561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543,772</w:t>
            </w:r>
          </w:p>
        </w:tc>
        <w:tc>
          <w:tcPr>
            <w:tcW w:w="100" w:type="dxa"/>
            <w:vAlign w:val="bottom"/>
          </w:tcPr>
          <w:p>
            <w:pPr>
              <w:spacing w:after="0"/>
              <w:rPr>
                <w:sz w:val="18"/>
                <w:szCs w:val="18"/>
                <w:color w:val="auto"/>
              </w:rPr>
            </w:pPr>
          </w:p>
        </w:tc>
      </w:tr>
      <w:tr>
        <w:trPr>
          <w:trHeight w:val="115"/>
        </w:trPr>
        <w:tc>
          <w:tcPr>
            <w:tcW w:w="8180" w:type="dxa"/>
            <w:vAlign w:val="bottom"/>
            <w:gridSpan w:val="2"/>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21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1,161,433</w:t>
            </w:r>
          </w:p>
        </w:tc>
        <w:tc>
          <w:tcPr>
            <w:tcW w:w="100" w:type="dxa"/>
            <w:vAlign w:val="bottom"/>
          </w:tcPr>
          <w:p>
            <w:pPr>
              <w:spacing w:after="0"/>
              <w:rPr>
                <w:sz w:val="18"/>
                <w:szCs w:val="18"/>
                <w:color w:val="auto"/>
              </w:rPr>
            </w:pPr>
          </w:p>
        </w:tc>
      </w:tr>
      <w:tr>
        <w:trPr>
          <w:trHeight w:val="216"/>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604,596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574,152</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159,672</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46,717</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1,910,374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1,966,509</w:t>
            </w:r>
          </w:p>
        </w:tc>
        <w:tc>
          <w:tcPr>
            <w:tcW w:w="100" w:type="dxa"/>
            <w:vAlign w:val="bottom"/>
          </w:tcPr>
          <w:p>
            <w:pPr>
              <w:spacing w:after="0"/>
              <w:rPr>
                <w:sz w:val="18"/>
                <w:szCs w:val="18"/>
                <w:color w:val="auto"/>
              </w:rPr>
            </w:pPr>
          </w:p>
        </w:tc>
      </w:tr>
      <w:tr>
        <w:trPr>
          <w:trHeight w:val="115"/>
        </w:trPr>
        <w:tc>
          <w:tcPr>
            <w:tcW w:w="8180" w:type="dxa"/>
            <w:vAlign w:val="bottom"/>
            <w:gridSpan w:val="2"/>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60" w:type="dxa"/>
            <w:vAlign w:val="bottom"/>
            <w:gridSpan w:val="2"/>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60" w:type="dxa"/>
            <w:vAlign w:val="bottom"/>
            <w:gridSpan w:val="2"/>
            <w:shd w:val="clear" w:color="auto" w:fill="CFF0FC"/>
          </w:tcPr>
          <w:p>
            <w:pPr>
              <w:spacing w:after="0"/>
              <w:rPr>
                <w:sz w:val="10"/>
                <w:szCs w:val="10"/>
                <w:color w:val="auto"/>
              </w:rPr>
            </w:pPr>
          </w:p>
        </w:tc>
      </w:tr>
      <w:tr>
        <w:trPr>
          <w:trHeight w:val="21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160" w:type="dxa"/>
            <w:vAlign w:val="bottom"/>
          </w:tcPr>
          <w:p>
            <w:pPr>
              <w:spacing w:after="0"/>
              <w:rPr>
                <w:sz w:val="18"/>
                <w:szCs w:val="18"/>
                <w:color w:val="auto"/>
              </w:rPr>
            </w:pPr>
          </w:p>
        </w:tc>
        <w:tc>
          <w:tcPr>
            <w:tcW w:w="14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22"/>
        </w:trPr>
        <w:tc>
          <w:tcPr>
            <w:tcW w:w="560" w:type="dxa"/>
            <w:vAlign w:val="bottom"/>
            <w:shd w:val="clear" w:color="auto" w:fill="CFF0FC"/>
          </w:tcPr>
          <w:p>
            <w:pPr>
              <w:spacing w:after="0"/>
              <w:rPr>
                <w:sz w:val="10"/>
                <w:szCs w:val="10"/>
                <w:color w:val="auto"/>
              </w:rPr>
            </w:pPr>
          </w:p>
        </w:tc>
        <w:tc>
          <w:tcPr>
            <w:tcW w:w="76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216"/>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Equity:</w:t>
            </w:r>
          </w:p>
        </w:tc>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Common stock, $0.10 par value per share. Authorized 120 million shares, issued 65.5 million shares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Pr>
          <w:p>
            <w:pPr>
              <w:spacing w:after="0"/>
              <w:rPr>
                <w:sz w:val="18"/>
                <w:szCs w:val="18"/>
                <w:color w:val="auto"/>
              </w:rPr>
            </w:pPr>
          </w:p>
        </w:tc>
      </w:tr>
      <w:tr>
        <w:trPr>
          <w:trHeight w:val="216"/>
        </w:trPr>
        <w:tc>
          <w:tcPr>
            <w:tcW w:w="81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857,674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854,512</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160" w:type="dxa"/>
            <w:vAlign w:val="bottom"/>
          </w:tcPr>
          <w:p>
            <w:pPr>
              <w:spacing w:after="0"/>
              <w:rPr>
                <w:sz w:val="18"/>
                <w:szCs w:val="18"/>
                <w:color w:val="auto"/>
              </w:rPr>
            </w:pPr>
          </w:p>
        </w:tc>
        <w:tc>
          <w:tcPr>
            <w:tcW w:w="14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(13,455 )</w:t>
            </w: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(25,966 )</w:t>
            </w:r>
          </w:p>
        </w:tc>
      </w:tr>
      <w:tr>
        <w:trPr>
          <w:trHeight w:val="216"/>
        </w:trPr>
        <w:tc>
          <w:tcPr>
            <w:tcW w:w="81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2,431,421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2,346,439</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Treasury stock – at cost, 5.6 million shares at September 30, 2022 and 5.4 million at December 31, 2021</w:t>
            </w:r>
          </w:p>
        </w:tc>
        <w:tc>
          <w:tcPr>
            <w:tcW w:w="160" w:type="dxa"/>
            <w:vAlign w:val="bottom"/>
          </w:tcPr>
          <w:p>
            <w:pPr>
              <w:spacing w:after="0"/>
              <w:rPr>
                <w:sz w:val="18"/>
                <w:szCs w:val="18"/>
                <w:color w:val="auto"/>
              </w:rPr>
            </w:pPr>
          </w:p>
        </w:tc>
        <w:tc>
          <w:tcPr>
            <w:tcW w:w="14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(309,130 )</w:t>
            </w: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(295,208 )</w:t>
            </w:r>
          </w:p>
        </w:tc>
      </w:tr>
      <w:tr>
        <w:trPr>
          <w:trHeight w:val="209"/>
        </w:trPr>
        <w:tc>
          <w:tcPr>
            <w:tcW w:w="8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2,973,057</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2,886,324</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8"/>
                <w:szCs w:val="18"/>
                <w:color w:val="auto"/>
              </w:rPr>
            </w:pPr>
          </w:p>
        </w:tc>
      </w:tr>
      <w:tr>
        <w:trPr>
          <w:trHeight w:val="209"/>
        </w:trPr>
        <w:tc>
          <w:tcPr>
            <w:tcW w:w="81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2,975,363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2,888,782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5,456,298</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-5133975</wp:posOffset>
            </wp:positionV>
            <wp:extent cx="6858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-5133975</wp:posOffset>
            </wp:positionV>
            <wp:extent cx="68580"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-4628515</wp:posOffset>
            </wp:positionV>
            <wp:extent cx="6858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5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572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-3848735</wp:posOffset>
            </wp:positionV>
            <wp:extent cx="1080135"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0135" cy="10287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-2785110</wp:posOffset>
            </wp:positionV>
            <wp:extent cx="685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-2005330</wp:posOffset>
            </wp:positionV>
            <wp:extent cx="685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left="3000"/>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STATEMENTS OF EARNINGS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5"/>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80" w:type="dxa"/>
            <w:vAlign w:val="bottom"/>
            <w:gridSpan w:val="5"/>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433,040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338,514</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1,194,231</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972,352</w:t>
            </w:r>
          </w:p>
        </w:tc>
        <w:tc>
          <w:tcPr>
            <w:tcW w:w="10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312,803</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260,406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860,358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683,042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745,843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598,920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2,054,589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1,655,394</w:t>
            </w:r>
          </w:p>
        </w:tc>
        <w:tc>
          <w:tcPr>
            <w:tcW w:w="10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552,392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446,519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1,526,872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1,219,038</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221,721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198,434</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163,484</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Impairments</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340,713</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(377 )</w:t>
            </w:r>
          </w:p>
        </w:tc>
        <w:tc>
          <w:tcPr>
            <w:tcW w:w="14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(830 )</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(7,971 )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(5,082 )</w:t>
            </w:r>
          </w:p>
        </w:tc>
      </w:tr>
      <w:tr>
        <w:trPr>
          <w:trHeight w:val="210"/>
        </w:trPr>
        <w:tc>
          <w:tcPr>
            <w:tcW w:w="49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686,936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915,846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1,919,452</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1,945,128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4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(316,926 )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135,137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(289,734 )</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(11,755 )</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(10,500 )</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(32,598 )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(32,172 )</w:t>
            </w:r>
          </w:p>
        </w:tc>
      </w:tr>
      <w:tr>
        <w:trPr>
          <w:trHeight w:val="209"/>
        </w:trPr>
        <w:tc>
          <w:tcPr>
            <w:tcW w:w="49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(325,594 )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114,392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(313,760 )</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(11,713 )</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(28,956 )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55,840</w:t>
            </w:r>
          </w:p>
        </w:tc>
        <w:tc>
          <w:tcPr>
            <w:tcW w:w="100" w:type="dxa"/>
            <w:vAlign w:val="bottom"/>
          </w:tcPr>
          <w:p>
            <w:pPr>
              <w:spacing w:after="0"/>
              <w:rPr>
                <w:sz w:val="18"/>
                <w:szCs w:val="18"/>
                <w:color w:val="auto"/>
              </w:rPr>
            </w:pPr>
          </w:p>
        </w:tc>
      </w:tr>
      <w:tr>
        <w:trPr>
          <w:trHeight w:val="210"/>
        </w:trPr>
        <w:tc>
          <w:tcPr>
            <w:tcW w:w="49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 (loss)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(265,152 )</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(257,920 )</w:t>
            </w: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(153 )</w:t>
            </w: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(454 )</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r>
      <w:tr>
        <w:trPr>
          <w:trHeight w:val="210"/>
        </w:trPr>
        <w:tc>
          <w:tcPr>
            <w:tcW w:w="49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4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39,091</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(264,730 )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84,982</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(257,915 )</w:t>
            </w:r>
          </w:p>
        </w:tc>
      </w:tr>
      <w:tr>
        <w:trPr>
          <w:trHeight w:val="196"/>
        </w:trPr>
        <w:tc>
          <w:tcPr>
            <w:tcW w:w="49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171"/>
        </w:trPr>
        <w:tc>
          <w:tcPr>
            <w:tcW w:w="49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Net earnings (loss) per share attributable to Kirby common</w:t>
            </w: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(4.30 )</w:t>
            </w:r>
          </w:p>
        </w:tc>
      </w:tr>
      <w:tr>
        <w:trPr>
          <w:trHeight w:val="20"/>
        </w:trPr>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4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(4.41</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-3822700</wp:posOffset>
            </wp:positionV>
            <wp:extent cx="7747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-3822700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-3822700</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-2425065</wp:posOffset>
            </wp:positionV>
            <wp:extent cx="7747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-2425065</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-2425065</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-1868170</wp:posOffset>
            </wp:positionV>
            <wp:extent cx="7747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-1868170</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-1868170</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-1028065</wp:posOffset>
            </wp:positionV>
            <wp:extent cx="7747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-1028065</wp:posOffset>
            </wp:positionV>
            <wp:extent cx="6858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-1028065</wp:posOffset>
            </wp:positionV>
            <wp:extent cx="6858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-744855</wp:posOffset>
            </wp:positionV>
            <wp:extent cx="314579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45790" cy="16256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260" w:type="dxa"/>
            <w:vAlign w:val="bottom"/>
            <w:gridSpan w:val="6"/>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6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 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820" w:type="dxa"/>
            <w:vAlign w:val="bottom"/>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(265,152 )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85,436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(257,920 )</w:t>
            </w:r>
          </w:p>
        </w:tc>
      </w:tr>
      <w:tr>
        <w:trPr>
          <w:trHeight w:val="209"/>
        </w:trPr>
        <w:tc>
          <w:tcPr>
            <w:tcW w:w="494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(608 )</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(122 )</w:t>
            </w:r>
          </w:p>
        </w:tc>
        <w:tc>
          <w:tcPr>
            <w:tcW w:w="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(743 )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(705 )</w:t>
            </w:r>
          </w:p>
        </w:tc>
      </w:tr>
      <w:tr>
        <w:trPr>
          <w:trHeight w:val="209"/>
        </w:trPr>
        <w:tc>
          <w:tcPr>
            <w:tcW w:w="49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8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tcBorders>
              <w:top w:val="single" w:sz="8" w:color="CFF0FC"/>
            </w:tcBorders>
          </w:tcPr>
          <w:p>
            <w:pPr>
              <w:spacing w:after="0"/>
              <w:rPr>
                <w:sz w:val="18"/>
                <w:szCs w:val="18"/>
                <w:color w:val="auto"/>
              </w:rPr>
            </w:pPr>
          </w:p>
        </w:tc>
      </w:tr>
      <w:tr>
        <w:trPr>
          <w:trHeight w:val="210"/>
        </w:trPr>
        <w:tc>
          <w:tcPr>
            <w:tcW w:w="49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(262,132 )</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(251,131 )</w:t>
            </w:r>
          </w:p>
        </w:tc>
      </w:tr>
      <w:tr>
        <w:trPr>
          <w:trHeight w:val="21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8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(153 )</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(454 )</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r>
      <w:tr>
        <w:trPr>
          <w:trHeight w:val="209"/>
        </w:trPr>
        <w:tc>
          <w:tcPr>
            <w:tcW w:w="494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6"/>
        </w:trPr>
        <w:tc>
          <w:tcPr>
            <w:tcW w:w="4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income (loss) attributable to Kirby</w:t>
            </w:r>
          </w:p>
        </w:tc>
        <w:tc>
          <w:tcPr>
            <w:tcW w:w="820" w:type="dxa"/>
            <w:vAlign w:val="bottom"/>
            <w:shd w:val="clear" w:color="auto" w:fill="CFF0FC"/>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47,593</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(261,710 )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(251,126 )</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9"/>
        </w:trPr>
        <w:tc>
          <w:tcPr>
            <w:tcW w:w="8200" w:type="dxa"/>
            <w:vAlign w:val="bottom"/>
            <w:gridSpan w:val="7"/>
          </w:tcPr>
          <w:p>
            <w:pPr>
              <w:jc w:val="center"/>
              <w:ind w:left="2950"/>
              <w:spacing w:after="0"/>
              <w:rPr>
                <w:sz w:val="20"/>
                <w:szCs w:val="20"/>
                <w:color w:val="auto"/>
              </w:rPr>
            </w:pPr>
            <w:r>
              <w:rPr>
                <w:rFonts w:ascii="Times New Roman" w:cs="Times New Roman" w:eastAsia="Times New Roman" w:hAnsi="Times New Roman"/>
                <w:sz w:val="18"/>
                <w:szCs w:val="18"/>
                <w:color w:val="auto"/>
                <w:w w:val="99"/>
              </w:rPr>
              <w:t>See accompanying notes to condensed financial statements.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940" w:type="dxa"/>
            <w:vAlign w:val="bottom"/>
          </w:tcPr>
          <w:p>
            <w:pPr>
              <w:spacing w:after="0"/>
              <w:rPr>
                <w:sz w:val="24"/>
                <w:szCs w:val="24"/>
                <w:color w:val="auto"/>
              </w:rPr>
            </w:pPr>
          </w:p>
        </w:tc>
        <w:tc>
          <w:tcPr>
            <w:tcW w:w="820" w:type="dxa"/>
            <w:vAlign w:val="bottom"/>
          </w:tcPr>
          <w:p>
            <w:pPr>
              <w:jc w:val="center"/>
              <w:ind w:left="457"/>
              <w:spacing w:after="0"/>
              <w:rPr>
                <w:sz w:val="20"/>
                <w:szCs w:val="20"/>
                <w:color w:val="auto"/>
              </w:rPr>
            </w:pPr>
            <w:r>
              <w:rPr>
                <w:rFonts w:ascii="Times New Roman" w:cs="Times New Roman" w:eastAsia="Times New Roman" w:hAnsi="Times New Roman"/>
                <w:sz w:val="18"/>
                <w:szCs w:val="18"/>
                <w:color w:val="auto"/>
                <w:w w:val="88"/>
              </w:rPr>
              <w:t>4</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-2039620</wp:posOffset>
            </wp:positionV>
            <wp:extent cx="7747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-2039620</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-2039620</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-1482090</wp:posOffset>
            </wp:positionV>
            <wp:extent cx="7747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-1482090</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-1482090</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-916305</wp:posOffset>
            </wp:positionV>
            <wp:extent cx="7747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-916305</wp:posOffset>
            </wp:positionV>
            <wp:extent cx="6858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-633730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-616585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-633730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-616585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-633730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-616585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3000"/>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81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85,436</w:t>
            </w:r>
          </w:p>
        </w:tc>
        <w:tc>
          <w:tcPr>
            <w:tcW w:w="260" w:type="dxa"/>
            <w:vAlign w:val="bottom"/>
          </w:tcPr>
          <w:p>
            <w:pPr>
              <w:spacing w:after="0"/>
              <w:rPr>
                <w:sz w:val="18"/>
                <w:szCs w:val="18"/>
                <w:color w:val="auto"/>
              </w:rPr>
            </w:pPr>
          </w:p>
        </w:tc>
        <w:tc>
          <w:tcPr>
            <w:tcW w:w="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(257,920 )</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provided by operations: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163,484</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(benefit) for deferred income taxes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(56,448 )</w:t>
            </w:r>
          </w:p>
        </w:tc>
      </w:tr>
      <w:tr>
        <w:trPr>
          <w:trHeight w:val="21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Impairments</w:t>
            </w:r>
          </w:p>
        </w:tc>
        <w:tc>
          <w:tcPr>
            <w:tcW w:w="260" w:type="dxa"/>
            <w:vAlign w:val="bottom"/>
          </w:tcPr>
          <w:p>
            <w:pPr>
              <w:spacing w:after="0"/>
              <w:rPr>
                <w:sz w:val="18"/>
                <w:szCs w:val="18"/>
                <w:color w:val="auto"/>
              </w:rPr>
            </w:pPr>
          </w:p>
        </w:tc>
        <w:tc>
          <w:tcPr>
            <w:tcW w:w="13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340,713</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(7,608 )</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(6,290 )</w:t>
            </w:r>
          </w:p>
        </w:tc>
      </w:tr>
      <w:tr>
        <w:trPr>
          <w:trHeight w:val="21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(decrease) in cash flows resulting from changes in operating assets and liabilities, net</w:t>
            </w:r>
          </w:p>
        </w:tc>
        <w:tc>
          <w:tcPr>
            <w:tcW w:w="260" w:type="dxa"/>
            <w:vAlign w:val="bottom"/>
          </w:tcPr>
          <w:p>
            <w:pPr>
              <w:spacing w:after="0"/>
              <w:rPr>
                <w:sz w:val="18"/>
                <w:szCs w:val="18"/>
                <w:color w:val="auto"/>
              </w:rPr>
            </w:pP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(126,252 )</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57,841</w:t>
            </w:r>
          </w:p>
        </w:tc>
        <w:tc>
          <w:tcPr>
            <w:tcW w:w="100" w:type="dxa"/>
            <w:vAlign w:val="bottom"/>
          </w:tcPr>
          <w:p>
            <w:pPr>
              <w:spacing w:after="0"/>
              <w:rPr>
                <w:sz w:val="18"/>
                <w:szCs w:val="18"/>
                <w:color w:val="auto"/>
              </w:rPr>
            </w:pPr>
          </w:p>
        </w:tc>
      </w:tr>
      <w:tr>
        <w:trPr>
          <w:trHeight w:val="209"/>
        </w:trPr>
        <w:tc>
          <w:tcPr>
            <w:tcW w:w="81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161,185</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(120,263 )</w:t>
            </w:r>
          </w:p>
        </w:tc>
        <w:tc>
          <w:tcPr>
            <w:tcW w:w="4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(71,968 )</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 of businesses and marine equipment</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(3,900 )</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(7,470 )</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32,904</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39,163</w:t>
            </w:r>
          </w:p>
        </w:tc>
        <w:tc>
          <w:tcPr>
            <w:tcW w:w="100" w:type="dxa"/>
            <w:vAlign w:val="bottom"/>
          </w:tcPr>
          <w:p>
            <w:pPr>
              <w:spacing w:after="0"/>
              <w:rPr>
                <w:sz w:val="18"/>
                <w:szCs w:val="18"/>
                <w:color w:val="auto"/>
              </w:rPr>
            </w:pPr>
          </w:p>
        </w:tc>
      </w:tr>
      <w:tr>
        <w:trPr>
          <w:trHeight w:val="210"/>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(91,259</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(payments) on bank credit facilities, net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(248,057 )</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on long-term debt</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60" w:type="dxa"/>
            <w:vAlign w:val="bottom"/>
          </w:tcPr>
          <w:p>
            <w:pPr>
              <w:spacing w:after="0"/>
              <w:rPr>
                <w:sz w:val="18"/>
                <w:szCs w:val="18"/>
                <w:color w:val="auto"/>
              </w:rPr>
            </w:pP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(315,000 )</w:t>
            </w:r>
          </w:p>
        </w:tc>
        <w:tc>
          <w:tcPr>
            <w:tcW w:w="4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(15,000 )</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(1,538 )</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(3,193 )</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(2,856 )</w:t>
            </w: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purchases</w:t>
            </w:r>
          </w:p>
        </w:tc>
        <w:tc>
          <w:tcPr>
            <w:tcW w:w="260" w:type="dxa"/>
            <w:vAlign w:val="bottom"/>
          </w:tcPr>
          <w:p>
            <w:pPr>
              <w:spacing w:after="0"/>
              <w:rPr>
                <w:sz w:val="18"/>
                <w:szCs w:val="18"/>
                <w:color w:val="auto"/>
              </w:rPr>
            </w:pP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(22,901 )</w:t>
            </w:r>
          </w:p>
        </w:tc>
        <w:tc>
          <w:tcPr>
            <w:tcW w:w="44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Return of investment to noncontrolling interest and other</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(665 )</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(764 )</w:t>
            </w:r>
          </w:p>
        </w:tc>
      </w:tr>
      <w:tr>
        <w:trPr>
          <w:trHeight w:val="20"/>
        </w:trPr>
        <w:tc>
          <w:tcPr>
            <w:tcW w:w="8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8"/>
                <w:szCs w:val="18"/>
                <w:color w:val="auto"/>
              </w:rPr>
            </w:pP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(67,748 )</w:t>
            </w:r>
          </w:p>
        </w:tc>
        <w:tc>
          <w:tcPr>
            <w:tcW w:w="4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(266,048 )</w:t>
            </w:r>
          </w:p>
        </w:tc>
      </w:tr>
      <w:tr>
        <w:trPr>
          <w:trHeight w:val="210"/>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26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260" w:type="dxa"/>
            <w:vAlign w:val="bottom"/>
          </w:tcPr>
          <w:p>
            <w:pPr>
              <w:spacing w:after="0"/>
              <w:rPr>
                <w:sz w:val="18"/>
                <w:szCs w:val="18"/>
                <w:color w:val="auto"/>
              </w:rPr>
            </w:pPr>
          </w:p>
        </w:tc>
        <w:tc>
          <w:tcPr>
            <w:tcW w:w="4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54,377</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(received) during the period:</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39,754</w:t>
            </w:r>
          </w:p>
        </w:tc>
        <w:tc>
          <w:tcPr>
            <w:tcW w:w="260" w:type="dxa"/>
            <w:vAlign w:val="bottom"/>
          </w:tcPr>
          <w:p>
            <w:pPr>
              <w:spacing w:after="0"/>
              <w:rPr>
                <w:sz w:val="18"/>
                <w:szCs w:val="18"/>
                <w:color w:val="auto"/>
              </w:rPr>
            </w:pPr>
          </w:p>
        </w:tc>
        <w:tc>
          <w:tcPr>
            <w:tcW w:w="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39,134</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(116,010 )</w:t>
            </w:r>
          </w:p>
        </w:tc>
      </w:tr>
      <w:tr>
        <w:trPr>
          <w:trHeight w:val="21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260" w:type="dxa"/>
            <w:vAlign w:val="bottom"/>
          </w:tcPr>
          <w:p>
            <w:pPr>
              <w:spacing w:after="0"/>
              <w:rPr>
                <w:sz w:val="18"/>
                <w:szCs w:val="18"/>
                <w:color w:val="auto"/>
              </w:rPr>
            </w:pPr>
          </w:p>
        </w:tc>
        <w:tc>
          <w:tcPr>
            <w:tcW w:w="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100" w:type="dxa"/>
            <w:vAlign w:val="bottom"/>
          </w:tcPr>
          <w:p>
            <w:pPr>
              <w:spacing w:after="0"/>
              <w:rPr>
                <w:sz w:val="18"/>
                <w:szCs w:val="18"/>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(8,508 )</w:t>
            </w:r>
          </w:p>
        </w:tc>
        <w:tc>
          <w:tcPr>
            <w:tcW w:w="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(13,549 )</w:t>
            </w:r>
          </w:p>
        </w:tc>
      </w:tr>
      <w:tr>
        <w:trPr>
          <w:trHeight w:val="216"/>
        </w:trPr>
        <w:tc>
          <w:tcPr>
            <w:tcW w:w="8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-4191000</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-3350895</wp:posOffset>
            </wp:positionV>
            <wp:extent cx="6858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-1971040</wp:posOffset>
            </wp:positionV>
            <wp:extent cx="6858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-1405255</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1480" w:type="dxa"/>
            <w:vAlign w:val="bottom"/>
            <w:gridSpan w:val="4"/>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60" w:type="dxa"/>
            <w:vAlign w:val="bottom"/>
            <w:gridSpan w:val="4"/>
            <w:vMerge w:val="continue"/>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6"/>
              </w:rPr>
              <w:t>(in thousands)</w:t>
            </w:r>
          </w:p>
        </w:tc>
        <w:tc>
          <w:tcPr>
            <w:tcW w:w="2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Balance at June 30, 2022</w:t>
            </w:r>
          </w:p>
        </w:tc>
        <w:tc>
          <w:tcPr>
            <w:tcW w:w="5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65,47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2,392,3</w:t>
            </w: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2,929,74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854,781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(21,957 )</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(304,314 )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stock for</w:t>
            </w: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equity awards, net of</w:t>
            </w: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Tax withholdings on</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Amortization of</w:t>
            </w: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unearned share-based</w:t>
            </w: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Treasury stock</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(4,816 )</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(4,816 )</w:t>
            </w: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Total comprehensive</w:t>
            </w: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39,091</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Return of investment to</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(204 )</w:t>
            </w:r>
          </w:p>
        </w:tc>
        <w:tc>
          <w:tcPr>
            <w:tcW w:w="140" w:type="dxa"/>
            <w:vAlign w:val="bottom"/>
          </w:tcPr>
          <w:p>
            <w:pPr>
              <w:spacing w:after="0"/>
              <w:rPr>
                <w:sz w:val="14"/>
                <w:szCs w:val="14"/>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21"/>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2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September 30,</w:t>
            </w:r>
          </w:p>
        </w:tc>
        <w:tc>
          <w:tcPr>
            <w:tcW w:w="58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65,47</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2,431,4</w:t>
            </w:r>
          </w:p>
        </w:tc>
        <w:tc>
          <w:tcPr>
            <w:tcW w:w="20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(5,57</w:t>
            </w:r>
          </w:p>
        </w:tc>
        <w:tc>
          <w:tcPr>
            <w:tcW w:w="22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2,975,36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857,674</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(13,455 )</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23"/>
                <w:szCs w:val="2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(309,130 )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202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1480" w:type="dxa"/>
            <w:vAlign w:val="bottom"/>
            <w:gridSpan w:val="4"/>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60" w:type="dxa"/>
            <w:vAlign w:val="bottom"/>
            <w:gridSpan w:val="4"/>
            <w:vMerge w:val="continue"/>
          </w:tcPr>
          <w:p>
            <w:pPr>
              <w:spacing w:after="0"/>
              <w:rPr>
                <w:sz w:val="15"/>
                <w:szCs w:val="15"/>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10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86"/>
              </w:rPr>
              <w:t>(in thousands)</w:t>
            </w:r>
          </w:p>
        </w:tc>
        <w:tc>
          <w:tcPr>
            <w:tcW w:w="2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Balance at June 30, 2021</w:t>
            </w:r>
          </w:p>
        </w:tc>
        <w:tc>
          <w:tcPr>
            <w:tcW w:w="5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65,47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2,600,2</w:t>
            </w: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(5,36</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3,105,32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848,081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(57,683 )</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(295,463 )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stock for</w:t>
            </w: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equity awards, net of</w:t>
            </w: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Tax withholdings on</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Amortization of</w:t>
            </w: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unearned share-based</w:t>
            </w: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Total comprehensive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(264,73</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net of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(422 )</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(262,132 )</w:t>
            </w: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Return of investment to</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(739 )</w:t>
            </w:r>
          </w:p>
        </w:tc>
        <w:tc>
          <w:tcPr>
            <w:tcW w:w="14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(739 )</w:t>
            </w:r>
          </w:p>
        </w:tc>
        <w:tc>
          <w:tcPr>
            <w:tcW w:w="0" w:type="dxa"/>
            <w:vAlign w:val="bottom"/>
          </w:tcPr>
          <w:p>
            <w:pPr>
              <w:spacing w:after="0"/>
              <w:rPr>
                <w:sz w:val="1"/>
                <w:szCs w:val="1"/>
                <w:color w:val="auto"/>
              </w:rPr>
            </w:pPr>
          </w:p>
        </w:tc>
      </w:tr>
      <w:tr>
        <w:trPr>
          <w:trHeight w:val="221"/>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2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September 30,</w:t>
            </w:r>
          </w:p>
        </w:tc>
        <w:tc>
          <w:tcPr>
            <w:tcW w:w="5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65,47</w:t>
            </w: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2,335,4</w:t>
            </w:r>
          </w:p>
        </w:tc>
        <w:tc>
          <w:tcPr>
            <w:tcW w:w="200" w:type="dxa"/>
            <w:vAlign w:val="bottom"/>
            <w:tcBorders>
              <w:top w:val="single" w:sz="8" w:color="CFF0FC"/>
            </w:tcBorders>
          </w:tcPr>
          <w:p>
            <w:pPr>
              <w:spacing w:after="0"/>
              <w:rPr>
                <w:sz w:val="14"/>
                <w:szCs w:val="14"/>
                <w:color w:val="auto"/>
              </w:rPr>
            </w:pPr>
          </w:p>
        </w:tc>
        <w:tc>
          <w:tcPr>
            <w:tcW w:w="5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(5,36</w:t>
            </w:r>
          </w:p>
        </w:tc>
        <w:tc>
          <w:tcPr>
            <w:tcW w:w="220" w:type="dxa"/>
            <w:vAlign w:val="bottom"/>
            <w:tcBorders>
              <w:top w:val="single" w:sz="8" w:color="CFF0FC"/>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2,846,22</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851,587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(54,663 )</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(295,203 )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-2931160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-2914015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-2931160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-2914015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-2931160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-2914015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-2931160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-2914015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-2931160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-2914015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-2931160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-2914015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-2931160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-2914015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-2931160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-2914015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-290830</wp:posOffset>
            </wp:positionV>
            <wp:extent cx="76835"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-290830</wp:posOffset>
            </wp:positionV>
            <wp:extent cx="76835"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-290830</wp:posOffset>
            </wp:positionV>
            <wp:extent cx="68580"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-290830</wp:posOffset>
            </wp:positionV>
            <wp:extent cx="68580"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-290830</wp:posOffset>
            </wp:positionV>
            <wp:extent cx="6858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-290830</wp:posOffset>
            </wp:positionV>
            <wp:extent cx="6858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-290830</wp:posOffset>
            </wp:positionV>
            <wp:extent cx="68580"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-290830</wp:posOffset>
            </wp:positionV>
            <wp:extent cx="6858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gridSpan w:val="8"/>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10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7"/>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80" w:type="dxa"/>
            <w:vAlign w:val="bottom"/>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12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5"/>
                <w:szCs w:val="15"/>
                <w:color w:val="auto"/>
              </w:rPr>
            </w:pPr>
          </w:p>
        </w:tc>
        <w:tc>
          <w:tcPr>
            <w:tcW w:w="184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(in thousands)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Balance at December 31,</w:t>
            </w:r>
          </w:p>
        </w:tc>
        <w:tc>
          <w:tcPr>
            <w:tcW w:w="580" w:type="dxa"/>
            <w:vAlign w:val="bottom"/>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2,346,4</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2,888,78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854,512</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(25,966 )</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0"/>
                <w:szCs w:val="20"/>
                <w:color w:val="auto"/>
              </w:rPr>
            </w:pPr>
          </w:p>
        </w:tc>
        <w:tc>
          <w:tcPr>
            <w:tcW w:w="10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(295,208 )</w:t>
            </w:r>
          </w:p>
        </w:tc>
        <w:tc>
          <w:tcPr>
            <w:tcW w:w="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4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stock for</w:t>
            </w: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equity awards, net of</w:t>
            </w:r>
          </w:p>
        </w:tc>
        <w:tc>
          <w:tcPr>
            <w:tcW w:w="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(8,977 )</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Tax withholdings on</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4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0"/>
                <w:szCs w:val="20"/>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(3,192 )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(3,192 )</w:t>
            </w: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Amortization of share-</w:t>
            </w: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Treasury stock</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4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(386 )</w:t>
            </w:r>
          </w:p>
        </w:tc>
        <w:tc>
          <w:tcPr>
            <w:tcW w:w="120" w:type="dxa"/>
            <w:vAlign w:val="bottom"/>
          </w:tcPr>
          <w:p>
            <w:pPr>
              <w:spacing w:after="0"/>
              <w:rPr>
                <w:sz w:val="20"/>
                <w:szCs w:val="20"/>
                <w:color w:val="auto"/>
              </w:rPr>
            </w:pPr>
          </w:p>
        </w:tc>
        <w:tc>
          <w:tcPr>
            <w:tcW w:w="10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(22,901 )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(22,901 )</w:t>
            </w: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Total comprehensive</w:t>
            </w: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Return of investment to</w:t>
            </w:r>
          </w:p>
        </w:tc>
        <w:tc>
          <w:tcPr>
            <w:tcW w:w="40" w:type="dxa"/>
            <w:vAlign w:val="bottom"/>
          </w:tcPr>
          <w:p>
            <w:pPr>
              <w:spacing w:after="0"/>
              <w:rPr>
                <w:sz w:val="14"/>
                <w:szCs w:val="14"/>
                <w:color w:val="auto"/>
              </w:rPr>
            </w:pPr>
          </w:p>
        </w:tc>
        <w:tc>
          <w:tcPr>
            <w:tcW w:w="7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4"/>
                <w:szCs w:val="14"/>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(606 )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221"/>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2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September 30,</w:t>
            </w:r>
          </w:p>
        </w:tc>
        <w:tc>
          <w:tcPr>
            <w:tcW w:w="580" w:type="dxa"/>
            <w:vAlign w:val="bottom"/>
            <w:tcBorders>
              <w:top w:val="single" w:sz="8" w:color="auto"/>
            </w:tcBorders>
            <w:gridSpan w:val="2"/>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2,431,4</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80" w:type="dxa"/>
            <w:vAlign w:val="bottom"/>
            <w:tcBorders>
              <w:top w:val="single" w:sz="8" w:color="auto"/>
            </w:tcBorders>
            <w:gridSpan w:val="2"/>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2,975,36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857,674</w:t>
            </w:r>
          </w:p>
        </w:tc>
        <w:tc>
          <w:tcPr>
            <w:tcW w:w="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(13,455 )</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FF0FC"/>
          </w:tcPr>
          <w:p>
            <w:pPr>
              <w:spacing w:after="0"/>
              <w:rPr>
                <w:sz w:val="23"/>
                <w:szCs w:val="23"/>
                <w:color w:val="auto"/>
              </w:rPr>
            </w:pPr>
          </w:p>
        </w:tc>
        <w:tc>
          <w:tcPr>
            <w:tcW w:w="10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(309,130 )</w:t>
            </w:r>
          </w:p>
        </w:tc>
        <w:tc>
          <w:tcPr>
            <w:tcW w:w="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202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CFF0FC"/>
            </w:tcBorders>
            <w:gridSpan w:val="2"/>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gridSpan w:val="8"/>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6"/>
                <w:szCs w:val="16"/>
                <w:color w:val="auto"/>
              </w:rPr>
            </w:pPr>
          </w:p>
        </w:tc>
        <w:tc>
          <w:tcPr>
            <w:tcW w:w="10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7"/>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80" w:type="dxa"/>
            <w:vAlign w:val="bottom"/>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60" w:type="dxa"/>
            <w:vAlign w:val="bottom"/>
          </w:tcPr>
          <w:p>
            <w:pPr>
              <w:spacing w:after="0"/>
              <w:rPr>
                <w:sz w:val="15"/>
                <w:szCs w:val="15"/>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5"/>
                <w:szCs w:val="15"/>
                <w:color w:val="auto"/>
              </w:rPr>
            </w:pPr>
          </w:p>
        </w:tc>
        <w:tc>
          <w:tcPr>
            <w:tcW w:w="184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Balance at December 31,</w:t>
            </w:r>
          </w:p>
        </w:tc>
        <w:tc>
          <w:tcPr>
            <w:tcW w:w="680" w:type="dxa"/>
            <w:vAlign w:val="bottom"/>
            <w:gridSpan w:val="3"/>
            <w:shd w:val="clear" w:color="auto" w:fill="CFF0FC"/>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rPr>
              <w:t>65,47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2,593,3</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3,087,55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6,547</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844,979</w:t>
            </w: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(61,452 )</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FF0FC"/>
          </w:tcPr>
          <w:p>
            <w:pPr>
              <w:spacing w:after="0"/>
              <w:rPr>
                <w:sz w:val="20"/>
                <w:szCs w:val="20"/>
                <w:color w:val="auto"/>
              </w:rPr>
            </w:pPr>
          </w:p>
        </w:tc>
        <w:tc>
          <w:tcPr>
            <w:tcW w:w="8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(5,434 )</w:t>
            </w:r>
          </w:p>
        </w:tc>
        <w:tc>
          <w:tcPr>
            <w:tcW w:w="10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(299,161 )</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20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stock for</w:t>
            </w: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equity awards, net of</w:t>
            </w:r>
          </w:p>
        </w:tc>
        <w:tc>
          <w:tcPr>
            <w:tcW w:w="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(6,206 )</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6,206</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Tax withholdings on</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4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(52 )</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(2,856 )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(2,856 )</w:t>
            </w: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Amortization of share-</w:t>
            </w: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4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Total comprehensive</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(257,91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net of taxes</w:t>
            </w:r>
          </w:p>
        </w:tc>
        <w:tc>
          <w:tcPr>
            <w:tcW w:w="4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(251,131 )</w:t>
            </w:r>
          </w:p>
        </w:tc>
        <w:tc>
          <w:tcPr>
            <w:tcW w:w="0" w:type="dxa"/>
            <w:vAlign w:val="bottom"/>
          </w:tcPr>
          <w:p>
            <w:pPr>
              <w:spacing w:after="0"/>
              <w:rPr>
                <w:sz w:val="1"/>
                <w:szCs w:val="1"/>
                <w:color w:val="auto"/>
              </w:rPr>
            </w:pPr>
          </w:p>
        </w:tc>
      </w:tr>
      <w:tr>
        <w:trPr>
          <w:trHeight w:val="171"/>
        </w:trPr>
        <w:tc>
          <w:tcPr>
            <w:tcW w:w="20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Return of investment to</w:t>
            </w:r>
          </w:p>
        </w:tc>
        <w:tc>
          <w:tcPr>
            <w:tcW w:w="40" w:type="dxa"/>
            <w:vAlign w:val="bottom"/>
            <w:shd w:val="clear" w:color="auto" w:fill="CFF0FC"/>
          </w:tcPr>
          <w:p>
            <w:pPr>
              <w:spacing w:after="0"/>
              <w:rPr>
                <w:sz w:val="14"/>
                <w:szCs w:val="14"/>
                <w:color w:val="auto"/>
              </w:rPr>
            </w:pPr>
          </w:p>
        </w:tc>
        <w:tc>
          <w:tcPr>
            <w:tcW w:w="6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(764 )</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(764 )</w:t>
            </w:r>
          </w:p>
        </w:tc>
        <w:tc>
          <w:tcPr>
            <w:tcW w:w="0" w:type="dxa"/>
            <w:vAlign w:val="bottom"/>
          </w:tcPr>
          <w:p>
            <w:pPr>
              <w:spacing w:after="0"/>
              <w:rPr>
                <w:sz w:val="1"/>
                <w:szCs w:val="1"/>
                <w:color w:val="auto"/>
              </w:rPr>
            </w:pPr>
          </w:p>
        </w:tc>
      </w:tr>
      <w:tr>
        <w:trPr>
          <w:trHeight w:val="221"/>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 w:type="dxa"/>
            <w:vAlign w:val="bottom"/>
            <w:shd w:val="clear" w:color="auto" w:fill="CFF0FC"/>
          </w:tcPr>
          <w:p>
            <w:pPr>
              <w:spacing w:after="0"/>
              <w:rPr>
                <w:sz w:val="19"/>
                <w:szCs w:val="19"/>
                <w:color w:val="auto"/>
              </w:rPr>
            </w:pPr>
          </w:p>
        </w:tc>
        <w:tc>
          <w:tcPr>
            <w:tcW w:w="64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gridSpan w:val="2"/>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vMerge w:val="continue"/>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2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September 30,</w:t>
            </w:r>
          </w:p>
        </w:tc>
        <w:tc>
          <w:tcPr>
            <w:tcW w:w="40" w:type="dxa"/>
            <w:vAlign w:val="bottom"/>
            <w:tcBorders>
              <w:top w:val="single" w:sz="8" w:color="CFF0FC"/>
            </w:tcBorders>
          </w:tcPr>
          <w:p>
            <w:pPr>
              <w:spacing w:after="0"/>
              <w:rPr>
                <w:sz w:val="14"/>
                <w:szCs w:val="14"/>
                <w:color w:val="auto"/>
              </w:rPr>
            </w:pPr>
          </w:p>
        </w:tc>
        <w:tc>
          <w:tcPr>
            <w:tcW w:w="640" w:type="dxa"/>
            <w:vAlign w:val="bottom"/>
            <w:tcBorders>
              <w:top w:val="single" w:sz="8" w:color="auto"/>
            </w:tcBorders>
            <w:gridSpan w:val="2"/>
          </w:tcPr>
          <w:p>
            <w:pPr>
              <w:jc w:val="right"/>
              <w:ind w:right="20"/>
              <w:spacing w:after="0" w:line="164" w:lineRule="exact"/>
              <w:rPr>
                <w:sz w:val="20"/>
                <w:szCs w:val="20"/>
                <w:color w:val="auto"/>
              </w:rPr>
            </w:pPr>
            <w:r>
              <w:rPr>
                <w:rFonts w:ascii="Times New Roman" w:cs="Times New Roman" w:eastAsia="Times New Roman" w:hAnsi="Times New Roman"/>
                <w:sz w:val="18"/>
                <w:szCs w:val="18"/>
                <w:color w:val="auto"/>
              </w:rPr>
              <w:t>65,47</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2,335,4</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2,846,22</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6,547</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851,587</w:t>
            </w:r>
          </w:p>
        </w:tc>
        <w:tc>
          <w:tcPr>
            <w:tcW w:w="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(54,663 )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(5,361 )</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(295,203 )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-2811145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-2794000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-2811145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-2794000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-2811145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-2794000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-2811145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-2794000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-2811145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-2794000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-2811145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-2794000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-2811145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-2794000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-2811145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-2794000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-290830</wp:posOffset>
            </wp:positionV>
            <wp:extent cx="76835"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-290830</wp:posOffset>
            </wp:positionV>
            <wp:extent cx="76835"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-290830</wp:posOffset>
            </wp:positionV>
            <wp:extent cx="76835"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-290830</wp:posOffset>
            </wp:positionV>
            <wp:extent cx="68580"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-290830</wp:posOffset>
            </wp:positionV>
            <wp:extent cx="68580"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-290830</wp:posOffset>
            </wp:positionV>
            <wp:extent cx="68580"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-290830</wp:posOffset>
            </wp:positionV>
            <wp:extent cx="68580"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-290830</wp:posOffset>
            </wp:positionV>
            <wp:extent cx="68580"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291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3000"/>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ind w:left="500" w:hanging="485"/>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Preparation of the Condensed Financial Statements</w:t>
      </w:r>
    </w:p>
    <w:p>
      <w:pPr>
        <w:spacing w:after="0" w:line="175" w:lineRule="exact"/>
        <w:rPr>
          <w:sz w:val="20"/>
          <w:szCs w:val="20"/>
          <w:color w:val="auto"/>
        </w:rPr>
      </w:pPr>
    </w:p>
    <w:p>
      <w:pPr>
        <w:jc w:val="both"/>
        <w:ind w:firstLine="569"/>
        <w:spacing w:after="0" w:line="247"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and its consolidated subsidiaries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2021. Certain reclassifications have been made to reflect the current presentation of financial information.</w:t>
      </w:r>
    </w:p>
    <w:p>
      <w:pPr>
        <w:spacing w:after="0" w:line="135"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the distribution and services segment. Assets acquired consisted primarily of property and equipment. During the nine months ended September 30, 2021, the Company purchased four inland tank barges from a leasing company for $7.5 million in cash. The Company had been leasing the barges prior to the purchase.</w:t>
      </w:r>
    </w:p>
    <w:p>
      <w:pPr>
        <w:spacing w:after="0" w:line="125"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Inland transportation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345,052</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255,791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939,910</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733,830</w:t>
            </w:r>
          </w:p>
        </w:tc>
        <w:tc>
          <w:tcPr>
            <w:tcW w:w="10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transportation</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87,988</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82,723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254,321</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433,040</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338,514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1,194,231</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972,352</w:t>
            </w: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Distribution and services segment:</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165,361</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474,515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426,930</w:t>
            </w:r>
          </w:p>
        </w:tc>
        <w:tc>
          <w:tcPr>
            <w:tcW w:w="10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Oil and gas</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147,442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107,350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385,843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312,803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260,406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860,358</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683,042</w:t>
            </w: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-753745</wp:posOffset>
            </wp:positionV>
            <wp:extent cx="7683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-753745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-753745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-170815</wp:posOffset>
            </wp:positionV>
            <wp:extent cx="7683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18"/>
          <w:szCs w:val="18"/>
          <w:color w:val="auto"/>
        </w:rPr>
        <w:t>Contract liabilities represent advance consideration received from customers, and are recognized as revenue over time as the related performance obligation is satisfied. Revenues recognized during the nine months ended September 30, 2022 and 2021 that were included in the opening contract liability balances were $54.6 million and $40.3 million, respectively. The Company presents all contract liabilities within the deferred revenues financial statement caption on the balance sheets. The Company did not have any contract assets at September 30, 2022 or December 31, 2021. The Company applies the practical expedient that allows non-disclosure of information about remaining performance obligations that have original expected durations of one year or less.</w:t>
      </w:r>
    </w:p>
    <w:p>
      <w:pPr>
        <w:spacing w:after="0" w:line="178"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69" w:lineRule="exact"/>
        <w:rPr>
          <w:sz w:val="20"/>
          <w:szCs w:val="20"/>
          <w:color w:val="auto"/>
        </w:rPr>
      </w:pPr>
    </w:p>
    <w:p>
      <w:pPr>
        <w:jc w:val="both"/>
        <w:ind w:firstLine="56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Segment (“KMT”) </w:t>
      </w:r>
      <w:r>
        <w:rPr>
          <w:rFonts w:ascii="Times New Roman" w:cs="Times New Roman" w:eastAsia="Times New Roman" w:hAnsi="Times New Roman"/>
          <w:sz w:val="18"/>
          <w:szCs w:val="18"/>
          <w:color w:val="auto"/>
        </w:rPr>
        <w:t>— Provides marine transportation by United States flagged vessels principally of liquid cargoes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40" w:lineRule="exact"/>
        <w:rPr>
          <w:sz w:val="20"/>
          <w:szCs w:val="20"/>
          <w:color w:val="auto"/>
        </w:rPr>
      </w:pPr>
    </w:p>
    <w:p>
      <w:pPr>
        <w:jc w:val="both"/>
        <w:ind w:firstLine="56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Segment (“KDS”) </w:t>
      </w:r>
      <w:r>
        <w:rPr>
          <w:rFonts w:ascii="Times New Roman" w:cs="Times New Roman" w:eastAsia="Times New Roman" w:hAnsi="Times New Roman"/>
          <w:sz w:val="18"/>
          <w:szCs w:val="18"/>
          <w:color w:val="auto"/>
        </w:rPr>
        <w:t>— Provides after-market services and genuine replacement parts for engines, transmissions,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and railroad customers.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both"/>
        <w:ind w:firstLine="562"/>
        <w:spacing w:after="0" w:line="245"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KDS from KMT of $8.0 million and $21.9 million for the three months and nine months ended September 30, 2022, respectively, and $5.4 million and $17.6 million for the three months and nine months ended September 30, 2021, respectively, as well as the related intersegment profit of $0.8 million and $2.2 million for the three months and nine months ended September 30, 2022 and $0.5 million and $1.8 million for the three months and nine months ended September 30, 2021, respectively, have been eliminated from the tables below.</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the Company’s revenues and profit or loss by reportable segment and total assets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00" w:type="dxa"/>
            <w:vAlign w:val="bottom"/>
            <w:gridSpan w:val="5"/>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433,040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338,514</w:t>
            </w:r>
          </w:p>
        </w:tc>
        <w:tc>
          <w:tcPr>
            <w:tcW w:w="2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1,194,231</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972,352</w:t>
            </w:r>
          </w:p>
        </w:tc>
        <w:tc>
          <w:tcPr>
            <w:tcW w:w="10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312,803</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260,406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860,358</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683,042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745,843</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598,920</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2,054,589</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1,655,394</w:t>
            </w:r>
          </w:p>
        </w:tc>
        <w:tc>
          <w:tcPr>
            <w:tcW w:w="10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2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89,465</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(13,024 )</w:t>
            </w:r>
          </w:p>
        </w:tc>
        <w:tc>
          <w:tcPr>
            <w:tcW w:w="3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(353,548 )</w:t>
            </w:r>
          </w:p>
        </w:tc>
        <w:tc>
          <w:tcPr>
            <w:tcW w:w="2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(25,049 )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(371,199 )</w:t>
            </w:r>
          </w:p>
        </w:tc>
      </w:tr>
      <w:tr>
        <w:trPr>
          <w:trHeight w:val="250"/>
        </w:trPr>
        <w:tc>
          <w:tcPr>
            <w:tcW w:w="49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(325,594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114,392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(313,760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-890905</wp:posOffset>
            </wp:positionV>
            <wp:extent cx="7683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-890905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-890905</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19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8" w:lineRule="exact"/>
        <w:rPr>
          <w:sz w:val="20"/>
          <w:szCs w:val="20"/>
          <w:color w:val="auto"/>
        </w:rPr>
      </w:pPr>
    </w:p>
    <w:p>
      <w:pPr>
        <w:sectPr>
          <w:pgSz w:w="11900" w:h="16838" w:orient="portrait"/>
          <w:cols w:equalWidth="0" w:num="2">
            <w:col w:w="9320" w:space="720"/>
            <w:col w:w="120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4,279,784</w:t>
            </w:r>
          </w:p>
        </w:tc>
        <w:tc>
          <w:tcPr>
            <w:tcW w:w="26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4,319,080</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992,136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892,603</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184,378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187,380</w:t>
            </w:r>
          </w:p>
        </w:tc>
        <w:tc>
          <w:tcPr>
            <w:tcW w:w="100" w:type="dxa"/>
            <w:vAlign w:val="bottom"/>
          </w:tcPr>
          <w:p>
            <w:pPr>
              <w:spacing w:after="0"/>
              <w:rPr>
                <w:sz w:val="18"/>
                <w:szCs w:val="18"/>
                <w:color w:val="auto"/>
              </w:rPr>
            </w:pPr>
          </w:p>
        </w:tc>
      </w:tr>
      <w:tr>
        <w:trPr>
          <w:trHeight w:val="249"/>
        </w:trPr>
        <w:tc>
          <w:tcPr>
            <w:tcW w:w="49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5,456,298</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2"/>
        </w:trPr>
        <w:tc>
          <w:tcPr>
            <w:tcW w:w="656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segment loss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6"/>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(340,713 )</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(340,713 )</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4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(11,755 )</w:t>
            </w:r>
          </w:p>
        </w:tc>
        <w:tc>
          <w:tcPr>
            <w:tcW w:w="32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(10,500 )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(32,598 )</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(32,172 )</w:t>
            </w:r>
          </w:p>
        </w:tc>
      </w:tr>
      <w:tr>
        <w:trPr>
          <w:trHeight w:val="216"/>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(13,024 )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(353,548 )</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(25,049 )</w:t>
            </w:r>
          </w:p>
        </w:tc>
        <w:tc>
          <w:tcPr>
            <w:tcW w:w="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(371,199 )</w:t>
            </w:r>
          </w:p>
        </w:tc>
      </w:tr>
      <w:tr>
        <w:trPr>
          <w:trHeight w:val="20"/>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-1499870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-1482090</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-170815</wp:posOffset>
            </wp:positionV>
            <wp:extent cx="7683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36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assets</w:t>
            </w:r>
          </w:p>
        </w:tc>
        <w:tc>
          <w:tcPr>
            <w:tcW w:w="44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182,443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185,246</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affiliates</w:t>
            </w:r>
          </w:p>
        </w:tc>
        <w:tc>
          <w:tcPr>
            <w:tcW w:w="4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18"/>
                <w:szCs w:val="18"/>
                <w:color w:val="auto"/>
              </w:rPr>
            </w:pPr>
          </w:p>
        </w:tc>
      </w:tr>
      <w:tr>
        <w:trPr>
          <w:trHeight w:val="250"/>
        </w:trPr>
        <w:tc>
          <w:tcPr>
            <w:tcW w:w="3680" w:type="dxa"/>
            <w:vAlign w:val="bottom"/>
            <w:tcBorders>
              <w:bottom w:val="single" w:sz="8" w:color="CFF0FC"/>
            </w:tcBorders>
            <w:shd w:val="clear" w:color="auto" w:fill="CFF0FC"/>
          </w:tcPr>
          <w:p>
            <w:pPr>
              <w:spacing w:after="0"/>
              <w:rPr>
                <w:sz w:val="21"/>
                <w:szCs w:val="21"/>
                <w:color w:val="auto"/>
              </w:rPr>
            </w:pPr>
          </w:p>
        </w:tc>
        <w:tc>
          <w:tcPr>
            <w:tcW w:w="44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184,378</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187,380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48"/>
        </w:trPr>
        <w:tc>
          <w:tcPr>
            <w:tcW w:w="3680" w:type="dxa"/>
            <w:vAlign w:val="bottom"/>
          </w:tcPr>
          <w:p>
            <w:pPr>
              <w:spacing w:after="0"/>
              <w:rPr>
                <w:sz w:val="24"/>
                <w:szCs w:val="24"/>
                <w:color w:val="auto"/>
              </w:rPr>
            </w:pPr>
          </w:p>
        </w:tc>
        <w:tc>
          <w:tcPr>
            <w:tcW w:w="448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4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-462280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-445135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ind w:left="480" w:hanging="472"/>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89" w:lineRule="exact"/>
        <w:rPr>
          <w:sz w:val="20"/>
          <w:szCs w:val="20"/>
          <w:color w:val="auto"/>
        </w:rPr>
      </w:pPr>
    </w:p>
    <w:p>
      <w:pPr>
        <w:ind w:right="140" w:firstLine="56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4"/>
                <w:szCs w:val="1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Pr>
          <w:p>
            <w:pPr>
              <w:spacing w:after="0"/>
              <w:rPr>
                <w:sz w:val="14"/>
                <w:szCs w:val="14"/>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due March 27, 2024 (b)</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358,390</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470,370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549,239</w:t>
            </w: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Bank notes payable</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1,123,599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1,224,563</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 (c)</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(5,140 )</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(3,567 )</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09"/>
        </w:trPr>
        <w:tc>
          <w:tcPr>
            <w:tcW w:w="49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1,118,459</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1,092,400</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1,163,367</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1,224,563</w:t>
            </w:r>
          </w:p>
        </w:tc>
        <w:tc>
          <w:tcPr>
            <w:tcW w:w="100" w:type="dxa"/>
            <w:vAlign w:val="bottom"/>
            <w:tcBorders>
              <w:top w:val="single" w:sz="8" w:color="CFF0FC"/>
            </w:tcBorders>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-454025</wp:posOffset>
            </wp:positionV>
            <wp:extent cx="76835"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-454025</wp:posOffset>
            </wp:positionV>
            <wp:extent cx="6858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-454025</wp:posOffset>
            </wp:positionV>
            <wp:extent cx="6858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-170815</wp:posOffset>
            </wp:positionV>
            <wp:extent cx="7683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7" w:lineRule="exact"/>
        <w:rPr>
          <w:sz w:val="20"/>
          <w:szCs w:val="20"/>
          <w:color w:val="auto"/>
        </w:rPr>
      </w:pPr>
    </w:p>
    <w:p>
      <w:pPr>
        <w:ind w:left="940" w:hanging="370"/>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4.5% at September 30, 2022.</w:t>
      </w:r>
    </w:p>
    <w:p>
      <w:pPr>
        <w:spacing w:after="0" w:line="27" w:lineRule="exact"/>
        <w:rPr>
          <w:rFonts w:ascii="Times New Roman" w:cs="Times New Roman" w:eastAsia="Times New Roman" w:hAnsi="Times New Roman"/>
          <w:sz w:val="18"/>
          <w:szCs w:val="18"/>
          <w:color w:val="auto"/>
        </w:rPr>
      </w:pPr>
    </w:p>
    <w:p>
      <w:pPr>
        <w:ind w:left="940" w:hanging="370"/>
        <w:spacing w:after="0" w:line="236"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1.5% at December 31, 2021.</w:t>
      </w:r>
    </w:p>
    <w:p>
      <w:pPr>
        <w:ind w:left="940" w:hanging="370"/>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$1.4 million attributable to the 2024 Revolving Credit Facility included in other assets at December 31, 2021.</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borrowings and payments under the bank credit facilities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8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 on bank credit facilities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171,884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bank credit facilities</w:t>
            </w: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(150,220 )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(252,852 )</w:t>
            </w:r>
          </w:p>
        </w:tc>
      </w:tr>
      <w:tr>
        <w:trPr>
          <w:trHeight w:val="250"/>
        </w:trPr>
        <w:tc>
          <w:tcPr>
            <w:tcW w:w="8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-24765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At the beginning of the third quarter of 2022, the Company had an amended and restated credit agreement (the “2024 Credit Agreement”) with a group of commercial banks, with JPMorgan Chase Bank, N.A. as the administrative agent bank, that allowed for an $850 million unsecured revolving credit facility (the “2024 Revolving Credit Facility”) and an unsecured term loan (the “2024 Term Loan”) with a maturity date of March 27, 2024. The 2024 Term Loan was prepayable, in whole or in part, without penalty.</w:t>
      </w:r>
    </w:p>
    <w:p>
      <w:pPr>
        <w:spacing w:after="0" w:line="150" w:lineRule="exact"/>
        <w:rPr>
          <w:sz w:val="20"/>
          <w:szCs w:val="20"/>
          <w:color w:val="auto"/>
        </w:rPr>
      </w:pPr>
    </w:p>
    <w:p>
      <w:pPr>
        <w:jc w:val="both"/>
        <w:ind w:firstLine="562"/>
        <w:spacing w:after="0" w:line="243" w:lineRule="auto"/>
        <w:rPr>
          <w:sz w:val="20"/>
          <w:szCs w:val="20"/>
          <w:color w:val="auto"/>
        </w:rPr>
      </w:pPr>
      <w:r>
        <w:rPr>
          <w:rFonts w:ascii="Times New Roman" w:cs="Times New Roman" w:eastAsia="Times New Roman" w:hAnsi="Times New Roman"/>
          <w:sz w:val="18"/>
          <w:szCs w:val="18"/>
          <w:color w:val="auto"/>
        </w:rPr>
        <w:t>On July 29, 2022, the Company entered into a new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The 2027 Credit Agreement replaced the 2024 Credit Agreement. In conjunction with entering into the 2027 Credit Agreement, on July 29, 2022, the Company borrowed $35 million under the 2027 Revolving Credit Facility and $250 million under the 2027 Term Loan to repay borrowings under the 2024 Term Loan. In October 2022, the Company repaid $20.0 million under the 2027 Term Loan prior to scheduled maturities. As a result, no repayments are required until September 30, 2023. The 2027 Term Loan quarterly installments are excluded from short term liabilities because the Company has the ability and intent to refinance these quarterly installments under the 2027 Revolving Credit Facility. Outstanding letters of credit under the 2027 Revolving Credit Facility were $5.1 million and available borrowing capacity was $474.9 million as of September 30, 2022. Outstanding letters of credit under the $10 million credit line were $1.4 million and available borrowing capacity was $8.6 million as of September 30, 2022.</w:t>
      </w:r>
    </w:p>
    <w:p>
      <w:pPr>
        <w:spacing w:after="0" w:line="145" w:lineRule="exact"/>
        <w:rPr>
          <w:sz w:val="20"/>
          <w:szCs w:val="20"/>
          <w:color w:val="auto"/>
        </w:rPr>
      </w:pPr>
    </w:p>
    <w:p>
      <w:pPr>
        <w:jc w:val="both"/>
        <w:ind w:firstLine="562"/>
        <w:spacing w:after="0" w:line="242" w:lineRule="auto"/>
        <w:rPr>
          <w:sz w:val="20"/>
          <w:szCs w:val="20"/>
          <w:color w:val="auto"/>
        </w:rPr>
      </w:pPr>
      <w:r>
        <w:rPr>
          <w:rFonts w:ascii="Times New Roman" w:cs="Times New Roman" w:eastAsia="Times New Roman" w:hAnsi="Times New Roman"/>
          <w:sz w:val="18"/>
          <w:szCs w:val="18"/>
          <w:color w:val="auto"/>
        </w:rPr>
        <w:t>The 2027 Term Loan is repayable in quarterly installments, scheduled to commence September 30, 2023, in increasing percentages of the original principal amount of the loan, with the remaining unpaid balance of approximately $43.8 million payable upon maturity, assuming no prepayment. The 2027 Term Loan is prepayable, in whole or in part, without penalty. The 2027 Credit Agreement provides for a variable interest rate based on the Secured Overnight Financing Rate (“SOFR”) or a base rate calculated with reference to the prime rate quoted by The Wall Street Journal, the Federal Reserve Bank of New York Rate plus 0.5%, or the adjusted SOFR rate for a one month interest period plus 1.0%, among other factors (the “Alternate Base Rate”). The interest rate varies with the Company's credit rating and is currently 137.5 basis points over SOFR or 37.5 basis points over the Alternate Base Rate. The 2027 Credit Agreement contains certain financial covenants including an interest coverage ratio and debt-to-capitalization ratio. In addition to financial covenants, the 2027 Credit Agreement contains covenants that, subject to exceptions, restrict debt incurrence, mergers and acquisitions, sales of assets, dividends and investments, liquidations and dissolutions, capital leases, transactions with affiliates, and changes in lines of business. The 2027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2027 Credit Agreement may be used for general corporate purposes including acquisitions. The 2027 Revolving Credit Facility includes a $25 million commitment which may be used for standby letters of credit.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jc w:val="both"/>
        <w:ind w:right="60" w:firstLine="569"/>
        <w:spacing w:after="0" w:line="242"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are scheduled to be issued on January 19, 2023. No principal payments will be required until maturity. Beginning in 2023, interest payments of $5.3 million will be due semi-annually on January 19 and July 19 of each year, with the exception of the first payment on January 19, 2023, which will be $0.5 million. The 2033 Notes will be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are excluded from short term liabilities because the Company intends to use a combination of the proceeds from the issuance of the 2033 Notes and availability under the 2027 Revolving Credit Facility to repay the 2023 Notes upon maturity.</w:t>
      </w:r>
    </w:p>
    <w:p>
      <w:pPr>
        <w:spacing w:after="0" w:line="171"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60" w:firstLine="562"/>
        <w:spacing w:after="0" w:line="24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1" w:lineRule="exact"/>
        <w:rPr>
          <w:sz w:val="20"/>
          <w:szCs w:val="20"/>
          <w:color w:val="auto"/>
        </w:rPr>
      </w:pPr>
    </w:p>
    <w:p>
      <w:pPr>
        <w:jc w:val="both"/>
        <w:ind w:right="60" w:firstLine="562"/>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91,784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220,676</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239,747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(42,980 )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(46,173 )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177,696</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193,574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spacing w:after="0"/>
              <w:rPr>
                <w:sz w:val="24"/>
                <w:szCs w:val="24"/>
                <w:color w:val="auto"/>
              </w:rPr>
            </w:pPr>
          </w:p>
        </w:tc>
        <w:tc>
          <w:tcPr>
            <w:tcW w:w="324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(69 )</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(206 )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50,929</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816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 years</w:t>
            </w:r>
          </w:p>
        </w:tc>
        <w:tc>
          <w:tcPr>
            <w:tcW w:w="180" w:type="dxa"/>
            <w:vAlign w:val="bottom"/>
          </w:tcPr>
          <w:p>
            <w:pPr>
              <w:spacing w:after="0"/>
              <w:rPr>
                <w:sz w:val="20"/>
                <w:szCs w:val="20"/>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549"/>
        </w:trPr>
        <w:tc>
          <w:tcPr>
            <w:tcW w:w="49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9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-2665095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-2647950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-1327785</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-1311275</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-1327785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-1311275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-1327785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-1311275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13" w:right="279" w:bottom="1440" w:gutter="0" w:footer="0" w:header="0"/>
        </w:sectPr>
      </w:pPr>
    </w:p>
    <w:bookmarkStart w:id="11" w:name="page12"/>
    <w:bookmarkEnd w:id="11"/>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Impairments</w:t>
      </w:r>
    </w:p>
    <w:p>
      <w:pPr>
        <w:spacing w:after="0" w:line="189" w:lineRule="exact"/>
        <w:rPr>
          <w:sz w:val="20"/>
          <w:szCs w:val="20"/>
          <w:color w:val="auto"/>
        </w:rPr>
      </w:pPr>
    </w:p>
    <w:p>
      <w:pPr>
        <w:jc w:val="both"/>
        <w:ind w:firstLine="569"/>
        <w:spacing w:after="0" w:line="212" w:lineRule="exact"/>
        <w:rPr>
          <w:sz w:val="20"/>
          <w:szCs w:val="20"/>
          <w:color w:val="auto"/>
        </w:rPr>
      </w:pPr>
      <w:r>
        <w:rPr>
          <w:rFonts w:ascii="Times New Roman" w:cs="Times New Roman" w:eastAsia="Times New Roman" w:hAnsi="Times New Roman"/>
          <w:sz w:val="18"/>
          <w:szCs w:val="18"/>
          <w:color w:val="auto"/>
        </w:rPr>
        <w:t>During the third quarter of 2021, the Company decided to exit the Hawaii market, selling marine transportation equipment including four coastal tank barges, seven coastal tugboats, and certain other assets for aggregate cash proceeds of $17.2 million. In addition, as of September 30, 2021, the Company retired and classified as held for sale, an additional 12 coastal tank barges and four coastal tugboats which were underutilized. The sales and retirements of coastal marine transportation equipment resulted in an aggregate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impairment charge of $97.5 million to reduce the carrying value of these assets to their estimated sales prices, net of costs to sell.</w:t>
      </w:r>
    </w:p>
    <w:p>
      <w:pPr>
        <w:spacing w:after="0" w:line="159"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As a result of the sale of the Hawaii marine transportation equipment, and the decision to retire certain additional underutilized coastal tank barges and tugboats, the Company concluded that a triggering event had occurred and performed interim quantitative impairment tests as of September 30, 2021 for certain of the marine transportation segment's long-lived assets and goodwill within the coastal marine market.</w:t>
      </w:r>
    </w:p>
    <w:p>
      <w:pPr>
        <w:spacing w:after="0" w:line="150" w:lineRule="exact"/>
        <w:rPr>
          <w:sz w:val="20"/>
          <w:szCs w:val="20"/>
          <w:color w:val="auto"/>
        </w:rPr>
      </w:pPr>
    </w:p>
    <w:p>
      <w:pPr>
        <w:jc w:val="both"/>
        <w:ind w:right="20" w:firstLine="562"/>
        <w:spacing w:after="0" w:line="250" w:lineRule="auto"/>
        <w:rPr>
          <w:sz w:val="20"/>
          <w:szCs w:val="20"/>
          <w:color w:val="auto"/>
        </w:rPr>
      </w:pPr>
      <w:r>
        <w:rPr>
          <w:rFonts w:ascii="Times New Roman" w:cs="Times New Roman" w:eastAsia="Times New Roman" w:hAnsi="Times New Roman"/>
          <w:sz w:val="18"/>
          <w:szCs w:val="18"/>
          <w:color w:val="auto"/>
        </w:rPr>
        <w:t>The Company determined the estimated fair value of such long-lived assets using a combination of a cost approach, a discounted cash flow analysis, and a market approach. The Company determined the estimated fair value of the reporting unit using a combination of a discounted cash flow analysis and a market approach for comparable companies. These analyses included management’s judgment regarding short-term and long-term internal forecasts, updated for recent events, appropriate discount rates, and capital expenditures using inputs characteristic of a Level 3 fair value measurement.</w:t>
      </w:r>
    </w:p>
    <w:p>
      <w:pPr>
        <w:spacing w:after="0" w:line="150"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In performing the impairment test of certain long-lived assets within the marine transportation segment, the Company determined that the carrying value of certain long-lived assets, including certain coastal marine transportation equipment and operating lease right-of-use assets, were no longer recoverable, resulting in a non-cash impairment charge of $24.2 million during the three months ended September 30, 2021 to reduce such long-lived assets to fair value.</w:t>
      </w:r>
    </w:p>
    <w:p>
      <w:pPr>
        <w:spacing w:after="0" w:line="137"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Based upon the results of the goodwill impairment test, the Company concluded that the carrying value of one reporting unit in the marine transportation segment exceeded its estimated fair value. The carrying value of the reporting unit, including goodwill, and after recording impairments of long-lived assets identified above, exceeded its estimated fair value, resulting in a non-cash goodwill impairment charge of $219.1 million for the three months ended September 30, 2021.</w:t>
      </w:r>
    </w:p>
    <w:p>
      <w:pPr>
        <w:spacing w:after="0" w:line="349"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Plans</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cost</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shd w:val="clear" w:color="auto" w:fill="CFF0FC"/>
          </w:tcPr>
          <w:p>
            <w:pPr>
              <w:spacing w:after="0"/>
              <w:rPr>
                <w:sz w:val="18"/>
                <w:szCs w:val="18"/>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20"/>
                <w:szCs w:val="20"/>
                <w:color w:val="auto"/>
              </w:rPr>
            </w:pPr>
          </w:p>
        </w:tc>
      </w:tr>
    </w:tbl>
    <w:p>
      <w:pPr>
        <w:spacing w:after="0" w:line="166"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208,706 restricted stock units (“RSUs”) to selected officers and other key employees under the employee stock award plan which vest ratably over five years and 27,696 shares of restricted stock to nonemployee directors of the Company under the director stock plan, the majority of which vest six months after the date of grant.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 w:name="page13"/>
    <w:bookmarkEnd w:id="12"/>
    <w:p>
      <w:pPr>
        <w:ind w:left="480" w:hanging="472"/>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175"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At September 30, 2022 and December 31, 2021, the Company had a federal income tax receivable of $70.5 million and $71.0 million, respectively, included in Accounts Receivable – Other on the balance sheets. During the three months ended March 31, 2021, the Company received a tax refund of $119.5 million, including accrued interest, for its 2019 federal tax return related to net operating losses being carried back to offset taxable income generated between 2014 and 2017.</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(benefit) for taxes on income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3300" w:type="dxa"/>
            <w:vAlign w:val="bottom"/>
            <w:gridSpan w:val="6"/>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80" w:type="dxa"/>
            <w:vAlign w:val="bottom"/>
            <w:gridSpan w:val="5"/>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50,906</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(325,369 )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(313,177 )</w:t>
            </w: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(225 )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(583 )</w:t>
            </w:r>
          </w:p>
        </w:tc>
      </w:tr>
      <w:tr>
        <w:trPr>
          <w:trHeight w:val="20"/>
        </w:trPr>
        <w:tc>
          <w:tcPr>
            <w:tcW w:w="4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900" w:type="dxa"/>
            <w:vAlign w:val="bottom"/>
          </w:tcPr>
          <w:p>
            <w:pPr>
              <w:spacing w:after="0"/>
              <w:rPr>
                <w:sz w:val="18"/>
                <w:szCs w:val="18"/>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(325,594 )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114,392</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(313,760 )</w:t>
            </w:r>
          </w:p>
        </w:tc>
      </w:tr>
      <w:tr>
        <w:trPr>
          <w:trHeight w:val="20"/>
        </w:trPr>
        <w:tc>
          <w:tcPr>
            <w:tcW w:w="4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Provision (benefit) for taxes on income:</w:t>
            </w: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(446 )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(446 )</w:t>
            </w:r>
          </w:p>
        </w:tc>
      </w:tr>
      <w:tr>
        <w:trPr>
          <w:trHeight w:val="216"/>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(55,772 )</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(52,968 )</w:t>
            </w:r>
          </w:p>
        </w:tc>
      </w:tr>
      <w:tr>
        <w:trPr>
          <w:trHeight w:val="216"/>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and local:</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r>
      <w:tr>
        <w:trPr>
          <w:trHeight w:val="216"/>
        </w:trPr>
        <w:tc>
          <w:tcPr>
            <w:tcW w:w="4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(5,056 )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(3,480 )</w:t>
            </w: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 current</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(60,442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28,956</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-1439545</wp:posOffset>
            </wp:positionV>
            <wp:extent cx="7683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-1439545</wp:posOffset>
            </wp:positionV>
            <wp:extent cx="685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-1439545</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tab/>
        <w:t>Earnings Per Share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(loss) per share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3280" w:type="dxa"/>
            <w:vAlign w:val="bottom"/>
            <w:gridSpan w:val="6"/>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00" w:type="dxa"/>
            <w:vAlign w:val="bottom"/>
            <w:gridSpan w:val="5"/>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(264,730</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(18 )</w:t>
            </w:r>
          </w:p>
        </w:tc>
        <w:tc>
          <w:tcPr>
            <w:tcW w:w="32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(27 )</w:t>
            </w:r>
          </w:p>
        </w:tc>
        <w:tc>
          <w:tcPr>
            <w:tcW w:w="32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4900" w:type="dxa"/>
            <w:vAlign w:val="bottom"/>
            <w:shd w:val="clear" w:color="auto" w:fill="CFF0FC"/>
          </w:tcPr>
          <w:p>
            <w:pPr>
              <w:ind w:left="200"/>
              <w:spacing w:after="0" w:line="164" w:lineRule="exact"/>
              <w:rPr>
                <w:sz w:val="20"/>
                <w:szCs w:val="20"/>
                <w:color w:val="auto"/>
              </w:rPr>
            </w:pPr>
            <w:r>
              <w:rPr>
                <w:rFonts w:ascii="Times New Roman" w:cs="Times New Roman" w:eastAsia="Times New Roman" w:hAnsi="Times New Roman"/>
                <w:sz w:val="18"/>
                <w:szCs w:val="18"/>
                <w:color w:val="auto"/>
              </w:rPr>
              <w:t>Earnings (loss) available to Kirby common stockholders –</w:t>
            </w:r>
          </w:p>
        </w:tc>
        <w:tc>
          <w:tcPr>
            <w:tcW w:w="8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(264,730 )</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84,955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(257,915 )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8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(18 )</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00" w:type="dxa"/>
            <w:vAlign w:val="bottom"/>
          </w:tcPr>
          <w:p>
            <w:pPr>
              <w:ind w:left="200"/>
              <w:spacing w:after="0" w:line="164" w:lineRule="exact"/>
              <w:rPr>
                <w:sz w:val="20"/>
                <w:szCs w:val="20"/>
                <w:color w:val="auto"/>
              </w:rPr>
            </w:pPr>
            <w:r>
              <w:rPr>
                <w:rFonts w:ascii="Times New Roman" w:cs="Times New Roman" w:eastAsia="Times New Roman" w:hAnsi="Times New Roman"/>
                <w:sz w:val="18"/>
                <w:szCs w:val="18"/>
                <w:color w:val="auto"/>
              </w:rPr>
              <w:t>Earnings (loss) available to Kirby common stockholders –</w:t>
            </w:r>
          </w:p>
        </w:tc>
        <w:tc>
          <w:tcPr>
            <w:tcW w:w="840" w:type="dxa"/>
            <w:vAlign w:val="bottom"/>
            <w:vMerge w:val="restart"/>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39,073</w:t>
            </w:r>
          </w:p>
        </w:tc>
        <w:tc>
          <w:tcPr>
            <w:tcW w:w="280" w:type="dxa"/>
            <w:vAlign w:val="bottom"/>
          </w:tcPr>
          <w:p>
            <w:pPr>
              <w:spacing w:after="0"/>
              <w:rPr>
                <w:sz w:val="14"/>
                <w:szCs w:val="14"/>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8"/>
                <w:szCs w:val="18"/>
                <w:color w:val="auto"/>
              </w:rPr>
              <w:t>(264,730 )</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84,955</w:t>
            </w:r>
          </w:p>
        </w:tc>
        <w:tc>
          <w:tcPr>
            <w:tcW w:w="260" w:type="dxa"/>
            <w:vAlign w:val="bottom"/>
          </w:tcPr>
          <w:p>
            <w:pPr>
              <w:spacing w:after="0"/>
              <w:rPr>
                <w:sz w:val="14"/>
                <w:szCs w:val="14"/>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(257,915 )</w:t>
            </w:r>
          </w:p>
        </w:tc>
        <w:tc>
          <w:tcPr>
            <w:tcW w:w="0" w:type="dxa"/>
            <w:vAlign w:val="bottom"/>
          </w:tcPr>
          <w:p>
            <w:pPr>
              <w:spacing w:after="0"/>
              <w:rPr>
                <w:sz w:val="1"/>
                <w:szCs w:val="1"/>
                <w:color w:val="auto"/>
              </w:rPr>
            </w:pPr>
          </w:p>
        </w:tc>
      </w:tr>
      <w:tr>
        <w:trPr>
          <w:trHeight w:val="194"/>
        </w:trPr>
        <w:tc>
          <w:tcPr>
            <w:tcW w:w="490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8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(27 )</w:t>
            </w:r>
          </w:p>
        </w:tc>
        <w:tc>
          <w:tcPr>
            <w:tcW w:w="3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8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59,896</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60,062</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60,088</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84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60,182</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60,369</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9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Net earnings (loss) per share attributable to Kirby common</w:t>
            </w: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8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(4.41 )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shd w:val="clear" w:color="auto" w:fill="CFF0FC"/>
          </w:tcPr>
          <w:p>
            <w:pPr>
              <w:jc w:val="right"/>
              <w:ind w:right="6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-1988185</wp:posOffset>
            </wp:positionV>
            <wp:extent cx="76835" cy="265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-1988185</wp:posOffset>
            </wp:positionV>
            <wp:extent cx="68580" cy="265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-1988185</wp:posOffset>
            </wp:positionV>
            <wp:extent cx="68580" cy="265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265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-744855</wp:posOffset>
            </wp:positionV>
            <wp:extent cx="315468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54680" cy="16256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Certain outstanding options to purchase approximately 0.4 million and 0.6 million shares of common stock were excluded in the computation of diluted earnings per share as of September 30, 2022 and 2021, respectively, as such stock options would have been antidilutive. Certain outstanding RSUs to convert to 11,000 and 565,000 shares of common stock were also excluded in the computation of diluted earnings per share as of September 30, 2022 and 2021, respectively, as such RSUs would have been antidilutive.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420" w:type="dxa"/>
            <w:vAlign w:val="bottom"/>
          </w:tcPr>
          <w:p>
            <w:pPr>
              <w:spacing w:after="0"/>
              <w:rPr>
                <w:sz w:val="24"/>
                <w:szCs w:val="24"/>
                <w:color w:val="auto"/>
              </w:rPr>
            </w:pP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r>
      <w:tr>
        <w:trPr>
          <w:trHeight w:val="187"/>
        </w:trPr>
        <w:tc>
          <w:tcPr>
            <w:tcW w:w="4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306,394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260,707</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86,076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70,643</w:t>
            </w:r>
          </w:p>
        </w:tc>
        <w:tc>
          <w:tcPr>
            <w:tcW w:w="100" w:type="dxa"/>
            <w:vAlign w:val="bottom"/>
          </w:tcPr>
          <w:p>
            <w:pPr>
              <w:spacing w:after="0"/>
              <w:rPr>
                <w:sz w:val="18"/>
                <w:szCs w:val="18"/>
                <w:color w:val="auto"/>
              </w:rPr>
            </w:pPr>
          </w:p>
        </w:tc>
      </w:tr>
      <w:tr>
        <w:trPr>
          <w:trHeight w:val="249"/>
        </w:trPr>
        <w:tc>
          <w:tcPr>
            <w:tcW w:w="420" w:type="dxa"/>
            <w:vAlign w:val="bottom"/>
            <w:tcBorders>
              <w:bottom w:val="single" w:sz="8" w:color="CFF0FC"/>
            </w:tcBorders>
            <w:shd w:val="clear" w:color="auto" w:fill="CFF0FC"/>
          </w:tcPr>
          <w:p>
            <w:pPr>
              <w:spacing w:after="0"/>
              <w:rPr>
                <w:sz w:val="21"/>
                <w:szCs w:val="21"/>
                <w:color w:val="auto"/>
              </w:rPr>
            </w:pPr>
          </w:p>
        </w:tc>
        <w:tc>
          <w:tcPr>
            <w:tcW w:w="77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392,470</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-290830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-273685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35"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37"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2022.</w:t>
      </w:r>
    </w:p>
    <w:p>
      <w:pPr>
        <w:spacing w:after="0" w:line="137"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a contribution of $0.7 million to the Higman pension plan during the nine months ended September 30, 2022 and a contribution of $0.2 million during October 2022. The Company does not expect to make any additional contributions for the remainder of 2022.</w:t>
      </w:r>
    </w:p>
    <w:p>
      <w:pPr>
        <w:spacing w:after="0" w:line="137"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4" w:name="page15"/>
    <w:bookmarkEnd w:id="14"/>
    <w:p>
      <w:pPr>
        <w:ind w:left="56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SERP</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8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6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(7,099 )</w:t>
            </w:r>
          </w:p>
        </w:tc>
        <w:tc>
          <w:tcPr>
            <w:tcW w:w="4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(6,566 )</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(1,765 )</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SERP</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28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26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(21,395 )</w:t>
            </w:r>
          </w:p>
        </w:tc>
        <w:tc>
          <w:tcPr>
            <w:tcW w:w="4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(19,699 )</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(5,188 )</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-1645285</wp:posOffset>
            </wp:positionV>
            <wp:extent cx="7747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-1645285</wp:posOffset>
            </wp:positionV>
            <wp:extent cx="7747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-1645285</wp:posOffset>
            </wp:positionV>
            <wp:extent cx="6858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7747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7747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postretirement benefit plan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880" w:type="dxa"/>
            <w:vAlign w:val="bottom"/>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4"/>
                <w:szCs w:val="14"/>
                <w:color w:val="auto"/>
              </w:rPr>
            </w:pPr>
          </w:p>
        </w:tc>
      </w:tr>
      <w:tr>
        <w:trPr>
          <w:trHeight w:val="169"/>
        </w:trPr>
        <w:tc>
          <w:tcPr>
            <w:tcW w:w="4880" w:type="dxa"/>
            <w:vAlign w:val="bottom"/>
          </w:tcPr>
          <w:p>
            <w:pPr>
              <w:spacing w:after="0"/>
              <w:rPr>
                <w:sz w:val="14"/>
                <w:szCs w:val="14"/>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9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(98 )</w:t>
            </w: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6"/>
              </w:rPr>
              <w:t>(113 )</w:t>
            </w:r>
          </w:p>
        </w:tc>
        <w:tc>
          <w:tcPr>
            <w:tcW w:w="8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(295 )</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(338 )</w:t>
            </w:r>
          </w:p>
        </w:tc>
      </w:tr>
      <w:tr>
        <w:trPr>
          <w:trHeight w:val="20"/>
        </w:trPr>
        <w:tc>
          <w:tcPr>
            <w:tcW w:w="48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(93 )</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(108 )</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(325 )</w:t>
            </w:r>
          </w:p>
        </w:tc>
      </w:tr>
      <w:tr>
        <w:trPr>
          <w:trHeight w:val="20"/>
        </w:trPr>
        <w:tc>
          <w:tcPr>
            <w:tcW w:w="48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-170815</wp:posOffset>
            </wp:positionV>
            <wp:extent cx="7747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changes in other comprehensive income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060" w:type="dxa"/>
            <w:vAlign w:val="bottom"/>
            <w:gridSpan w:val="2"/>
          </w:tcPr>
          <w:p>
            <w:pPr>
              <w:jc w:val="center"/>
              <w:ind w:right="221"/>
              <w:spacing w:after="0" w:line="160"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80" w:type="dxa"/>
            <w:vAlign w:val="bottom"/>
          </w:tcPr>
          <w:p>
            <w:pPr>
              <w:spacing w:after="0"/>
              <w:rPr>
                <w:sz w:val="13"/>
                <w:szCs w:val="13"/>
                <w:color w:val="auto"/>
              </w:rPr>
            </w:pPr>
          </w:p>
        </w:tc>
        <w:tc>
          <w:tcPr>
            <w:tcW w:w="10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3"/>
                <w:szCs w:val="13"/>
                <w:color w:val="auto"/>
              </w:rPr>
            </w:pPr>
          </w:p>
        </w:tc>
        <w:tc>
          <w:tcPr>
            <w:tcW w:w="1120" w:type="dxa"/>
            <w:vAlign w:val="bottom"/>
            <w:gridSpan w:val="2"/>
          </w:tcPr>
          <w:p>
            <w:pPr>
              <w:jc w:val="right"/>
              <w:ind w:right="310"/>
              <w:spacing w:after="0" w:line="160" w:lineRule="exact"/>
              <w:rPr>
                <w:sz w:val="20"/>
                <w:szCs w:val="20"/>
                <w:color w:val="auto"/>
              </w:rPr>
            </w:pPr>
            <w:r>
              <w:rPr>
                <w:rFonts w:ascii="Times New Roman" w:cs="Times New Roman" w:eastAsia="Times New Roman" w:hAnsi="Times New Roman"/>
                <w:sz w:val="14"/>
                <w:szCs w:val="14"/>
                <w:b w:val="1"/>
                <w:bCs w:val="1"/>
                <w:color w:val="auto"/>
                <w:w w:val="98"/>
              </w:rPr>
              <w:t>Income Tax</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Actuarial gains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(729 )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(608 )</w:t>
            </w:r>
          </w:p>
        </w:tc>
        <w:tc>
          <w:tcPr>
            <w:tcW w:w="14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(608 )</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3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1"/>
              <w:spacing w:after="0" w:line="145"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60" w:type="dxa"/>
            <w:vAlign w:val="bottom"/>
            <w:gridSpan w:val="2"/>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112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8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Actuarial gains</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(1,764 )</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(743 )</w:t>
            </w:r>
          </w:p>
        </w:tc>
        <w:tc>
          <w:tcPr>
            <w:tcW w:w="14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(743 )</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(705 )</w:t>
            </w:r>
          </w:p>
        </w:tc>
        <w:tc>
          <w:tcPr>
            <w:tcW w:w="12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(705 )</w:t>
            </w:r>
          </w:p>
        </w:tc>
        <w:tc>
          <w:tcPr>
            <w:tcW w:w="0" w:type="dxa"/>
            <w:vAlign w:val="bottom"/>
          </w:tcPr>
          <w:p>
            <w:pPr>
              <w:spacing w:after="0"/>
              <w:rPr>
                <w:sz w:val="1"/>
                <w:szCs w:val="1"/>
                <w:color w:val="auto"/>
              </w:rPr>
            </w:pPr>
          </w:p>
        </w:tc>
      </w:tr>
      <w:tr>
        <w:trPr>
          <w:trHeight w:val="249"/>
        </w:trPr>
        <w:tc>
          <w:tcPr>
            <w:tcW w:w="3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-1430655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-1413510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-1430655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-1413510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-1430655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-1413510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-1430655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-1413510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-1430655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-1413510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-25400</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-8255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540" w:right="3640" w:hanging="4963"/>
        <w:spacing w:after="0" w:line="454" w:lineRule="auto"/>
        <w:tabs>
          <w:tab w:leader="none" w:pos="1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are amortized into other income (expense). (See Note 12, Retirement Plans)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w:t>
        <w:tab/>
        <w:t>Contingencies and Commitments</w:t>
      </w:r>
    </w:p>
    <w:p>
      <w:pPr>
        <w:spacing w:after="0" w:line="175" w:lineRule="exact"/>
        <w:rPr>
          <w:sz w:val="20"/>
          <w:szCs w:val="20"/>
          <w:color w:val="auto"/>
        </w:rPr>
      </w:pPr>
    </w:p>
    <w:p>
      <w:pPr>
        <w:jc w:val="both"/>
        <w:ind w:firstLine="569"/>
        <w:spacing w:after="0" w:line="242"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62"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37"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$20.1 million at September 30, 2022, including $12.1 million in letters of credit and $8.0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6" w:name="page17"/>
    <w:bookmarkEnd w:id="1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562"/>
        <w:spacing w:after="0" w:line="208" w:lineRule="exact"/>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2021. Forward-looking statements are based on currently available information and the Company assumes no obligation to update any such statements. For purposes of Management’s Discussion, all net earnings (loss) per share attributable to Kirby common stockholders are “diluted earnings (loss) per share.”</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562"/>
        <w:spacing w:after="0" w:line="243"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745,843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598,920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2,054,589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1,655,394</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39,091</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(264,730 )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84,982</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(257,915 )</w:t>
            </w:r>
          </w:p>
        </w:tc>
      </w:tr>
      <w:tr>
        <w:trPr>
          <w:trHeight w:val="171"/>
        </w:trPr>
        <w:tc>
          <w:tcPr>
            <w:tcW w:w="49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Net earnings (loss) per share attributable to Kirby common</w:t>
            </w: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 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(4.41 )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(4.30 )</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161,185</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280,362</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120,263</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71,968</w:t>
            </w:r>
          </w:p>
        </w:tc>
        <w:tc>
          <w:tcPr>
            <w:tcW w:w="100" w:type="dxa"/>
            <w:vAlign w:val="bottom"/>
            <w:shd w:val="clear" w:color="auto" w:fill="CFF0FC"/>
          </w:tcPr>
          <w:p>
            <w:pPr>
              <w:spacing w:after="0"/>
              <w:rPr>
                <w:sz w:val="18"/>
                <w:szCs w:val="18"/>
                <w:color w:val="auto"/>
              </w:rPr>
            </w:pPr>
          </w:p>
        </w:tc>
      </w:tr>
    </w:tbl>
    <w:p>
      <w:pPr>
        <w:spacing w:after="0" w:line="157"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The 2022 second quarter included $1.5 million before taxes, $1.3 million after taxes, or $0.02 per share of severance expense. The 2021 third quarter included $340.7 million before taxes, $275.1 million after taxes, or $4.58 per share, non-cash charges related to impairment of long-lived assets related to coastal marine transportation equipment and impairment of goodwill in the marine transportation segment. See Note 7, Impairments in the financial statements for additional information.</w:t>
      </w:r>
    </w:p>
    <w:p>
      <w:pPr>
        <w:spacing w:after="0" w:line="150"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Cash provided by operating activities for the 2022 first nine months decreased in comparison to the 2021 first nine months primarily due to the receipt of a tax refund of $119.5 million, including accrued interest, for the Company’s 2019 federal tax return during the 2021 first quarter. For the 2022 first nine months, capital expenditures of $120.3 million included $102.8 million in KMT and $17.5 million in KDS and corporate, each more fully described under Cash Flow and Capital Expenditures below.</w:t>
      </w:r>
    </w:p>
    <w:p>
      <w:pPr>
        <w:spacing w:after="0" w:line="150"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The Company projects that capital expenditures for 2022 will be in the $170 million to $190 million range. The 2022 construction program will consist of approximately $5 million for the construction of new inland towboats, $145 million to $155 million primarily for maintenance capital and improvements to existing marine equipment and facilities, and $20 million to $30 million for new machinery and equipment, facilities improvements, and information technology projects in KDS and corporate.</w:t>
      </w:r>
    </w:p>
    <w:p>
      <w:pPr>
        <w:spacing w:after="0" w:line="137"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The Company’s debt-to-capitalization ratio decreased to 27.3% at September 30, 2022 from 28.7% at December 31, 2021, primarily due to repayments under the 2024 Term Loan in the first nine months of 2022, and an increase in total equity, primarily due to the net earnings attributable to Kirby of $85.0 million, partially offset by treasury stock purchases of $22.9 million. The Company’s debt outstanding as of September 30, 2022 and December 31, 2021 is detailed in Long-Term Financing below.</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75"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For both the 2022 third quarter and first nine months, KMT generated 58% of the Company’s revenues.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219"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6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w:t>
            </w:r>
          </w:p>
        </w:tc>
        <w:tc>
          <w:tcPr>
            <w:tcW w:w="8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8"/>
                <w:szCs w:val="18"/>
                <w:color w:val="auto"/>
              </w:rPr>
            </w:pPr>
          </w:p>
        </w:tc>
      </w:tr>
      <w:tr>
        <w:trPr>
          <w:trHeight w:val="216"/>
        </w:trPr>
        <w:tc>
          <w:tcPr>
            <w:tcW w:w="8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8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8"/>
                <w:szCs w:val="18"/>
                <w:color w:val="auto"/>
              </w:rPr>
            </w:pPr>
          </w:p>
        </w:tc>
      </w:tr>
      <w:tr>
        <w:trPr>
          <w:trHeight w:val="20"/>
        </w:trPr>
        <w:tc>
          <w:tcPr>
            <w:tcW w:w="8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26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7"/>
                <w:szCs w:val="17"/>
                <w:color w:val="auto"/>
              </w:rPr>
            </w:pPr>
          </w:p>
        </w:tc>
      </w:tr>
      <w:tr>
        <w:trPr>
          <w:trHeight w:val="216"/>
        </w:trPr>
        <w:tc>
          <w:tcPr>
            <w:tcW w:w="91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r>
      <w:tr>
        <w:trPr>
          <w:trHeight w:val="216"/>
        </w:trPr>
        <w:tc>
          <w:tcPr>
            <w:tcW w:w="8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8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6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r>
      <w:tr>
        <w:trPr>
          <w:trHeight w:val="20"/>
        </w:trPr>
        <w:tc>
          <w:tcPr>
            <w:tcW w:w="8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100" w:type="dxa"/>
            <w:vAlign w:val="bottom"/>
            <w:gridSpan w:val="2"/>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tank barges: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49"/>
        </w:trPr>
        <w:tc>
          <w:tcPr>
            <w:tcW w:w="8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910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r>
      <w:tr>
        <w:trPr>
          <w:trHeight w:val="216"/>
        </w:trPr>
        <w:tc>
          <w:tcPr>
            <w:tcW w:w="9100" w:type="dxa"/>
            <w:vAlign w:val="bottom"/>
            <w:gridSpan w:val="2"/>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tugboats: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r>
      <w:tr>
        <w:trPr>
          <w:trHeight w:val="216"/>
        </w:trPr>
        <w:tc>
          <w:tcPr>
            <w:tcW w:w="9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50"/>
        </w:trPr>
        <w:tc>
          <w:tcPr>
            <w:tcW w:w="8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910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34"/>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-3028315</wp:posOffset>
            </wp:positionV>
            <wp:extent cx="7747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-3028315</wp:posOffset>
            </wp:positionV>
            <wp:extent cx="6858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-2171065</wp:posOffset>
            </wp:positionV>
            <wp:extent cx="7747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-2171065</wp:posOffset>
            </wp:positionV>
            <wp:extent cx="6858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-1305560</wp:posOffset>
            </wp:positionV>
            <wp:extent cx="1071880" cy="163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718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-448310</wp:posOffset>
            </wp:positionV>
            <wp:extent cx="1071880"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71880" cy="162560"/>
                    </a:xfrm>
                    <a:prstGeom prst="rect">
                      <a:avLst/>
                    </a:prstGeom>
                    <a:noFill/>
                  </pic:spPr>
                </pic:pic>
              </a:graphicData>
            </a:graphic>
          </wp:anchor>
        </w:drawing>
      </w:r>
    </w:p>
    <w:p>
      <w:pPr>
        <w:spacing w:after="0" w:line="11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also owns shifting operations and fleeting facilities for dry cargo barges and tank barges on the Houston Ship Channel and in Freeport and Port Arthur, Texas, and Lake Charles, Louisiana, and a shipyard for building towboats and performing routine maintenance near the Houston Ship Channel, as well as a two-thirds interest in Osprey Line, L.L.C., which transports project cargoes and cargo containers by barge.</w:t>
      </w:r>
    </w:p>
    <w:p>
      <w:pPr>
        <w:spacing w:after="0" w:line="12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During the 2022 first nine months, the Company brought back into service 14 inland tank barges and returned four leased tank barges. The net result was an increase of ten inland tank barges and approximately 0.2 million barrels of capacity.</w:t>
      </w:r>
    </w:p>
    <w:p>
      <w:pPr>
        <w:spacing w:after="0" w:line="108" w:lineRule="exact"/>
        <w:rPr>
          <w:sz w:val="20"/>
          <w:szCs w:val="20"/>
          <w:color w:val="auto"/>
        </w:rPr>
      </w:pPr>
    </w:p>
    <w:p>
      <w:pPr>
        <w:jc w:val="both"/>
        <w:ind w:firstLine="569"/>
        <w:spacing w:after="0" w:line="243" w:lineRule="auto"/>
        <w:rPr>
          <w:sz w:val="20"/>
          <w:szCs w:val="20"/>
          <w:color w:val="auto"/>
        </w:rPr>
      </w:pPr>
      <w:r>
        <w:rPr>
          <w:rFonts w:ascii="Times New Roman" w:cs="Times New Roman" w:eastAsia="Times New Roman" w:hAnsi="Times New Roman"/>
          <w:sz w:val="18"/>
          <w:szCs w:val="18"/>
          <w:color w:val="auto"/>
        </w:rPr>
        <w:t>KMT revenues for the 2022 third quarter and first nine months increased 28% and 23%, respectively, and operating income increased 147% and 140%, respectively, compared to the 2021 third quarter and first nine months. The increases for the 2022 third quarter and first nine months were primarily due to increased tank barge utilization, higher term and spot pricing, and higher fuel rebills in the inland and coastal markets. Also, the 2022 first quarter was impacted by the COVID-19 Omicron variant as increased cases of the virus among the Company’s mariners led to crewing challenges, lost revenue and increased operating costs. The 2021 first nine months was also heavily impacted by Winter Storm Uri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2021 first nine months revenues and operating income were also impacted by Hurricane Ida in the 2021 third quarter which shuttered almost the entire Southeast Louisiana refinery and chemical complex and key waterways for an extended period of time. The 2022 and 2021 first quarters were impacted by poor operating conditions including seasonal wind and fog along the Gulf Coast, flooding on the Mississippi River, and various lock closures along the Gulf Intracoastal Waterway, in addition to ice on the Illinois River. For the 2022 third quarter and first nine months, the inland tank barge fleet contributed 80% and 79%, respectively, and the coastal fleet contributed 20% and 21%, respectively, of KMT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 w:name="page19"/>
    <w:bookmarkEnd w:id="1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revenues. For the 2021 third quarter and first nine months, the inland tank barge fleet contributed 76% and 75%, respectively, and the coastal fleet contributed 24% and 25%, respectively, of KMT revenues.</w:t>
      </w:r>
    </w:p>
    <w:p>
      <w:pPr>
        <w:spacing w:after="0" w:line="135" w:lineRule="exact"/>
        <w:rPr>
          <w:sz w:val="20"/>
          <w:szCs w:val="20"/>
          <w:color w:val="auto"/>
        </w:rPr>
      </w:pPr>
    </w:p>
    <w:p>
      <w:pPr>
        <w:jc w:val="both"/>
        <w:ind w:firstLine="569"/>
        <w:spacing w:after="0" w:line="244" w:lineRule="auto"/>
        <w:rPr>
          <w:sz w:val="20"/>
          <w:szCs w:val="20"/>
          <w:color w:val="auto"/>
        </w:rPr>
      </w:pPr>
      <w:r>
        <w:rPr>
          <w:rFonts w:ascii="Times New Roman" w:cs="Times New Roman" w:eastAsia="Times New Roman" w:hAnsi="Times New Roman"/>
          <w:sz w:val="18"/>
          <w:szCs w:val="18"/>
          <w:color w:val="auto"/>
        </w:rPr>
        <w:t>Inland tank barge utilization levels averaged in the mid-80% range during the 2022 first quarter, the low 90% range during the 2022 second and third quarters compared to the mid-70% range during the 2021 first quarter, the low to mid-80% range during the 2021 second quarter, and the low 80% range during the 2021 third quarter. The 2022 first nine months reflected increasing activity levels as a result of higher refinery and petrochemical plant utilization while the 2021 first nine months was impacted by reduced demand resulting from the effects of the COVID-19 pandemic causing an economic slowdown as well as reduced volumes due to Winter Storm Uri during the 2021 first quarter and Hurricane Ida during the 2021 third quarter, partially offset by the Colonial Pipeline outage which increased barge transportation activity in the 2021 second quarter.</w:t>
      </w:r>
    </w:p>
    <w:p>
      <w:pPr>
        <w:spacing w:after="0" w:line="155"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Coastal tank barge utilization levels averaged in the low 90% range during the 2022 first and second quarters and the low to mid-90% range during the 2022 third quarter compared to the mid-70% range during the 2021 first and third quarters and the low to mid-70% range during the 2021 second quarter. The increase in coastal tank barge utilization during 2022 was primarily due to the retirement of underutilized barges in the 2021 third quarter and some modest improvements in customer demand.</w:t>
      </w:r>
    </w:p>
    <w:p>
      <w:pPr>
        <w:spacing w:after="0" w:line="137"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18"/>
          <w:szCs w:val="18"/>
          <w:color w:val="auto"/>
        </w:rPr>
        <w:t>During both the 2022 third quarter and first nine months, approximately 60% of KMT inland revenues were under term contracts and 40% were spot contract revenues. During both the 2021 third quarter and first nine months, approximately 65% of KMT inland revenues were under term contracts and 35% were spot contract revenues. Inland time charters during the 2022 third quarter and first nine months represented 56% and 57%, respectively, of the inland revenues under term contracts compared with 56% and 58% in the 2021 third quarter and first nine months, respectively. During the 2022 third quarter and first nine months, approximately 65% and 75%, respectively, of KMT coastal inland revenues were under term contracts and 35% and 25%, respectively, were spot contracts. During both the 2021 third quarter and first nine months, approximately 80% of the coastal revenues were under term contracts and 20% were spot contract revenues. Coastal time charters represented approximately 90% of coastal revenues under term contracts during both the 2022 third quarter and first nine months compared with approximately 85% during both the 2021 third quarter and first nine months. Term contracts have contract terms of 12 months or longer, while spot contracts have contract terms of less than 12 months.</w:t>
      </w:r>
    </w:p>
    <w:p>
      <w:pPr>
        <w:spacing w:after="0" w:line="15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2022 compared to contracts renewed during the corresponding quarter of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4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4"/>
                <w:szCs w:val="14"/>
                <w:color w:val="auto"/>
              </w:rPr>
            </w:pP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4"/>
                <w:szCs w:val="14"/>
                <w:color w:val="auto"/>
              </w:rPr>
            </w:pPr>
          </w:p>
        </w:tc>
        <w:tc>
          <w:tcPr>
            <w:tcW w:w="1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6560" w:type="dxa"/>
            <w:vAlign w:val="bottom"/>
          </w:tcPr>
          <w:p>
            <w:pPr>
              <w:jc w:val="center"/>
              <w:ind w:right="505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c>
          <w:tcPr>
            <w:tcW w:w="160" w:type="dxa"/>
            <w:vAlign w:val="bottom"/>
          </w:tcPr>
          <w:p>
            <w:pPr>
              <w:spacing w:after="0"/>
              <w:rPr>
                <w:sz w:val="18"/>
                <w:szCs w:val="18"/>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14% – 16%</w:t>
            </w:r>
          </w:p>
        </w:tc>
        <w:tc>
          <w:tcPr>
            <w:tcW w:w="140" w:type="dxa"/>
            <w:vAlign w:val="bottom"/>
          </w:tcPr>
          <w:p>
            <w:pPr>
              <w:spacing w:after="0"/>
              <w:rPr>
                <w:sz w:val="18"/>
                <w:szCs w:val="18"/>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13% – 15%</w:t>
            </w:r>
          </w:p>
        </w:tc>
      </w:tr>
      <w:tr>
        <w:trPr>
          <w:trHeight w:val="216"/>
        </w:trPr>
        <w:tc>
          <w:tcPr>
            <w:tcW w:w="6560" w:type="dxa"/>
            <w:vAlign w:val="bottom"/>
            <w:shd w:val="clear" w:color="auto" w:fill="CFF0FC"/>
          </w:tcPr>
          <w:p>
            <w:pPr>
              <w:jc w:val="center"/>
              <w:ind w:right="511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20%</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15% – 18%</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23% – 27%</w:t>
            </w:r>
          </w:p>
        </w:tc>
      </w:tr>
      <w:tr>
        <w:trPr>
          <w:trHeight w:val="216"/>
        </w:trPr>
        <w:tc>
          <w:tcPr>
            <w:tcW w:w="6560" w:type="dxa"/>
            <w:vAlign w:val="bottom"/>
          </w:tcPr>
          <w:p>
            <w:pPr>
              <w:jc w:val="center"/>
              <w:ind w:right="505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560" w:type="dxa"/>
            <w:vAlign w:val="bottom"/>
            <w:shd w:val="clear" w:color="auto" w:fill="CFF0FC"/>
          </w:tcPr>
          <w:p>
            <w:pPr>
              <w:jc w:val="center"/>
              <w:ind w:right="505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10% – 12%</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19% – 21%</w:t>
            </w:r>
          </w:p>
        </w:tc>
      </w:tr>
      <w:tr>
        <w:trPr>
          <w:trHeight w:val="234"/>
        </w:trPr>
        <w:tc>
          <w:tcPr>
            <w:tcW w:w="6560" w:type="dxa"/>
            <w:vAlign w:val="bottom"/>
          </w:tcPr>
          <w:p>
            <w:pPr>
              <w:jc w:val="center"/>
              <w:ind w:right="511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10% – 12%</w:t>
            </w:r>
          </w:p>
        </w:tc>
        <w:tc>
          <w:tcPr>
            <w:tcW w:w="14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18% – 22%</w:t>
            </w:r>
          </w:p>
        </w:tc>
      </w:tr>
    </w:tbl>
    <w:p>
      <w:pPr>
        <w:spacing w:after="0" w:line="152" w:lineRule="exact"/>
        <w:rPr>
          <w:sz w:val="20"/>
          <w:szCs w:val="20"/>
          <w:color w:val="auto"/>
        </w:rPr>
      </w:pPr>
    </w:p>
    <w:p>
      <w:pPr>
        <w:jc w:val="both"/>
        <w:ind w:left="940" w:hanging="370"/>
        <w:spacing w:after="0" w:line="250"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 Contract pricing in the coastal marine market continued to be impacted by the oversupply of tank barges in the coastal industry in 2022 and 2021.</w:t>
      </w:r>
    </w:p>
    <w:p>
      <w:pPr>
        <w:spacing w:after="0" w:line="150"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Effective January 1, 2022, annual escalators for labor and the producer price index on a number of inland multi-year contracts resulted in rate increases on those contracts of approximately 5%, excluding fuel.</w:t>
      </w:r>
    </w:p>
    <w:p>
      <w:pPr>
        <w:spacing w:after="0" w:line="135"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KMT operating margin was 9.6% and 7.5% for the 2022 third quarter and first nine months, respectively, compared to 5.0% and 3.8% for the 2021 third quarter and first nine months,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9" w:lineRule="exact"/>
        <w:rPr>
          <w:sz w:val="20"/>
          <w:szCs w:val="20"/>
          <w:color w:val="auto"/>
        </w:rPr>
      </w:pPr>
    </w:p>
    <w:p>
      <w:pPr>
        <w:jc w:val="both"/>
        <w:ind w:firstLine="562"/>
        <w:spacing w:after="0" w:line="242" w:lineRule="auto"/>
        <w:rPr>
          <w:sz w:val="20"/>
          <w:szCs w:val="20"/>
          <w:color w:val="auto"/>
        </w:rPr>
      </w:pPr>
      <w:r>
        <w:rPr>
          <w:rFonts w:ascii="Times New Roman" w:cs="Times New Roman" w:eastAsia="Times New Roman" w:hAnsi="Times New Roman"/>
          <w:sz w:val="18"/>
          <w:szCs w:val="18"/>
          <w:color w:val="auto"/>
        </w:rPr>
        <w:t>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manufactures and remanufactures oilfield service equipment, including pressure pumping units, and manufactures cementing and pumping equipment as well as coil tubing and well intervention equipment, electric power generation equipment, specialized electric distribution and control equipment, and high capacity energy storage/battery systems for oilfield service and railroad customers.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jc w:val="both"/>
        <w:ind w:right="20" w:firstLine="562"/>
        <w:spacing w:after="0" w:line="250" w:lineRule="auto"/>
        <w:rPr>
          <w:sz w:val="20"/>
          <w:szCs w:val="20"/>
          <w:color w:val="auto"/>
        </w:rPr>
      </w:pPr>
      <w:r>
        <w:rPr>
          <w:rFonts w:ascii="Times New Roman" w:cs="Times New Roman" w:eastAsia="Times New Roman" w:hAnsi="Times New Roman"/>
          <w:sz w:val="18"/>
          <w:szCs w:val="18"/>
          <w:color w:val="auto"/>
        </w:rPr>
        <w:t>For both the 2022 third quarter and first nine months, KDS generated 42% of the Company’s revenues, of which 83% and 80%, respectively, were generated from service and parts and 17% and 20%, respectively, from manufacturing. The results of KDS are largely influenced by the economic cycles of the oil and gas, marine, power generation, on-highway, and other related industrial markets.</w:t>
      </w:r>
    </w:p>
    <w:p>
      <w:pPr>
        <w:spacing w:after="0" w:line="150" w:lineRule="exact"/>
        <w:rPr>
          <w:sz w:val="20"/>
          <w:szCs w:val="20"/>
          <w:color w:val="auto"/>
        </w:rPr>
      </w:pPr>
    </w:p>
    <w:p>
      <w:pPr>
        <w:jc w:val="both"/>
        <w:ind w:firstLine="569"/>
        <w:spacing w:after="0" w:line="245" w:lineRule="auto"/>
        <w:rPr>
          <w:sz w:val="20"/>
          <w:szCs w:val="20"/>
          <w:color w:val="auto"/>
        </w:rPr>
      </w:pPr>
      <w:r>
        <w:rPr>
          <w:rFonts w:ascii="Times New Roman" w:cs="Times New Roman" w:eastAsia="Times New Roman" w:hAnsi="Times New Roman"/>
          <w:sz w:val="18"/>
          <w:szCs w:val="18"/>
          <w:color w:val="auto"/>
        </w:rPr>
        <w:t>KDS revenues for the 2022 third quarter and first nine months increased 20% and 26%, respectively, and operating income increased 102% and 149%, respectively, compared with the 2021 third quarter and first nine months. In the commercial and industrial market, the increases for the 2022 third quarter and first nine months were primarily attributable to strong economic activity across the United States which resulted in higher business levels in the marine and on-highway businesses. Increased product sales in Thermo King also contributed favorably to the 2022 third quarter and first nine months results. These increases were partially offset by continuing supply chain constraints and delays. The 2021 first nine months was impacted by Winter Storm Uri which caused reduced activity, especially in the Southern United States, in the commercial and industrial market. For the 2022 third quarter and first nine months, the commercial and industrial market contributed 53% and 55%, respectively, of KDS revenues.</w:t>
      </w:r>
    </w:p>
    <w:p>
      <w:pPr>
        <w:spacing w:after="0" w:line="141"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In the oil and gas market, revenues and operating income improved compared to the 2021 third quarter and first nine months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 pressure pumping equipment and power generation equipment for electric fracturing. For the 2022 third quarter and first nine months, the oil and gas market contributed 47% and 45%, respectively, of KDS revenues.</w:t>
      </w:r>
    </w:p>
    <w:p>
      <w:pPr>
        <w:spacing w:after="0" w:line="137"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KDS operating margin was 7.1% and 5.8% for the 2022 third quarter and first nine months, respectively, compared to 4.2% and 2.9% for the 2021 third quarter and first nine months,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89"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Refinery and petrochemical utilization levels remain at high levels. This is favorable for the Company's barge utilization, which is strong in both inland and coastal markets, and pricing, which continues to increase. In KDS, despite ongoing supply chain constraints and delays, demand for the Company's products and services continues to grow. Overall, the Company expects both KMT and KDS to deliver improved financial results in 2022 and going into 2023. The Company continues to closely monitor the ever-changing economic landscape related to the impact of higher interest rates and possible recessionary headwinds as it moves into 2023.</w:t>
      </w:r>
    </w:p>
    <w:p>
      <w:pPr>
        <w:spacing w:after="0" w:line="154" w:lineRule="exact"/>
        <w:rPr>
          <w:sz w:val="20"/>
          <w:szCs w:val="20"/>
          <w:color w:val="auto"/>
        </w:rPr>
      </w:pPr>
    </w:p>
    <w:p>
      <w:pPr>
        <w:jc w:val="both"/>
        <w:ind w:firstLine="569"/>
        <w:spacing w:after="0" w:line="244" w:lineRule="auto"/>
        <w:rPr>
          <w:sz w:val="20"/>
          <w:szCs w:val="20"/>
          <w:color w:val="auto"/>
        </w:rPr>
      </w:pPr>
      <w:r>
        <w:rPr>
          <w:rFonts w:ascii="Times New Roman" w:cs="Times New Roman" w:eastAsia="Times New Roman" w:hAnsi="Times New Roman"/>
          <w:sz w:val="18"/>
          <w:szCs w:val="18"/>
          <w:color w:val="auto"/>
        </w:rPr>
        <w:t>In the inland marine transportation market, conditions are expected to continue to improve driven by increased barge utilization, improvements in the spot market, and renewals of expiring term contracts at higher rates. The impacts of rising costs from inflationary pressures, including significantly higher fuel prices, are expected to be recovered as term contracts renew and contract escalators reprice in the fourth quarter and into 2023. An increase in delay days due to normal seasonal conditions and the impact of record low water on the Mississippi River is expected in the fourth quarter. In coastal marine, modest improvements in demand and pricing are anticipated in the 2022 fourth quarter, but revenues and operating income are expected to be impacted by planned shipyard maintenance and ballast water treatment installations on certain vessels for the remainder of the year.</w:t>
      </w:r>
    </w:p>
    <w:p>
      <w:pPr>
        <w:spacing w:after="0" w:line="155"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18"/>
          <w:szCs w:val="18"/>
          <w:color w:val="auto"/>
        </w:rPr>
        <w:t>KDS results are largely influenced by the cycles of the oil and gas, marine, power generation, on-highway and other related industrial markets. In the oil and gas market, high commodity prices, increasing rig counts, and growing well completions activity are expected to result in increased demand for original equipment manufacturer products, parts, and services as well as for new environmentally friendly pressure pumping equipment and power generation equipment for electric fracturing. In commercial and industrial, favorable economic activity is expected to result in increased demand in power generation, marine repair, and on-highway. However, ongoing supply chain issues and long lead times are expected in the near term, contributing to some volatility as deliveries of products possibly shift into future quarters.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KDS. During the nine months ended September 30, 2021, the Company purchased four inland tank barges from a leasing company for $7.5 million in cash. The Company had been leasing the barges prior to the purchase. Financing of the purchases was through cash provided by operating activities.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KMT and KDS revenues and the percentage of each to total revenues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Marine transportation</w:t>
            </w:r>
          </w:p>
        </w:tc>
        <w:tc>
          <w:tcPr>
            <w:tcW w:w="220" w:type="dxa"/>
            <w:vAlign w:val="bottom"/>
          </w:tcPr>
          <w:p>
            <w:pPr>
              <w:spacing w:after="0"/>
              <w:rPr>
                <w:sz w:val="14"/>
                <w:szCs w:val="14"/>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4"/>
                <w:szCs w:val="14"/>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18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433,040</w:t>
            </w:r>
          </w:p>
        </w:tc>
        <w:tc>
          <w:tcPr>
            <w:tcW w:w="2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338,514</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1,194,231</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972,352</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6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Distribution 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312,803</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260,406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860,358</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683,042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76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745,843</w:t>
            </w:r>
          </w:p>
        </w:tc>
        <w:tc>
          <w:tcPr>
            <w:tcW w:w="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598,920</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vMerge w:val="continue"/>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2,054,589</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1,655,394</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KMT revenues, costs and expenses, operating income, and operating margin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8"/>
          </w:tcPr>
          <w:p>
            <w:pPr>
              <w:jc w:val="right"/>
              <w:ind w:right="12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80" w:type="dxa"/>
            <w:vAlign w:val="bottom"/>
            <w:gridSpan w:val="8"/>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433,040</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338,514</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1,194,231</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972,352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237,233</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681,317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29,464</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88,314</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w:t>
            </w:r>
          </w:p>
        </w:tc>
        <w:tc>
          <w:tcPr>
            <w:tcW w:w="24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46,480</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141,560</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391,327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321,599</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1,104,766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935,019</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89,465</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color w:val="auto"/>
                <w:highlight w:val="white"/>
              </w:rPr>
              <w:t>%</w:t>
            </w:r>
          </w:p>
        </w:tc>
        <w:tc>
          <w:tcPr>
            <w:tcW w:w="240" w:type="dxa"/>
            <w:vAlign w:val="bottom"/>
          </w:tcPr>
          <w:p>
            <w:pPr>
              <w:spacing w:after="0"/>
              <w:rPr>
                <w:sz w:val="17"/>
                <w:szCs w:val="17"/>
                <w:color w:val="auto"/>
              </w:rPr>
            </w:pPr>
          </w:p>
        </w:tc>
        <w:tc>
          <w:tcPr>
            <w:tcW w:w="11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xml:space="preserve">5.0 </w:t>
            </w:r>
            <w:r>
              <w:rPr>
                <w:rFonts w:ascii="Times New Roman" w:cs="Times New Roman" w:eastAsia="Times New Roman" w:hAnsi="Times New Roman"/>
                <w:sz w:val="18"/>
                <w:szCs w:val="18"/>
                <w:color w:val="auto"/>
                <w:highlight w:val="white"/>
              </w:rPr>
              <w: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color w:val="auto"/>
                <w:highlight w:val="white"/>
              </w:rPr>
              <w: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283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3175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175" w:lineRule="exact"/>
        <w:rPr>
          <w:sz w:val="20"/>
          <w:szCs w:val="20"/>
          <w:color w:val="auto"/>
        </w:rPr>
      </w:pPr>
    </w:p>
    <w:p>
      <w:pPr>
        <w:ind w:right="60"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Third Quarter</w:t>
            </w:r>
          </w:p>
        </w:tc>
        <w:tc>
          <w:tcPr>
            <w:tcW w:w="1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Nine Months</w:t>
            </w:r>
          </w:p>
        </w:tc>
        <w:tc>
          <w:tcPr>
            <w:tcW w:w="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48"/>
        </w:trPr>
        <w:tc>
          <w:tcPr>
            <w:tcW w:w="1880" w:type="dxa"/>
            <w:vAlign w:val="bottom"/>
          </w:tcPr>
          <w:p>
            <w:pPr>
              <w:ind w:left="6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87"/>
        </w:trPr>
        <w:tc>
          <w:tcPr>
            <w:tcW w:w="1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Serviced</w:t>
            </w: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36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40" w:type="dxa"/>
            <w:vAlign w:val="bottom"/>
          </w:tcPr>
          <w:p>
            <w:pPr>
              <w:spacing w:after="0"/>
              <w:rPr>
                <w:sz w:val="16"/>
                <w:szCs w:val="16"/>
                <w:color w:val="auto"/>
              </w:rPr>
            </w:pPr>
          </w:p>
        </w:tc>
        <w:tc>
          <w:tcPr>
            <w:tcW w:w="23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Drivers</w:t>
            </w:r>
          </w:p>
        </w:tc>
      </w:tr>
      <w:tr>
        <w:trPr>
          <w:trHeight w:val="164"/>
        </w:trPr>
        <w:tc>
          <w:tcPr>
            <w:tcW w:w="18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Petrochemicals</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w w:val="96"/>
              </w:rPr>
              <w:t>50%</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w w:val="96"/>
              </w:rPr>
              <w:t>49%</w:t>
            </w:r>
          </w:p>
        </w:tc>
        <w:tc>
          <w:tcPr>
            <w:tcW w:w="160" w:type="dxa"/>
            <w:vAlign w:val="bottom"/>
            <w:shd w:val="clear" w:color="auto" w:fill="CFF0FC"/>
          </w:tcPr>
          <w:p>
            <w:pPr>
              <w:spacing w:after="0"/>
              <w:rPr>
                <w:sz w:val="14"/>
                <w:szCs w:val="14"/>
                <w:color w:val="auto"/>
              </w:rPr>
            </w:pPr>
          </w:p>
        </w:tc>
        <w:tc>
          <w:tcPr>
            <w:tcW w:w="364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Benzene, Styrene, Methanol, Acrylonitrile,</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Consumer non-durables –</w:t>
            </w:r>
          </w:p>
        </w:tc>
      </w:tr>
      <w:tr>
        <w:trPr>
          <w:trHeight w:val="189"/>
        </w:trPr>
        <w:tc>
          <w:tcPr>
            <w:tcW w:w="1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Xylene, Naphtha, Caustic Soda, Butadiene,</w:t>
            </w:r>
          </w:p>
        </w:tc>
        <w:tc>
          <w:tcPr>
            <w:tcW w:w="140" w:type="dxa"/>
            <w:vAlign w:val="bottom"/>
            <w:shd w:val="clear" w:color="auto" w:fill="CFF0FC"/>
          </w:tcPr>
          <w:p>
            <w:pPr>
              <w:spacing w:after="0"/>
              <w:rPr>
                <w:sz w:val="16"/>
                <w:szCs w:val="16"/>
                <w:color w:val="auto"/>
              </w:rPr>
            </w:pPr>
          </w:p>
        </w:tc>
        <w:tc>
          <w:tcPr>
            <w:tcW w:w="230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70%, Consumer durables –</w:t>
            </w:r>
          </w:p>
        </w:tc>
      </w:tr>
      <w:tr>
        <w:trPr>
          <w:trHeight w:val="234"/>
        </w:trPr>
        <w:tc>
          <w:tcPr>
            <w:tcW w:w="1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Propylene</w:t>
            </w:r>
          </w:p>
        </w:tc>
        <w:tc>
          <w:tcPr>
            <w:tcW w:w="24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30%</w:t>
            </w:r>
          </w:p>
        </w:tc>
      </w:tr>
      <w:tr>
        <w:trPr>
          <w:trHeight w:val="171"/>
        </w:trPr>
        <w:tc>
          <w:tcPr>
            <w:tcW w:w="18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Black Oil</w:t>
            </w:r>
          </w:p>
        </w:tc>
        <w:tc>
          <w:tcPr>
            <w:tcW w:w="1580" w:type="dxa"/>
            <w:vAlign w:val="bottom"/>
            <w:gridSpan w:val="2"/>
          </w:tcPr>
          <w:p>
            <w:pPr>
              <w:jc w:val="center"/>
              <w:ind w:left="50"/>
              <w:spacing w:after="0" w:line="170" w:lineRule="exact"/>
              <w:rPr>
                <w:sz w:val="20"/>
                <w:szCs w:val="20"/>
                <w:color w:val="auto"/>
              </w:rPr>
            </w:pPr>
            <w:r>
              <w:rPr>
                <w:rFonts w:ascii="Times New Roman" w:cs="Times New Roman" w:eastAsia="Times New Roman" w:hAnsi="Times New Roman"/>
                <w:sz w:val="18"/>
                <w:szCs w:val="18"/>
                <w:color w:val="auto"/>
                <w:w w:val="96"/>
              </w:rPr>
              <w:t>28%</w:t>
            </w:r>
          </w:p>
        </w:tc>
        <w:tc>
          <w:tcPr>
            <w:tcW w:w="1540" w:type="dxa"/>
            <w:vAlign w:val="bottom"/>
            <w:gridSpan w:val="2"/>
          </w:tcPr>
          <w:p>
            <w:pPr>
              <w:jc w:val="center"/>
              <w:ind w:left="50"/>
              <w:spacing w:after="0" w:line="170" w:lineRule="exact"/>
              <w:rPr>
                <w:sz w:val="20"/>
                <w:szCs w:val="20"/>
                <w:color w:val="auto"/>
              </w:rPr>
            </w:pPr>
            <w:r>
              <w:rPr>
                <w:rFonts w:ascii="Times New Roman" w:cs="Times New Roman" w:eastAsia="Times New Roman" w:hAnsi="Times New Roman"/>
                <w:sz w:val="18"/>
                <w:szCs w:val="18"/>
                <w:color w:val="auto"/>
                <w:w w:val="96"/>
              </w:rPr>
              <w:t>28%</w:t>
            </w:r>
          </w:p>
        </w:tc>
        <w:tc>
          <w:tcPr>
            <w:tcW w:w="160" w:type="dxa"/>
            <w:vAlign w:val="bottom"/>
          </w:tcPr>
          <w:p>
            <w:pPr>
              <w:spacing w:after="0"/>
              <w:rPr>
                <w:sz w:val="14"/>
                <w:szCs w:val="14"/>
                <w:color w:val="auto"/>
              </w:rPr>
            </w:pPr>
          </w:p>
        </w:tc>
        <w:tc>
          <w:tcPr>
            <w:tcW w:w="36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Residual Fuel Oil, Coker Feedstock, Vacuum Gas</w:t>
            </w:r>
          </w:p>
        </w:tc>
        <w:tc>
          <w:tcPr>
            <w:tcW w:w="140" w:type="dxa"/>
            <w:vAlign w:val="bottom"/>
          </w:tcPr>
          <w:p>
            <w:pPr>
              <w:spacing w:after="0"/>
              <w:rPr>
                <w:sz w:val="14"/>
                <w:szCs w:val="14"/>
                <w:color w:val="auto"/>
              </w:rPr>
            </w:pPr>
          </w:p>
        </w:tc>
        <w:tc>
          <w:tcPr>
            <w:tcW w:w="23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Fuel for Power Plants and</w:t>
            </w:r>
          </w:p>
        </w:tc>
      </w:tr>
      <w:tr>
        <w:trPr>
          <w:trHeight w:val="189"/>
        </w:trPr>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Oil, Asphalt, Carbon Black Feedstock, Crude Oil,</w:t>
            </w:r>
          </w:p>
        </w:tc>
        <w:tc>
          <w:tcPr>
            <w:tcW w:w="140" w:type="dxa"/>
            <w:vAlign w:val="bottom"/>
          </w:tcPr>
          <w:p>
            <w:pPr>
              <w:spacing w:after="0"/>
              <w:rPr>
                <w:sz w:val="16"/>
                <w:szCs w:val="16"/>
                <w:color w:val="auto"/>
              </w:rPr>
            </w:pPr>
          </w:p>
        </w:tc>
        <w:tc>
          <w:tcPr>
            <w:tcW w:w="23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Ships, Feedstock for</w:t>
            </w:r>
          </w:p>
        </w:tc>
      </w:tr>
      <w:tr>
        <w:trPr>
          <w:trHeight w:val="234"/>
        </w:trPr>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Natural Gas Condensate, Ship Bunkers</w:t>
            </w: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Refineries, Road Construction</w:t>
            </w:r>
          </w:p>
        </w:tc>
      </w:tr>
      <w:tr>
        <w:trPr>
          <w:trHeight w:val="171"/>
        </w:trPr>
        <w:tc>
          <w:tcPr>
            <w:tcW w:w="18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Refined Petroleum</w:t>
            </w:r>
          </w:p>
        </w:tc>
        <w:tc>
          <w:tcPr>
            <w:tcW w:w="1580" w:type="dxa"/>
            <w:vAlign w:val="bottom"/>
            <w:gridSpan w:val="2"/>
            <w:shd w:val="clear" w:color="auto" w:fill="CFF0FC"/>
          </w:tcPr>
          <w:p>
            <w:pPr>
              <w:jc w:val="center"/>
              <w:ind w:left="50"/>
              <w:spacing w:after="0" w:line="170" w:lineRule="exact"/>
              <w:rPr>
                <w:sz w:val="20"/>
                <w:szCs w:val="20"/>
                <w:color w:val="auto"/>
              </w:rPr>
            </w:pPr>
            <w:r>
              <w:rPr>
                <w:rFonts w:ascii="Times New Roman" w:cs="Times New Roman" w:eastAsia="Times New Roman" w:hAnsi="Times New Roman"/>
                <w:sz w:val="18"/>
                <w:szCs w:val="18"/>
                <w:color w:val="auto"/>
                <w:w w:val="96"/>
              </w:rPr>
              <w:t>19%</w:t>
            </w:r>
          </w:p>
        </w:tc>
        <w:tc>
          <w:tcPr>
            <w:tcW w:w="1540" w:type="dxa"/>
            <w:vAlign w:val="bottom"/>
            <w:gridSpan w:val="2"/>
            <w:shd w:val="clear" w:color="auto" w:fill="CFF0FC"/>
          </w:tcPr>
          <w:p>
            <w:pPr>
              <w:jc w:val="center"/>
              <w:ind w:left="50"/>
              <w:spacing w:after="0" w:line="170" w:lineRule="exact"/>
              <w:rPr>
                <w:sz w:val="20"/>
                <w:szCs w:val="20"/>
                <w:color w:val="auto"/>
              </w:rPr>
            </w:pPr>
            <w:r>
              <w:rPr>
                <w:rFonts w:ascii="Times New Roman" w:cs="Times New Roman" w:eastAsia="Times New Roman" w:hAnsi="Times New Roman"/>
                <w:sz w:val="18"/>
                <w:szCs w:val="18"/>
                <w:color w:val="auto"/>
                <w:w w:val="96"/>
              </w:rPr>
              <w:t>20%</w:t>
            </w:r>
          </w:p>
        </w:tc>
        <w:tc>
          <w:tcPr>
            <w:tcW w:w="160" w:type="dxa"/>
            <w:vAlign w:val="bottom"/>
            <w:shd w:val="clear" w:color="auto" w:fill="CFF0FC"/>
          </w:tcPr>
          <w:p>
            <w:pPr>
              <w:spacing w:after="0"/>
              <w:rPr>
                <w:sz w:val="14"/>
                <w:szCs w:val="14"/>
                <w:color w:val="auto"/>
              </w:rPr>
            </w:pPr>
          </w:p>
        </w:tc>
        <w:tc>
          <w:tcPr>
            <w:tcW w:w="36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Gasoline, No. 2 Oil, Jet Fuel, Heating Oil, Diesel</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Vehicle Usage, Air Travel,</w:t>
            </w:r>
          </w:p>
        </w:tc>
      </w:tr>
      <w:tr>
        <w:trPr>
          <w:trHeight w:val="189"/>
        </w:trPr>
        <w:tc>
          <w:tcPr>
            <w:tcW w:w="18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Products</w:t>
            </w:r>
          </w:p>
        </w:tc>
        <w:tc>
          <w:tcPr>
            <w:tcW w:w="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Fuel, Ethanol</w:t>
            </w:r>
          </w:p>
        </w:tc>
        <w:tc>
          <w:tcPr>
            <w:tcW w:w="140" w:type="dxa"/>
            <w:vAlign w:val="bottom"/>
            <w:shd w:val="clear" w:color="auto" w:fill="CFF0FC"/>
          </w:tcPr>
          <w:p>
            <w:pPr>
              <w:spacing w:after="0"/>
              <w:rPr>
                <w:sz w:val="16"/>
                <w:szCs w:val="16"/>
                <w:color w:val="auto"/>
              </w:rPr>
            </w:pPr>
          </w:p>
        </w:tc>
        <w:tc>
          <w:tcPr>
            <w:tcW w:w="230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Weather Conditions, Refinery</w:t>
            </w:r>
          </w:p>
        </w:tc>
      </w:tr>
      <w:tr>
        <w:trPr>
          <w:trHeight w:val="234"/>
        </w:trPr>
        <w:tc>
          <w:tcPr>
            <w:tcW w:w="1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Utilization</w:t>
            </w:r>
          </w:p>
        </w:tc>
      </w:tr>
      <w:tr>
        <w:trPr>
          <w:trHeight w:val="171"/>
        </w:trPr>
        <w:tc>
          <w:tcPr>
            <w:tcW w:w="18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Agricultural Chemicals</w:t>
            </w:r>
          </w:p>
        </w:tc>
        <w:tc>
          <w:tcPr>
            <w:tcW w:w="1580" w:type="dxa"/>
            <w:vAlign w:val="bottom"/>
            <w:gridSpan w:val="2"/>
          </w:tcPr>
          <w:p>
            <w:pPr>
              <w:jc w:val="center"/>
              <w:ind w:left="50"/>
              <w:spacing w:after="0" w:line="170" w:lineRule="exact"/>
              <w:rPr>
                <w:sz w:val="20"/>
                <w:szCs w:val="20"/>
                <w:color w:val="auto"/>
              </w:rPr>
            </w:pPr>
            <w:r>
              <w:rPr>
                <w:rFonts w:ascii="Times New Roman" w:cs="Times New Roman" w:eastAsia="Times New Roman" w:hAnsi="Times New Roman"/>
                <w:sz w:val="18"/>
                <w:szCs w:val="18"/>
                <w:color w:val="auto"/>
                <w:w w:val="99"/>
              </w:rPr>
              <w:t>3%</w:t>
            </w:r>
          </w:p>
        </w:tc>
        <w:tc>
          <w:tcPr>
            <w:tcW w:w="1540" w:type="dxa"/>
            <w:vAlign w:val="bottom"/>
            <w:gridSpan w:val="2"/>
          </w:tcPr>
          <w:p>
            <w:pPr>
              <w:jc w:val="center"/>
              <w:ind w:left="50"/>
              <w:spacing w:after="0" w:line="170" w:lineRule="exact"/>
              <w:rPr>
                <w:sz w:val="20"/>
                <w:szCs w:val="20"/>
                <w:color w:val="auto"/>
              </w:rPr>
            </w:pPr>
            <w:r>
              <w:rPr>
                <w:rFonts w:ascii="Times New Roman" w:cs="Times New Roman" w:eastAsia="Times New Roman" w:hAnsi="Times New Roman"/>
                <w:sz w:val="18"/>
                <w:szCs w:val="18"/>
                <w:color w:val="auto"/>
                <w:w w:val="99"/>
              </w:rPr>
              <w:t>3%</w:t>
            </w:r>
          </w:p>
        </w:tc>
        <w:tc>
          <w:tcPr>
            <w:tcW w:w="160" w:type="dxa"/>
            <w:vAlign w:val="bottom"/>
          </w:tcPr>
          <w:p>
            <w:pPr>
              <w:spacing w:after="0"/>
              <w:rPr>
                <w:sz w:val="14"/>
                <w:szCs w:val="14"/>
                <w:color w:val="auto"/>
              </w:rPr>
            </w:pPr>
          </w:p>
        </w:tc>
        <w:tc>
          <w:tcPr>
            <w:tcW w:w="36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Anhydrous Ammonia, Nitrogen – Based Liquid</w:t>
            </w:r>
          </w:p>
        </w:tc>
        <w:tc>
          <w:tcPr>
            <w:tcW w:w="140" w:type="dxa"/>
            <w:vAlign w:val="bottom"/>
          </w:tcPr>
          <w:p>
            <w:pPr>
              <w:spacing w:after="0"/>
              <w:rPr>
                <w:sz w:val="14"/>
                <w:szCs w:val="14"/>
                <w:color w:val="auto"/>
              </w:rPr>
            </w:pPr>
          </w:p>
        </w:tc>
        <w:tc>
          <w:tcPr>
            <w:tcW w:w="23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Corn, Cotton and Wheat</w:t>
            </w:r>
          </w:p>
        </w:tc>
      </w:tr>
      <w:tr>
        <w:trPr>
          <w:trHeight w:val="189"/>
        </w:trPr>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Fertilizer, Industrial Ammonia</w:t>
            </w:r>
          </w:p>
        </w:tc>
        <w:tc>
          <w:tcPr>
            <w:tcW w:w="140" w:type="dxa"/>
            <w:vAlign w:val="bottom"/>
          </w:tcPr>
          <w:p>
            <w:pPr>
              <w:spacing w:after="0"/>
              <w:rPr>
                <w:sz w:val="16"/>
                <w:szCs w:val="16"/>
                <w:color w:val="auto"/>
              </w:rPr>
            </w:pPr>
          </w:p>
        </w:tc>
        <w:tc>
          <w:tcPr>
            <w:tcW w:w="23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Production, Chemical</w:t>
            </w:r>
          </w:p>
        </w:tc>
      </w:tr>
      <w:tr>
        <w:trPr>
          <w:trHeight w:val="234"/>
        </w:trPr>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Feedstock Usage</w:t>
            </w:r>
          </w:p>
        </w:tc>
      </w:tr>
      <w:tr>
        <w:trPr>
          <w:trHeight w:val="567"/>
        </w:trPr>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0" w:type="dxa"/>
            <w:vAlign w:val="bottom"/>
            <w:gridSpan w:val="2"/>
          </w:tcPr>
          <w:p>
            <w:pPr>
              <w:jc w:val="right"/>
              <w:ind w:right="299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09" w:right="279" w:bottom="1440" w:gutter="0" w:footer="0" w:header="0"/>
        </w:sectPr>
      </w:pPr>
    </w:p>
    <w:bookmarkStart w:id="21" w:name="page22"/>
    <w:bookmarkEnd w:id="21"/>
    <w:p>
      <w:pPr>
        <w:jc w:val="both"/>
        <w:ind w:firstLine="569"/>
        <w:spacing w:after="0" w:line="242" w:lineRule="auto"/>
        <w:rPr>
          <w:sz w:val="20"/>
          <w:szCs w:val="20"/>
          <w:color w:val="auto"/>
        </w:rPr>
      </w:pPr>
      <w:r>
        <w:rPr>
          <w:rFonts w:ascii="Times New Roman" w:cs="Times New Roman" w:eastAsia="Times New Roman" w:hAnsi="Times New Roman"/>
          <w:sz w:val="18"/>
          <w:szCs w:val="18"/>
          <w:color w:val="auto"/>
        </w:rPr>
        <w:t>KMT revenues for the 2022 third quarter and first nine months increased 28% and 23%, respectively, compared to the 2021 third quarter and first nine months revenues. The increase for the 2022 third quarter and first nine months was primarily due to increased tank barge utilization, higher term and spot pricing, and higher fuel rebills in the inland and coastal markets. The 2021 first nine months was also heavily impacted by Winter Storm Uri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2021 first nine months revenues and operating income were also impacted by Hurricane Ida in the 2021 third quarter which shuttered almost the entire Southeast Louisiana refinery and chemical complex and key waterways for an extended period of time. The 2022 and 2021 first quarters were impacted by poor operating conditions including seasonal wind and fog along the Gulf Coast, flooding on the Mississippi River, and various lock closures along the Gulf Intracoastal Waterway, in addition to ice on the Illinois River. For the 2022 third quarter and first nine months, the inland tank barge fleet contributed 80% and 79%, respectively, and the coastal fleet contributed 20% and 21%, respectively, of KMT revenues. For the 2021 third quarter and first nine months, the inland tank barge fleet contributed 76% and 75%, respectively, and the coastal fleet contributed 24% and 25%, respectively, of KMT revenues.</w:t>
      </w:r>
    </w:p>
    <w:p>
      <w:pPr>
        <w:spacing w:after="0" w:line="148" w:lineRule="exact"/>
        <w:rPr>
          <w:sz w:val="20"/>
          <w:szCs w:val="20"/>
          <w:color w:val="auto"/>
        </w:rPr>
      </w:pPr>
    </w:p>
    <w:p>
      <w:pPr>
        <w:jc w:val="both"/>
        <w:ind w:firstLine="569"/>
        <w:spacing w:after="0" w:line="247" w:lineRule="auto"/>
        <w:rPr>
          <w:sz w:val="20"/>
          <w:szCs w:val="20"/>
          <w:color w:val="auto"/>
        </w:rPr>
      </w:pPr>
      <w:r>
        <w:rPr>
          <w:rFonts w:ascii="Times New Roman" w:cs="Times New Roman" w:eastAsia="Times New Roman" w:hAnsi="Times New Roman"/>
          <w:sz w:val="18"/>
          <w:szCs w:val="18"/>
          <w:color w:val="auto"/>
        </w:rPr>
        <w:t>Inland tank barge utilization levels averaged in the mid-80% range during the 2022 first quarter, the low 90% range during the 2022 second and third quarters compared to the mid-70% range during the 2021 first quarter, the low to mid-80% range during the 2021 second quarter, and the low 80% range during the 2021 third quarter. The 2022 first nine months reflected increasing activity levels as a result of higher refinery and petrochemical plant utilization while the 2021 first nine months was impacted by reduced demand resulting from the effects of the COVID-19 pandemic causing an economic slowdown as well as reduced volumes due to Winter Storm Uri during the 2021 first quarter and Hurricane Ida during the 2021 third quarter, partially offset by the Colonial Pipeline outage which increased barge transportation activity in the 2021 second quarter.</w:t>
      </w:r>
    </w:p>
    <w:p>
      <w:pPr>
        <w:spacing w:after="0" w:line="153"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Coastal tank barge utilization levels averaged in the low 90% range during the 2022 first and second quarters and the low to mid-90% range during the 2022 third quarter compared to the mid-70% range during the 2021 first and third quarters and the low to mid-70% range during the 2021 second quarter. The increase in coastal tank barge utilization during 2022 was primarily due to the retirement of underutilized barges in the 2021 third quarter and some modest improvements in customer demand.</w:t>
      </w:r>
    </w:p>
    <w:p>
      <w:pPr>
        <w:spacing w:after="0" w:line="13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petrochemical market, which is the Company’s largest market, contributed 50% and 49% of KMT revenues for the 2022 third quarter and first nine months, respectively, reflecting increased volumes and utilization from Gulf Coast petrochemical plants as a result of improved economic conditions following the height of the COVID-19 pandemic.</w:t>
      </w:r>
    </w:p>
    <w:p>
      <w:pPr>
        <w:spacing w:after="0" w:line="129"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18"/>
          <w:szCs w:val="18"/>
          <w:color w:val="auto"/>
        </w:rPr>
        <w:t>The black oil market, which contributed 28% of KMT revenues for both the 2022 third quarter and first nine months, reflected improved demand as refinery utilization and production levels of refined petroleum products and fuel oils increased following the height of the COVID-19 pandemic. During the 2022 first nine months, the Company transported crude oil and natural gas condensate produced from the Permian Basin and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53"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The refined petroleum products market, which contributed 19% and 20% of KMT revenues for the 2022 third quarter and first nine months, respectively, reflected increased volumes in the inland market as refinery utilization and product levels improved following the height of the COVID-19 pandemic.</w:t>
      </w:r>
    </w:p>
    <w:p>
      <w:pPr>
        <w:spacing w:after="0" w:line="150"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agricultural chemical market, which contributed 3% of KMT revenues for both the 2022 third quarter and first nine months, reflected improved demand for transportation of both domestically produced and imported products, primarily due to improved economic conditions following the height of the COVID-19 pandemic.</w:t>
      </w:r>
    </w:p>
    <w:p>
      <w:pPr>
        <w:spacing w:after="0" w:line="129" w:lineRule="exact"/>
        <w:rPr>
          <w:sz w:val="20"/>
          <w:szCs w:val="20"/>
          <w:color w:val="auto"/>
        </w:rPr>
      </w:pPr>
    </w:p>
    <w:p>
      <w:pPr>
        <w:jc w:val="both"/>
        <w:ind w:firstLine="569"/>
        <w:spacing w:after="0" w:line="247" w:lineRule="auto"/>
        <w:rPr>
          <w:sz w:val="20"/>
          <w:szCs w:val="20"/>
          <w:color w:val="auto"/>
        </w:rPr>
      </w:pPr>
      <w:r>
        <w:rPr>
          <w:rFonts w:ascii="Times New Roman" w:cs="Times New Roman" w:eastAsia="Times New Roman" w:hAnsi="Times New Roman"/>
          <w:sz w:val="18"/>
          <w:szCs w:val="18"/>
          <w:color w:val="auto"/>
        </w:rPr>
        <w:t>For the 2022 third quarter, the inland operations incurred 1,253 delay days, 16% fewer than the 1,499 delay days that occurred during the 2021 third quarter. For the 2022 first nine months, the inland operations incurred 7,152 delay days, 2% fewer than the 7,275 delay days that occurred during the 2021 first nine months.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high water conditions on the Mississippi River System during the 2022 and 2021 first quarters. The 2022 first quarter was also impacted by ice on the Illinois River while the 2021 first quarter was impacted by closures of key waterways as a result of lock maintenance projects.</w:t>
      </w:r>
    </w:p>
    <w:p>
      <w:pPr>
        <w:spacing w:after="0" w:line="139"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18"/>
          <w:szCs w:val="18"/>
          <w:color w:val="auto"/>
        </w:rPr>
        <w:t>During both the 2022 third quarter and first nine months, approximately 60% of KMT inland revenues were under term contracts and 40% were spot contract revenues. During both the 2021 third quarter and first nine months, approximately 65% of KMT inland revenues were under term contracts and 35% were spot contract revenues. Inland time charters during the 2022 third quarter and first nine months represented 56% and 57%, respectively, of the inland revenues under term contracts compared with 56% and 58% in the 2021 third quarter and first nine months, respectively. During the 2022 third quarter and first nine months, approximately 65% and 75%, respectively, of KMT coastal inland revenues were under term contracts and 35% and 25%, respectively, were spot contracts.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jc w:val="both"/>
        <w:spacing w:after="0" w:line="250" w:lineRule="auto"/>
        <w:rPr>
          <w:sz w:val="20"/>
          <w:szCs w:val="20"/>
          <w:color w:val="auto"/>
        </w:rPr>
      </w:pPr>
      <w:r>
        <w:rPr>
          <w:rFonts w:ascii="Times New Roman" w:cs="Times New Roman" w:eastAsia="Times New Roman" w:hAnsi="Times New Roman"/>
          <w:sz w:val="18"/>
          <w:szCs w:val="18"/>
          <w:color w:val="auto"/>
        </w:rPr>
        <w:t>During both the 2021 third quarter and first nine months, approximately 80% of the coastal revenues were under term contracts and 20% were spot contract revenues. Coastal time charters represented approximately 90% of coastal revenues under term contracts during both the 2022 third quarter and first nine months compared with approximately 85% during both the 2021 third quarter and first nine months. Term contracts have contract terms of 12 months or longer, while spot contracts have contract terms of less than 12 months.</w:t>
      </w:r>
    </w:p>
    <w:p>
      <w:pPr>
        <w:spacing w:after="0" w:line="137"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2022 compared to contracts renewed during the corresponding quarter of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14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4"/>
                <w:szCs w:val="14"/>
                <w:color w:val="auto"/>
              </w:rPr>
            </w:pPr>
          </w:p>
        </w:tc>
        <w:tc>
          <w:tcPr>
            <w:tcW w:w="1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4"/>
                <w:szCs w:val="14"/>
                <w:color w:val="auto"/>
              </w:rPr>
            </w:pPr>
          </w:p>
        </w:tc>
        <w:tc>
          <w:tcPr>
            <w:tcW w:w="1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6560" w:type="dxa"/>
            <w:vAlign w:val="bottom"/>
          </w:tcPr>
          <w:p>
            <w:pPr>
              <w:jc w:val="center"/>
              <w:ind w:right="505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c>
          <w:tcPr>
            <w:tcW w:w="160" w:type="dxa"/>
            <w:vAlign w:val="bottom"/>
          </w:tcPr>
          <w:p>
            <w:pPr>
              <w:spacing w:after="0"/>
              <w:rPr>
                <w:sz w:val="18"/>
                <w:szCs w:val="18"/>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14% – 16%</w:t>
            </w:r>
          </w:p>
        </w:tc>
        <w:tc>
          <w:tcPr>
            <w:tcW w:w="140" w:type="dxa"/>
            <w:vAlign w:val="bottom"/>
          </w:tcPr>
          <w:p>
            <w:pPr>
              <w:spacing w:after="0"/>
              <w:rPr>
                <w:sz w:val="18"/>
                <w:szCs w:val="18"/>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13% – 15%</w:t>
            </w:r>
          </w:p>
        </w:tc>
      </w:tr>
      <w:tr>
        <w:trPr>
          <w:trHeight w:val="216"/>
        </w:trPr>
        <w:tc>
          <w:tcPr>
            <w:tcW w:w="6560" w:type="dxa"/>
            <w:vAlign w:val="bottom"/>
            <w:shd w:val="clear" w:color="auto" w:fill="CFF0FC"/>
          </w:tcPr>
          <w:p>
            <w:pPr>
              <w:jc w:val="center"/>
              <w:ind w:right="511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20%</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15% – 18%</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23% – 27%</w:t>
            </w:r>
          </w:p>
        </w:tc>
      </w:tr>
      <w:tr>
        <w:trPr>
          <w:trHeight w:val="216"/>
        </w:trPr>
        <w:tc>
          <w:tcPr>
            <w:tcW w:w="6560" w:type="dxa"/>
            <w:vAlign w:val="bottom"/>
          </w:tcPr>
          <w:p>
            <w:pPr>
              <w:jc w:val="center"/>
              <w:ind w:right="505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560" w:type="dxa"/>
            <w:vAlign w:val="bottom"/>
            <w:shd w:val="clear" w:color="auto" w:fill="CFF0FC"/>
          </w:tcPr>
          <w:p>
            <w:pPr>
              <w:jc w:val="center"/>
              <w:ind w:right="5050"/>
              <w:spacing w:after="0"/>
              <w:rPr>
                <w:sz w:val="20"/>
                <w:szCs w:val="20"/>
                <w:color w:val="auto"/>
              </w:rPr>
            </w:pPr>
            <w:r>
              <w:rPr>
                <w:rFonts w:ascii="Times New Roman" w:cs="Times New Roman" w:eastAsia="Times New Roman" w:hAnsi="Times New Roman"/>
                <w:sz w:val="18"/>
                <w:szCs w:val="18"/>
                <w:color w:val="auto"/>
                <w:w w:val="99"/>
              </w:rPr>
              <w:t>Term increase</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10% – 12%</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19% – 21%</w:t>
            </w:r>
          </w:p>
        </w:tc>
      </w:tr>
      <w:tr>
        <w:trPr>
          <w:trHeight w:val="234"/>
        </w:trPr>
        <w:tc>
          <w:tcPr>
            <w:tcW w:w="6560" w:type="dxa"/>
            <w:vAlign w:val="bottom"/>
          </w:tcPr>
          <w:p>
            <w:pPr>
              <w:jc w:val="center"/>
              <w:ind w:right="5110"/>
              <w:spacing w:after="0"/>
              <w:rPr>
                <w:sz w:val="20"/>
                <w:szCs w:val="20"/>
                <w:color w:val="auto"/>
              </w:rPr>
            </w:pPr>
            <w:r>
              <w:rPr>
                <w:rFonts w:ascii="Times New Roman" w:cs="Times New Roman" w:eastAsia="Times New Roman" w:hAnsi="Times New Roman"/>
                <w:sz w:val="18"/>
                <w:szCs w:val="18"/>
                <w:color w:val="auto"/>
                <w:w w:val="99"/>
              </w:rPr>
              <w:t>Spot increase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c>
          <w:tcPr>
            <w:tcW w:w="16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10% – 12%</w:t>
            </w:r>
          </w:p>
        </w:tc>
        <w:tc>
          <w:tcPr>
            <w:tcW w:w="140" w:type="dxa"/>
            <w:vAlign w:val="bottom"/>
          </w:tcPr>
          <w:p>
            <w:pPr>
              <w:spacing w:after="0"/>
              <w:rPr>
                <w:sz w:val="20"/>
                <w:szCs w:val="20"/>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18% – 22%</w:t>
            </w:r>
          </w:p>
        </w:tc>
      </w:tr>
    </w:tbl>
    <w:p>
      <w:pPr>
        <w:spacing w:after="0" w:line="139" w:lineRule="exact"/>
        <w:rPr>
          <w:sz w:val="20"/>
          <w:szCs w:val="20"/>
          <w:color w:val="auto"/>
        </w:rPr>
      </w:pPr>
    </w:p>
    <w:p>
      <w:pPr>
        <w:jc w:val="both"/>
        <w:ind w:left="940" w:hanging="370"/>
        <w:spacing w:after="0" w:line="258"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 Contract pricing in the coastal marine market continued to be impacted by the oversupply of tank barges in the coastal industry in 2022 and 2021.</w:t>
      </w:r>
    </w:p>
    <w:p>
      <w:pPr>
        <w:spacing w:after="0" w:line="142"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Effective January 1, 2022, annual escalators for labor and the producer price index on a number of inland multi-year contracts resulted in rate increases on those contracts of approximately 5%, excluding fuel.</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175"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Costs and expenses for the 2022 third quarter and first nine months increased 22% and 18%, respectively, compared to the 2021 third quarter and first nine months. Costs of sales and operating expenses for the 2022 third quarter and first nine months increased 29% and 26%, respectively, compared with the 2021 third quarter and first nine months. The increases during the 2022 third quarter and first nine months primarily reflect improved business activity levels and increased fuel costs as well as incremental costs associated with the COVID-19 Omicron variant during the 2022 first quarter.</w:t>
      </w:r>
    </w:p>
    <w:p>
      <w:pPr>
        <w:spacing w:after="0" w:line="150"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274 towboats during the 2022 third quarter, of which an average of 59 were chartered, compared to 243 during the 2021 third quarter, of which an average of 30 were chartered. The increase was primarily due to increasing business activity levels during the 2022 third quarter.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spacing w:after="0" w:line="155" w:lineRule="exact"/>
        <w:rPr>
          <w:sz w:val="20"/>
          <w:szCs w:val="20"/>
          <w:color w:val="auto"/>
        </w:rPr>
      </w:pPr>
    </w:p>
    <w:p>
      <w:pPr>
        <w:jc w:val="both"/>
        <w:ind w:firstLine="569"/>
        <w:spacing w:after="0" w:line="245" w:lineRule="auto"/>
        <w:rPr>
          <w:sz w:val="20"/>
          <w:szCs w:val="20"/>
          <w:color w:val="auto"/>
        </w:rPr>
      </w:pPr>
      <w:r>
        <w:rPr>
          <w:rFonts w:ascii="Times New Roman" w:cs="Times New Roman" w:eastAsia="Times New Roman" w:hAnsi="Times New Roman"/>
          <w:sz w:val="18"/>
          <w:szCs w:val="18"/>
          <w:color w:val="auto"/>
        </w:rPr>
        <w:t>During the 2022 third quarter, the inland operations consumed 12.5 million gallons of diesel fuel compared to 11.8 million gallons consumed during the 2021 third quarter. The average price per gallon of diesel fuel consumed during the 2022 third quarter was $4.24 per gallon compared with $2.24 per gallon for the 2021 third quarter. During the 2022 first nine months, the inland operations consumed 36.7 million gallons of diesel fuel compared to 34.4 million gallons consumed during the 2021 first nine months. The average price per gallon of diesel fuel consumed during the 2022 first nine months was $3.60 per gallon compared with $1.99 per gallon for the 2021 first nine months.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54"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Selling, general and administrative expenses for the 2022 third quarter and first nine months increased 11% and 6%, respectively, compared to the 2021 third quarter and first nine months as the Company manages inflationary cost pressures. The increase for the 2022 third quarter was primarily due to salary and wage increases effective July 1, 2022 and increased incentive compensation accruals as a result of higher business activity levels. Business activity levels in the 2021 first nine months were impacted by COVID-19 and the resulting economic slowdown as well as Winter Storm Uri during the 2021 first quarter and Hurricane Ida during the 2021 third quarter.</w:t>
      </w:r>
    </w:p>
    <w:p>
      <w:pPr>
        <w:spacing w:after="0" w:line="154"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2022 third quarter and first nine months decreased 5% and 6%, respectively, compared to the 2021 third quarter and first nine months, primarily reflecting retirements, sales, and impairment of marine equipment during 2021 and 2022.</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w:t>
      </w:r>
    </w:p>
    <w:p>
      <w:pPr>
        <w:spacing w:after="0" w:line="175" w:lineRule="exact"/>
        <w:rPr>
          <w:sz w:val="20"/>
          <w:szCs w:val="20"/>
          <w:color w:val="auto"/>
        </w:rPr>
      </w:pPr>
    </w:p>
    <w:p>
      <w:pPr>
        <w:jc w:val="both"/>
        <w:ind w:right="60" w:firstLine="562"/>
        <w:spacing w:after="0" w:line="247" w:lineRule="auto"/>
        <w:rPr>
          <w:sz w:val="20"/>
          <w:szCs w:val="20"/>
          <w:color w:val="auto"/>
        </w:rPr>
      </w:pPr>
      <w:r>
        <w:rPr>
          <w:rFonts w:ascii="Times New Roman" w:cs="Times New Roman" w:eastAsia="Times New Roman" w:hAnsi="Times New Roman"/>
          <w:sz w:val="18"/>
          <w:szCs w:val="18"/>
          <w:color w:val="auto"/>
        </w:rPr>
        <w:t>KMT operating income for the 2022 third quarter and first nine months increased 147% and 140%, respectively, compared with the 2021 third quarter and first nine months. The 2022 third quarter operating margin was 9.6% compared with 5.0% for the 2021 third quarter. The 2022 first nine months operating margin was 7.5% compared with 3.8% for the 2021 first nine months. The increases in operating income and operating margin were primarily due to increased barge utilization and higher term and spot contract pricing in the inland and coastal markets, each as a result of improving business activity levels, partially offset by increasing fuel prices as well as the impacts of the COVID-19 Omicron variant during the 2022 first quarter. The 2021 first nine months activity levels were also impacted by Winter Storm Uri and Hurricane Ida.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KDS revenues, costs and expenses, operating income, and operating margin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60" w:type="dxa"/>
            <w:vAlign w:val="bottom"/>
            <w:gridSpan w:val="8"/>
          </w:tcPr>
          <w:p>
            <w:pPr>
              <w:jc w:val="right"/>
              <w:ind w:right="12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80" w:type="dxa"/>
            <w:vAlign w:val="bottom"/>
            <w:gridSpan w:val="8"/>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312,803</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260,406</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860,358</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683,042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207,877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35,002</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121,864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104,477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2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290,535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249,367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810,382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49,976</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color w:val="auto"/>
                <w:highlight w:val="white"/>
              </w:rPr>
              <w:t>%</w:t>
            </w:r>
          </w:p>
        </w:tc>
        <w:tc>
          <w:tcPr>
            <w:tcW w:w="240" w:type="dxa"/>
            <w:vAlign w:val="bottom"/>
          </w:tcPr>
          <w:p>
            <w:pPr>
              <w:spacing w:after="0"/>
              <w:rPr>
                <w:sz w:val="17"/>
                <w:szCs w:val="17"/>
                <w:color w:val="auto"/>
              </w:rPr>
            </w:pPr>
          </w:p>
        </w:tc>
        <w:tc>
          <w:tcPr>
            <w:tcW w:w="11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color w:val="auto"/>
                <w:highlight w:val="white"/>
              </w:rPr>
              <w: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color w:val="auto"/>
                <w:highlight w:val="white"/>
              </w:rPr>
              <w: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283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316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markets serviced by KDS, the revenue distribution, and the customers for each market: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Third Quarter</w:t>
            </w:r>
          </w:p>
        </w:tc>
        <w:tc>
          <w:tcPr>
            <w:tcW w:w="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Nine Months</w:t>
            </w:r>
          </w:p>
        </w:tc>
        <w:tc>
          <w:tcPr>
            <w:tcW w:w="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2"/>
                <w:szCs w:val="12"/>
                <w:color w:val="auto"/>
              </w:rPr>
            </w:pPr>
          </w:p>
        </w:tc>
        <w:tc>
          <w:tcPr>
            <w:tcW w:w="454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187"/>
        </w:trPr>
        <w:tc>
          <w:tcPr>
            <w:tcW w:w="30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4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0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FF0FC"/>
          </w:tcPr>
          <w:p>
            <w:pPr>
              <w:spacing w:after="0"/>
              <w:rPr>
                <w:sz w:val="14"/>
                <w:szCs w:val="14"/>
                <w:color w:val="auto"/>
              </w:rPr>
            </w:pPr>
          </w:p>
        </w:tc>
        <w:tc>
          <w:tcPr>
            <w:tcW w:w="454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Inland River Carriers — Dry and Liquid, Offshore Towing —</w:t>
            </w:r>
          </w:p>
        </w:tc>
        <w:tc>
          <w:tcPr>
            <w:tcW w:w="0" w:type="dxa"/>
            <w:vAlign w:val="bottom"/>
          </w:tcPr>
          <w:p>
            <w:pPr>
              <w:spacing w:after="0"/>
              <w:rPr>
                <w:sz w:val="1"/>
                <w:szCs w:val="1"/>
                <w:color w:val="auto"/>
              </w:rPr>
            </w:pPr>
          </w:p>
        </w:tc>
      </w:tr>
      <w:tr>
        <w:trPr>
          <w:trHeight w:val="189"/>
        </w:trPr>
        <w:tc>
          <w:tcPr>
            <w:tcW w:w="3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5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Dry and Liquid, Offshore Oilfield Services — Drilling Rigs &amp;</w:t>
            </w:r>
          </w:p>
        </w:tc>
        <w:tc>
          <w:tcPr>
            <w:tcW w:w="0" w:type="dxa"/>
            <w:vAlign w:val="bottom"/>
          </w:tcPr>
          <w:p>
            <w:pPr>
              <w:spacing w:after="0"/>
              <w:rPr>
                <w:sz w:val="1"/>
                <w:szCs w:val="1"/>
                <w:color w:val="auto"/>
              </w:rPr>
            </w:pPr>
          </w:p>
        </w:tc>
      </w:tr>
      <w:tr>
        <w:trPr>
          <w:trHeight w:val="189"/>
        </w:trPr>
        <w:tc>
          <w:tcPr>
            <w:tcW w:w="3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5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Supply Boats, Harbor Towing, Dredging, Great Lakes Ore</w:t>
            </w:r>
          </w:p>
        </w:tc>
        <w:tc>
          <w:tcPr>
            <w:tcW w:w="0" w:type="dxa"/>
            <w:vAlign w:val="bottom"/>
          </w:tcPr>
          <w:p>
            <w:pPr>
              <w:spacing w:after="0"/>
              <w:rPr>
                <w:sz w:val="1"/>
                <w:szCs w:val="1"/>
                <w:color w:val="auto"/>
              </w:rPr>
            </w:pPr>
          </w:p>
        </w:tc>
      </w:tr>
      <w:tr>
        <w:trPr>
          <w:trHeight w:val="189"/>
        </w:trPr>
        <w:tc>
          <w:tcPr>
            <w:tcW w:w="3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5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Carriers, Pleasure Crafts, On and Off-Highway</w:t>
            </w:r>
          </w:p>
        </w:tc>
        <w:tc>
          <w:tcPr>
            <w:tcW w:w="0" w:type="dxa"/>
            <w:vAlign w:val="bottom"/>
          </w:tcPr>
          <w:p>
            <w:pPr>
              <w:spacing w:after="0"/>
              <w:rPr>
                <w:sz w:val="1"/>
                <w:szCs w:val="1"/>
                <w:color w:val="auto"/>
              </w:rPr>
            </w:pPr>
          </w:p>
        </w:tc>
      </w:tr>
      <w:tr>
        <w:trPr>
          <w:trHeight w:val="189"/>
        </w:trPr>
        <w:tc>
          <w:tcPr>
            <w:tcW w:w="3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5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Transportation, Power Generation, Standby Power</w:t>
            </w:r>
          </w:p>
        </w:tc>
        <w:tc>
          <w:tcPr>
            <w:tcW w:w="0" w:type="dxa"/>
            <w:vAlign w:val="bottom"/>
          </w:tcPr>
          <w:p>
            <w:pPr>
              <w:spacing w:after="0"/>
              <w:rPr>
                <w:sz w:val="1"/>
                <w:szCs w:val="1"/>
                <w:color w:val="auto"/>
              </w:rPr>
            </w:pPr>
          </w:p>
        </w:tc>
      </w:tr>
      <w:tr>
        <w:trPr>
          <w:trHeight w:val="234"/>
        </w:trPr>
        <w:tc>
          <w:tcPr>
            <w:tcW w:w="3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Generation, Pumping Stations, Mining</w:t>
            </w:r>
          </w:p>
        </w:tc>
        <w:tc>
          <w:tcPr>
            <w:tcW w:w="0" w:type="dxa"/>
            <w:vAlign w:val="bottom"/>
          </w:tcPr>
          <w:p>
            <w:pPr>
              <w:spacing w:after="0"/>
              <w:rPr>
                <w:sz w:val="1"/>
                <w:szCs w:val="1"/>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1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47%</w:t>
            </w:r>
          </w:p>
        </w:tc>
        <w:tc>
          <w:tcPr>
            <w:tcW w:w="17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60" w:firstLine="569"/>
        <w:spacing w:after="0" w:line="245" w:lineRule="auto"/>
        <w:rPr>
          <w:sz w:val="20"/>
          <w:szCs w:val="20"/>
          <w:color w:val="auto"/>
        </w:rPr>
      </w:pPr>
      <w:r>
        <w:rPr>
          <w:rFonts w:ascii="Times New Roman" w:cs="Times New Roman" w:eastAsia="Times New Roman" w:hAnsi="Times New Roman"/>
          <w:sz w:val="18"/>
          <w:szCs w:val="18"/>
          <w:color w:val="auto"/>
        </w:rPr>
        <w:t>KDS revenues for the 2022 third quarter and first nine months increased 20% and 26%, respectively, compared to the 2021 third quarter and first nine months. In the commercial and industrial market, the increase for the 2022 third quarter and first nine months was primarily attributable to strong economic activity across the United States which resulted in higher business levels in the marine and on-highway businesses. Increased product sales in Thermo King also contributed favorably to the 2022 third quarter and first nine months results. These increases were partially offset by continuing supply chain constraints and delays. The 2021 first nine months was impacted by Winter Storm Uri which caused reduced activity, especially in the Southern United States, in the commercial and industrial market. For the 2022 third quarter and first nine months, the commercial and industrial market contributed 53% and 55%, respectively, of KDS revenues.</w:t>
      </w:r>
    </w:p>
    <w:p>
      <w:pPr>
        <w:spacing w:after="0" w:line="141" w:lineRule="exact"/>
        <w:rPr>
          <w:sz w:val="20"/>
          <w:szCs w:val="20"/>
          <w:color w:val="auto"/>
        </w:rPr>
      </w:pPr>
    </w:p>
    <w:p>
      <w:pPr>
        <w:jc w:val="both"/>
        <w:ind w:right="60" w:firstLine="562"/>
        <w:spacing w:after="0" w:line="246" w:lineRule="auto"/>
        <w:rPr>
          <w:sz w:val="20"/>
          <w:szCs w:val="20"/>
          <w:color w:val="auto"/>
        </w:rPr>
      </w:pPr>
      <w:r>
        <w:rPr>
          <w:rFonts w:ascii="Times New Roman" w:cs="Times New Roman" w:eastAsia="Times New Roman" w:hAnsi="Times New Roman"/>
          <w:sz w:val="18"/>
          <w:szCs w:val="18"/>
          <w:color w:val="auto"/>
        </w:rPr>
        <w:t>In the oil and gas market, revenues improved compared to the 2021 third quarter and first nine months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 pressure pumping equipment and power generation equipment for electric fracturing. For the 2022 third quarter and first nine months, the oil and gas market contributed 47% and 45%, respectively, of KDS revenues.</w:t>
      </w:r>
    </w:p>
    <w:p>
      <w:pPr>
        <w:spacing w:after="0" w:line="1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09" w:right="279"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175" w:lineRule="exact"/>
        <w:rPr>
          <w:sz w:val="20"/>
          <w:szCs w:val="20"/>
          <w:color w:val="auto"/>
        </w:rPr>
      </w:pPr>
    </w:p>
    <w:p>
      <w:pPr>
        <w:jc w:val="both"/>
        <w:ind w:right="60" w:firstLine="569"/>
        <w:spacing w:after="0" w:line="250" w:lineRule="auto"/>
        <w:rPr>
          <w:sz w:val="20"/>
          <w:szCs w:val="20"/>
          <w:color w:val="auto"/>
        </w:rPr>
      </w:pPr>
      <w:r>
        <w:rPr>
          <w:rFonts w:ascii="Times New Roman" w:cs="Times New Roman" w:eastAsia="Times New Roman" w:hAnsi="Times New Roman"/>
          <w:sz w:val="18"/>
          <w:szCs w:val="18"/>
          <w:color w:val="auto"/>
        </w:rPr>
        <w:t>Costs and expenses for the 2022 third quarter and first nine months increased 17% and 22%, respectively, compared with the 2021 third quarter and first nine months. Costs of sales and operating expenses for the 2022 third quarter and first nine months increased 18% and 25%, respectively, compared with the 2021 third quarter and first nine months, reflecting higher demand in the marine and on-highway businesses in commercial and industrial markets as well as increased demand in the oil and gas market as a result of higher oilfield activity levels.</w:t>
      </w:r>
    </w:p>
    <w:p>
      <w:pPr>
        <w:spacing w:after="0" w:line="150" w:lineRule="exact"/>
        <w:rPr>
          <w:sz w:val="20"/>
          <w:szCs w:val="20"/>
          <w:color w:val="auto"/>
        </w:rPr>
      </w:pPr>
    </w:p>
    <w:p>
      <w:pPr>
        <w:jc w:val="both"/>
        <w:ind w:right="60" w:firstLine="562"/>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for the 2022 third quarter and first nine months increased 12% and 17%, respectively, compared to the 2021 third quarter and first nine months, primarily due to salaries and costs related to the acquisition of assets of an energy storage systems manufacturer in the 2021 fourth quarter which included engineering talent required to further the Company’s electrification efforts, continued inflationary cost pressures, annual salary raises and severance expense.</w:t>
      </w:r>
    </w:p>
    <w:p>
      <w:pPr>
        <w:spacing w:after="0" w:line="137" w:lineRule="exact"/>
        <w:rPr>
          <w:sz w:val="20"/>
          <w:szCs w:val="20"/>
          <w:color w:val="auto"/>
        </w:rPr>
      </w:pPr>
    </w:p>
    <w:p>
      <w:pPr>
        <w:jc w:val="both"/>
        <w:ind w:right="80" w:firstLine="562"/>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the 2022 third quarter and first nine months decreased 15% and 25%, respectively, compared to the 2021 third quarter and first nine months, primarily due to sales of property and equipment and reduced capital spending during 2021.</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w:t>
      </w:r>
    </w:p>
    <w:p>
      <w:pPr>
        <w:spacing w:after="0" w:line="189" w:lineRule="exact"/>
        <w:rPr>
          <w:sz w:val="20"/>
          <w:szCs w:val="20"/>
          <w:color w:val="auto"/>
        </w:rPr>
      </w:pPr>
    </w:p>
    <w:p>
      <w:pPr>
        <w:jc w:val="both"/>
        <w:ind w:right="60" w:firstLine="569"/>
        <w:spacing w:after="0" w:line="250" w:lineRule="auto"/>
        <w:rPr>
          <w:sz w:val="20"/>
          <w:szCs w:val="20"/>
          <w:color w:val="auto"/>
        </w:rPr>
      </w:pPr>
      <w:r>
        <w:rPr>
          <w:rFonts w:ascii="Times New Roman" w:cs="Times New Roman" w:eastAsia="Times New Roman" w:hAnsi="Times New Roman"/>
          <w:sz w:val="18"/>
          <w:szCs w:val="18"/>
          <w:color w:val="auto"/>
        </w:rPr>
        <w:t>KDS operating income for the 2022 third quarter and first nine months increased 102% and 149%, respectively, compared with the 2021 third quarter and first nine months. The 2022 third quarter operating margin was 7.1% compared with 4.2% for the 2021 third quarter. The 2022 first nine months operating margin was 5.8% compared to 2.9% for the 2021 first nine months. The results reflect increased business levels in both the commercial and industrial and oil and gas markets.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175" w:lineRule="exact"/>
        <w:rPr>
          <w:sz w:val="20"/>
          <w:szCs w:val="20"/>
          <w:color w:val="auto"/>
        </w:rPr>
      </w:pPr>
    </w:p>
    <w:p>
      <w:pPr>
        <w:jc w:val="both"/>
        <w:ind w:right="60" w:firstLine="562"/>
        <w:spacing w:after="0" w:line="258" w:lineRule="auto"/>
        <w:rPr>
          <w:sz w:val="20"/>
          <w:szCs w:val="20"/>
          <w:color w:val="auto"/>
        </w:rPr>
      </w:pPr>
      <w:r>
        <w:rPr>
          <w:rFonts w:ascii="Times New Roman" w:cs="Times New Roman" w:eastAsia="Times New Roman" w:hAnsi="Times New Roman"/>
          <w:sz w:val="18"/>
          <w:szCs w:val="18"/>
          <w:color w:val="auto"/>
        </w:rPr>
        <w:t>The Company reported a net gain on disposition of assets of $0.4 million for the 2022 third quarter and $0.8 million for the 2021 third quarter. The Company reported a net gain on disposition of assets of $8.0 million for the 2022 first nine months and $5.1 million for the 2021 first nine months. The net gains were primarily from sales of marine transportation equipment.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impairments, other income, noncontrolling interests, and interest expense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94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9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(340,713</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(340,713</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9180 %</w:t>
            </w: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(11,755 )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(10,500 )</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(32,598 )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(32,172 )</w:t>
            </w:r>
          </w:p>
        </w:tc>
        <w:tc>
          <w:tcPr>
            <w:tcW w:w="3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Impairments</w:t>
      </w:r>
    </w:p>
    <w:p>
      <w:pPr>
        <w:spacing w:after="0" w:line="189" w:lineRule="exact"/>
        <w:rPr>
          <w:sz w:val="20"/>
          <w:szCs w:val="20"/>
          <w:color w:val="auto"/>
        </w:rPr>
      </w:pPr>
    </w:p>
    <w:p>
      <w:pPr>
        <w:jc w:val="both"/>
        <w:ind w:right="80" w:firstLine="562"/>
        <w:spacing w:after="0" w:line="266" w:lineRule="auto"/>
        <w:rPr>
          <w:sz w:val="20"/>
          <w:szCs w:val="20"/>
          <w:color w:val="auto"/>
        </w:rPr>
      </w:pPr>
      <w:r>
        <w:rPr>
          <w:rFonts w:ascii="Times New Roman" w:cs="Times New Roman" w:eastAsia="Times New Roman" w:hAnsi="Times New Roman"/>
          <w:sz w:val="18"/>
          <w:szCs w:val="18"/>
          <w:color w:val="auto"/>
        </w:rPr>
        <w:t>For 2021, impairments includes $340.7 million before taxes, $275.1 million after taxes, or $4.58 per share, non-cash charges related to impairment of long-lived assets related to coastal marine transportation equipment and impairment of goodwill in the marine transportation segment.</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jc w:val="both"/>
        <w:ind w:right="60" w:firstLine="562"/>
        <w:spacing w:after="0" w:line="250" w:lineRule="auto"/>
        <w:rPr>
          <w:sz w:val="20"/>
          <w:szCs w:val="20"/>
          <w:color w:val="auto"/>
        </w:rPr>
      </w:pPr>
      <w:r>
        <w:rPr>
          <w:rFonts w:ascii="Times New Roman" w:cs="Times New Roman" w:eastAsia="Times New Roman" w:hAnsi="Times New Roman"/>
          <w:sz w:val="18"/>
          <w:szCs w:val="18"/>
          <w:color w:val="auto"/>
        </w:rPr>
        <w:t>Other income for the 2022 and 2021 third quarters include income of $3.5 million and $1.7 million, respectively, and the 2022 and 2021 first nine months include income of $10.3 million and $6.0 million, respectively, for all components of net benefit costs except the service cost component related to the Company’s defined benefit plans. Other income for the 2022 first nine months also reflects lower interest income compared to the 2021 first nine months related to the Company's federal income tax refunds.</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1,228,759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1,238,263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1,185,426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1,328,830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3.7 %</w:t>
            </w: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3.6 %</w:t>
            </w:r>
          </w:p>
        </w:tc>
        <w:tc>
          <w:tcPr>
            <w:tcW w:w="3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549"/>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09" w:right="279" w:bottom="1440" w:gutter="0" w:footer="0" w:header="0"/>
        </w:sectPr>
      </w:pPr>
    </w:p>
    <w:bookmarkStart w:id="25" w:name="page26"/>
    <w:bookmarkEnd w:id="25"/>
    <w:p>
      <w:pPr>
        <w:jc w:val="both"/>
        <w:ind w:right="60" w:firstLine="569"/>
        <w:spacing w:after="0" w:line="250" w:lineRule="auto"/>
        <w:rPr>
          <w:sz w:val="20"/>
          <w:szCs w:val="20"/>
          <w:color w:val="auto"/>
        </w:rPr>
      </w:pPr>
      <w:r>
        <w:rPr>
          <w:rFonts w:ascii="Times New Roman" w:cs="Times New Roman" w:eastAsia="Times New Roman" w:hAnsi="Times New Roman"/>
          <w:sz w:val="18"/>
          <w:szCs w:val="18"/>
          <w:color w:val="auto"/>
        </w:rPr>
        <w:t>Interest expense for the 2022 third quarter and first nine months increased 12% and 1%, respectively, compared with the 2021 third quarter and first nine months, primarily due to a higher average interest rate, partially offset by a lower average debt outstanding as a result of debt repayments during 2021 and 2022. There was no capitalized interest excluded from interest expense during the 2022 or 2021 first nine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the balance sheets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5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1,126,382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1,003,865</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3,640,690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3,678,515</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167,730</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intangibles,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50,135</w:t>
            </w:r>
          </w:p>
        </w:tc>
        <w:tc>
          <w:tcPr>
            <w:tcW w:w="170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5,456,298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570,561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543,772</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1,161,433</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604,596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574,152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159,672</w:t>
            </w: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2,975,363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2,888,782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5,456,298</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-1439545</wp:posOffset>
            </wp:positionV>
            <wp:extent cx="76835"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-1439545</wp:posOffset>
            </wp:positionV>
            <wp:extent cx="6858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7" w:lineRule="exact"/>
        <w:rPr>
          <w:sz w:val="20"/>
          <w:szCs w:val="20"/>
          <w:color w:val="auto"/>
        </w:rPr>
      </w:pPr>
    </w:p>
    <w:p>
      <w:pPr>
        <w:jc w:val="both"/>
        <w:ind w:right="60" w:firstLine="562"/>
        <w:spacing w:after="0" w:line="246" w:lineRule="auto"/>
        <w:rPr>
          <w:sz w:val="20"/>
          <w:szCs w:val="20"/>
          <w:color w:val="auto"/>
        </w:rPr>
      </w:pPr>
      <w:r>
        <w:rPr>
          <w:rFonts w:ascii="Times New Roman" w:cs="Times New Roman" w:eastAsia="Times New Roman" w:hAnsi="Times New Roman"/>
          <w:sz w:val="18"/>
          <w:szCs w:val="18"/>
          <w:color w:val="auto"/>
        </w:rPr>
        <w:t>Current assets as of September 30, 2022 increased 12% compared with December 31, 2021. Trade accounts receivable increased 16%, primarily due to increased business activity levels in both KMT and KDS. Other accounts receivable decreased 11%, primarily due to recoveries on the settlement of insurance claims. Inventories increased by 18% due to higher activity and the impact of supply chain delays in KDS resulting in buildup for projects that will be delivered later in 2022 and into 2023. Prepaid expenses and other current assets increased 16% primarily due to the increase in the price of diesel fuel purchased in September 2022.</w:t>
      </w:r>
    </w:p>
    <w:p>
      <w:pPr>
        <w:spacing w:after="0" w:line="154" w:lineRule="exact"/>
        <w:rPr>
          <w:sz w:val="20"/>
          <w:szCs w:val="20"/>
          <w:color w:val="auto"/>
        </w:rPr>
      </w:pPr>
    </w:p>
    <w:p>
      <w:pPr>
        <w:jc w:val="both"/>
        <w:ind w:right="60" w:firstLine="562"/>
        <w:spacing w:after="0" w:line="250" w:lineRule="auto"/>
        <w:rPr>
          <w:sz w:val="20"/>
          <w:szCs w:val="20"/>
          <w:color w:val="auto"/>
        </w:rPr>
      </w:pPr>
      <w:r>
        <w:rPr>
          <w:rFonts w:ascii="Times New Roman" w:cs="Times New Roman" w:eastAsia="Times New Roman" w:hAnsi="Times New Roman"/>
          <w:sz w:val="18"/>
          <w:szCs w:val="18"/>
          <w:color w:val="auto"/>
        </w:rPr>
        <w:t>Property and equipment, net of accumulated depreciation, at September 30, 2022 decreased 1% compared with December 31, 2021. The decrease reflected $144.8 million of depreciation expense and $26.0 million of property disposals, partially offset by $129.1 million of capital additions (including an increase in accrued capital expenditures of $8.5 million) and an acquisition for $3.9 million during the 2022 first nine months, more fully described under Cash Flows and Capital Expenditures below.</w:t>
      </w:r>
    </w:p>
    <w:p>
      <w:pPr>
        <w:spacing w:after="0" w:line="150" w:lineRule="exact"/>
        <w:rPr>
          <w:sz w:val="20"/>
          <w:szCs w:val="20"/>
          <w:color w:val="auto"/>
        </w:rPr>
      </w:pPr>
    </w:p>
    <w:p>
      <w:pPr>
        <w:jc w:val="both"/>
        <w:ind w:right="60" w:firstLine="562"/>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as of September 30, 2022 decreased 8% compared to December 31, 2021, primarily due to lease amortization expense, partially offset by new leases acquired during the 2022 first nine months.</w:t>
      </w:r>
    </w:p>
    <w:p>
      <w:pPr>
        <w:spacing w:after="0" w:line="135" w:lineRule="exact"/>
        <w:rPr>
          <w:sz w:val="20"/>
          <w:szCs w:val="20"/>
          <w:color w:val="auto"/>
        </w:rPr>
      </w:pPr>
    </w:p>
    <w:p>
      <w:pPr>
        <w:jc w:val="both"/>
        <w:ind w:right="60" w:firstLine="562"/>
        <w:spacing w:after="0" w:line="266" w:lineRule="auto"/>
        <w:rPr>
          <w:sz w:val="20"/>
          <w:szCs w:val="20"/>
          <w:color w:val="auto"/>
        </w:rPr>
      </w:pPr>
      <w:r>
        <w:rPr>
          <w:rFonts w:ascii="Times New Roman" w:cs="Times New Roman" w:eastAsia="Times New Roman" w:hAnsi="Times New Roman"/>
          <w:sz w:val="18"/>
          <w:szCs w:val="18"/>
          <w:color w:val="auto"/>
        </w:rPr>
        <w:t>Other intangibles, net, as of September 30, 2022 decreased 11% compared with December 31, 2021, primarily due to amortization during the 2022 first nine months.</w:t>
      </w:r>
    </w:p>
    <w:p>
      <w:pPr>
        <w:spacing w:after="0" w:line="135" w:lineRule="exact"/>
        <w:rPr>
          <w:sz w:val="20"/>
          <w:szCs w:val="20"/>
          <w:color w:val="auto"/>
        </w:rPr>
      </w:pPr>
    </w:p>
    <w:p>
      <w:pPr>
        <w:jc w:val="both"/>
        <w:ind w:right="60" w:firstLine="562"/>
        <w:spacing w:after="0" w:line="266" w:lineRule="auto"/>
        <w:rPr>
          <w:sz w:val="20"/>
          <w:szCs w:val="20"/>
          <w:color w:val="auto"/>
        </w:rPr>
      </w:pPr>
      <w:r>
        <w:rPr>
          <w:rFonts w:ascii="Times New Roman" w:cs="Times New Roman" w:eastAsia="Times New Roman" w:hAnsi="Times New Roman"/>
          <w:sz w:val="18"/>
          <w:szCs w:val="18"/>
          <w:color w:val="auto"/>
        </w:rPr>
        <w:t>Other assets as of September 30, 2022 decreased 14% compared with December 31, 2021, primarily due to amortization of drydock expenditures, partially offset by additional deferred major maintenance drydock expenditures incurred during the 2022 first nine months.</w:t>
      </w:r>
    </w:p>
    <w:p>
      <w:pPr>
        <w:spacing w:after="0" w:line="122" w:lineRule="exact"/>
        <w:rPr>
          <w:sz w:val="20"/>
          <w:szCs w:val="20"/>
          <w:color w:val="auto"/>
        </w:rPr>
      </w:pPr>
    </w:p>
    <w:p>
      <w:pPr>
        <w:jc w:val="both"/>
        <w:ind w:right="60" w:firstLine="569"/>
        <w:spacing w:after="0" w:line="258" w:lineRule="auto"/>
        <w:rPr>
          <w:sz w:val="20"/>
          <w:szCs w:val="20"/>
          <w:color w:val="auto"/>
        </w:rPr>
      </w:pPr>
      <w:r>
        <w:rPr>
          <w:rFonts w:ascii="Times New Roman" w:cs="Times New Roman" w:eastAsia="Times New Roman" w:hAnsi="Times New Roman"/>
          <w:sz w:val="18"/>
          <w:szCs w:val="18"/>
          <w:color w:val="auto"/>
        </w:rPr>
        <w:t>Current liabilities as of September 30, 2022 increased 5% compared with December 31, 2021. Accounts payable increased 21% primarily due to increased activity levels in KMT and KDS. Deferred revenue increased 13% primarily due to deposits on equipment expected to be shipped in the 2022 fourth quarter and into 2023 in KDS. Accrued liabilities decreased 11% primarily due to the settlement of insurance claims.</w:t>
      </w:r>
    </w:p>
    <w:p>
      <w:pPr>
        <w:spacing w:after="0" w:line="142" w:lineRule="exact"/>
        <w:rPr>
          <w:sz w:val="20"/>
          <w:szCs w:val="20"/>
          <w:color w:val="auto"/>
        </w:rPr>
      </w:pPr>
    </w:p>
    <w:p>
      <w:pPr>
        <w:jc w:val="both"/>
        <w:ind w:right="80" w:firstLine="562"/>
        <w:spacing w:after="0" w:line="266" w:lineRule="auto"/>
        <w:rPr>
          <w:sz w:val="20"/>
          <w:szCs w:val="20"/>
          <w:color w:val="auto"/>
        </w:rPr>
      </w:pPr>
      <w:r>
        <w:rPr>
          <w:rFonts w:ascii="Times New Roman" w:cs="Times New Roman" w:eastAsia="Times New Roman" w:hAnsi="Times New Roman"/>
          <w:sz w:val="18"/>
          <w:szCs w:val="18"/>
          <w:color w:val="auto"/>
        </w:rPr>
        <w:t>Long-term debt, net – less current portion, as of September 30, 2022 decreased 4% compared with December 31, 2021, primarily reflecting repayments under the term loan partially offset by borrowings under the 2027 Revolving Credit Facility.</w:t>
      </w:r>
    </w:p>
    <w:p>
      <w:pPr>
        <w:spacing w:after="0" w:line="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3" w:right="279" w:bottom="1440" w:gutter="0" w:footer="0" w:header="0"/>
        </w:sectPr>
      </w:pPr>
    </w:p>
    <w:bookmarkStart w:id="26" w:name="page27"/>
    <w:bookmarkEnd w:id="26"/>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Deferred income taxes as of September 30, 2022 increased 5% compared with December 31, 2021, primarily reflecting the deferred tax provision of $26.0 million.</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Operating lease liabilities – less current portion, as of September 30, 2022 decreased 10% compared to December 31, 2021, primarily due to lease payments made, partially offset by new leases acquired and liability accretion during the 2022 first nine months.</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Other long-term liabilities as of September 30, 2022 decreased 34% compared with December 31, 2021, primarily due to amortization of intangible liabilities and a decrease in pension liabilities.</w:t>
      </w:r>
    </w:p>
    <w:p>
      <w:pPr>
        <w:spacing w:after="0" w:line="135"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Total equity as of September 30, 2022 increased 3% compared with December 31, 2021. The increase was primarily due to the net earnings attributable to Kirby of $85.0 million, amortization of share-based compensation of $11.4 million, and stock option exercises of $3.9 million, partially offset by treasury stock purchases of $22.9 million and tax withholdings of $3.2 million on restricted stock and RSU vestings.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 due March 27, 2024 (b)</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 line due June 30, 2024</w:t>
            </w:r>
          </w:p>
        </w:tc>
        <w:tc>
          <w:tcPr>
            <w:tcW w:w="1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18"/>
                <w:szCs w:val="18"/>
                <w:color w:val="auto"/>
              </w:rPr>
            </w:pPr>
          </w:p>
        </w:tc>
      </w:tr>
      <w:tr>
        <w:trPr>
          <w:trHeight w:val="209"/>
        </w:trPr>
        <w:tc>
          <w:tcPr>
            <w:tcW w:w="8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1,123,599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1,166,934</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Unamortized debt discounts and issuance costs (c)</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(5,140 )</w:t>
            </w: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(3,567 )</w:t>
            </w:r>
          </w:p>
        </w:tc>
      </w:tr>
      <w:tr>
        <w:trPr>
          <w:trHeight w:val="250"/>
        </w:trPr>
        <w:tc>
          <w:tcPr>
            <w:tcW w:w="8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1,118,459</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1,163,367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-25400</wp:posOffset>
            </wp:positionV>
            <wp:extent cx="774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940" w:hanging="370"/>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4.5% at September 30, 2022.</w:t>
      </w:r>
    </w:p>
    <w:p>
      <w:pPr>
        <w:spacing w:after="0" w:line="27" w:lineRule="exact"/>
        <w:rPr>
          <w:rFonts w:ascii="Times New Roman" w:cs="Times New Roman" w:eastAsia="Times New Roman" w:hAnsi="Times New Roman"/>
          <w:sz w:val="18"/>
          <w:szCs w:val="18"/>
          <w:color w:val="auto"/>
        </w:rPr>
      </w:pPr>
    </w:p>
    <w:p>
      <w:pPr>
        <w:ind w:left="940" w:hanging="370"/>
        <w:spacing w:after="0" w:line="23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1.5% at December 31, 2021.</w:t>
      </w:r>
    </w:p>
    <w:p>
      <w:pPr>
        <w:ind w:left="940" w:hanging="370"/>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$1.4 million attributable to the 2024 Revolving Credit Facility included in other assets at December 31, 2021.</w:t>
      </w:r>
    </w:p>
    <w:p>
      <w:pPr>
        <w:spacing w:after="0" w:line="165"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At the beginning of the third quarter of 2022, the Company had in place its 2024 Credit Agreement with a group of commercial banks, with JPMorgan Chase Bank, N.A. as the administrative agent bank, that allowed for an $850 million 2024 Revolving Credit Facility and a 2024 Term Loan with a maturity date of March 27, 2024. The 2024 Term Loan was prepayable, in whole or in part, without penalty.</w:t>
      </w:r>
    </w:p>
    <w:p>
      <w:pPr>
        <w:spacing w:after="0" w:line="150" w:lineRule="exact"/>
        <w:rPr>
          <w:sz w:val="20"/>
          <w:szCs w:val="20"/>
          <w:color w:val="auto"/>
        </w:rPr>
      </w:pPr>
    </w:p>
    <w:p>
      <w:pPr>
        <w:jc w:val="both"/>
        <w:ind w:firstLine="562"/>
        <w:spacing w:after="0" w:line="241" w:lineRule="auto"/>
        <w:rPr>
          <w:sz w:val="20"/>
          <w:szCs w:val="20"/>
          <w:color w:val="auto"/>
        </w:rPr>
      </w:pPr>
      <w:r>
        <w:rPr>
          <w:rFonts w:ascii="Times New Roman" w:cs="Times New Roman" w:eastAsia="Times New Roman" w:hAnsi="Times New Roman"/>
          <w:sz w:val="18"/>
          <w:szCs w:val="18"/>
          <w:color w:val="auto"/>
        </w:rPr>
        <w:t>On July 29, 2022, the 2024 Credit Agreement was replaced with the 2027 Credit Agreement with a group of commercial banks, with JPMorgan Chase Bank, N.A. as the administrative agent bank that allows for the $500 million 2027 Revolving Credit Facility and the 2027 Term Loan with a maturity date of July 29, 2027. In conjunction with entering into the 2027 Credit Agreement, on July 29, 2022, the Company borrowed $35 million under the 2027 Revolving Credit Facility and $250 million under the 2027 Term Loan to repay borrowings under the 2024 Term Loan. In October 2022, the Company repaid $20.0 million under the 2027 Term Loan prior to scheduled maturities. As a result, no repayments are required until September 30, 2023. The 2027 Term Loan is repayable in quarterly installments, scheduled to commence September 30, 2023, in increasing percentages of the original principal amount of the loan, with the remaining unpaid balance of approximately $43.8 million payable upon maturity, assuming no prepayment. The 2027 Term Loan quarterly installments are excluded from short term liabilities because the Company has the ability and intent to refinance these quarterly installments under the 2027 Revolving Credit Facility. The 2027 Term Loan is prepayable, in whole or in part, without penalty. The 2027 Revolving Credit Facility includes a $25 million commitment which may be used for standby letters of credit. Outstanding letters of credit under the 2027 Revolving Credit Facility were $5.1 million and available borrowing capacity was $474.9 million as of September 30, 2022. Outstanding letters of credit under the $10 million credit line were $1.4 million and available borrowing capacity was $8.6 million as of September 30, 2022.</w:t>
      </w:r>
    </w:p>
    <w:p>
      <w:pPr>
        <w:spacing w:after="0" w:line="165"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2033 Notes with a group of institutional investors, consisting of $60 million of 3.46% Series A Notes and $240 million of 3.51% Series B Notes, each due January 19, 2033. The Series A Notes were issued on October 20, 2022, and the Series B Notes are scheduled to be issued on January 19, 2023. No principal payments will be required until maturity. Beginning in 2023, interest payments of $5.3 million will be due semi-annually on January 19 and July 19 of each year, with the exception of the first payment on January 19, 2023, which will be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$0.5 million. The 2023 Notes are excluded from short term liabilities because the Company intends to use a combination of the proceeds from the issuance of the 2033 Notes and availability under the 2027 Revolving Credit Facility to repay the 2023 Notes upon maturity.</w:t>
      </w:r>
    </w:p>
    <w:p>
      <w:pPr>
        <w:spacing w:after="0" w:line="135"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As of September 30, 2022, the Company was in compliance with all covenants under its debt instruments. For additional information about the Company’s debt instruments, see Note 5, Long-Term Debt, in the financial statements as well as Note 5, Long-Term Debt, in the Company’s Annual Report on Form 10-K for the year ended December 31,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Capital Expenditures</w:t>
      </w:r>
    </w:p>
    <w:p>
      <w:pPr>
        <w:spacing w:after="0" w:line="189" w:lineRule="exact"/>
        <w:rPr>
          <w:sz w:val="20"/>
          <w:szCs w:val="20"/>
          <w:color w:val="auto"/>
        </w:rPr>
      </w:pPr>
    </w:p>
    <w:p>
      <w:pPr>
        <w:jc w:val="both"/>
        <w:ind w:firstLine="569"/>
        <w:spacing w:after="0" w:line="242" w:lineRule="auto"/>
        <w:rPr>
          <w:sz w:val="20"/>
          <w:szCs w:val="20"/>
          <w:color w:val="auto"/>
        </w:rPr>
      </w:pPr>
      <w:r>
        <w:rPr>
          <w:rFonts w:ascii="Times New Roman" w:cs="Times New Roman" w:eastAsia="Times New Roman" w:hAnsi="Times New Roman"/>
          <w:sz w:val="18"/>
          <w:szCs w:val="18"/>
          <w:color w:val="auto"/>
        </w:rPr>
        <w:t>The Company generated positive operating cash flows during the 2022 first nine months with net cash provided by operating activities of $161.2 million compared with $280.4 million for the 2021 first nine months, a 43% decrease. The decrease was primarily due to a tax refund of $119.5 million, including accrued interest, for the Company’s 2019 federal tax return which was received in the 2021 first quarter. In addition, increased revenues and operating income in KMT and KDS during the 2022 first nine months were offset by increased inventory levels due to higher activity and managing supply chain challenges seen especially in KDS during the 2022 first nine months. Increases in KMT revenues and operating income were driven by increased barge utilization and higher term and spot contract pricing in the inland and coastal markets during the 2022 first nine months. The 2021 first nine months KMT revenues and operating income were also negatively impacted by the impacts of Winter Storm Uri in February 2021 and Hurricane Ida in the 2021 third quarter. During the 2022 and 2021 third quarters and first nine months, the Company generated cash of $32.9 million and $39.2 million, respectively, from proceeds from the disposition of assets, and $3.9 million and $0.6 million, respectively, from proceeds from the exercise of stock options.</w:t>
      </w:r>
    </w:p>
    <w:p>
      <w:pPr>
        <w:spacing w:after="0" w:line="160"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For the 2022 first nine months, cash generated was used for capital expenditures of $120.3 million, including $6.8 million for inland towboat construction and $113.5 million primarily for upgrading existing marine equipment and KMT and KDS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175" w:lineRule="exact"/>
        <w:rPr>
          <w:sz w:val="20"/>
          <w:szCs w:val="20"/>
          <w:color w:val="auto"/>
        </w:rPr>
      </w:pPr>
    </w:p>
    <w:p>
      <w:pPr>
        <w:jc w:val="both"/>
        <w:ind w:firstLine="569"/>
        <w:spacing w:after="0" w:line="245" w:lineRule="auto"/>
        <w:rPr>
          <w:sz w:val="20"/>
          <w:szCs w:val="20"/>
          <w:color w:val="auto"/>
        </w:rPr>
      </w:pPr>
      <w:r>
        <w:rPr>
          <w:rFonts w:ascii="Times New Roman" w:cs="Times New Roman" w:eastAsia="Times New Roman" w:hAnsi="Times New Roman"/>
          <w:sz w:val="18"/>
          <w:szCs w:val="18"/>
          <w:color w:val="auto"/>
        </w:rPr>
        <w:t>During the 2022 first nine months, the Company purchased 0.4 million shares of its common stock for $22.9 million, at an average price of $59.32 per share. As of November 3, 2022, the Company had approximately 1.0 million shares available under its existing repurchase authorization. Historically, treasury stock purchases have been financed through operating cash flows and borrowings under the Company’s then current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jc w:val="both"/>
        <w:ind w:right="20" w:firstLine="562"/>
        <w:spacing w:after="0" w:line="250"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November 3, 2022 the Company also had cash equivalents of $114 million, availability of $494.9 million under its 2027 Revolving Credit Facility, and $8.6 million available under its credit line.</w:t>
      </w:r>
    </w:p>
    <w:p>
      <w:pPr>
        <w:spacing w:after="0" w:line="150"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3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129"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matures July 29, 2027. The 2023 Notes do not mature until February 27, 2023 and require no prepayments. The Company intends to use a combination of the proceeds from the issuance of the 2033 Notes and availability under the 2027 Revolving Credit Facility to repay the 2023 Notes upon maturity. The 4.2% senior unsecured notes do not mature until March 1, 2028 and require no prepayments. The 2027 Term Loan in the amount of $250 million is subject to quarterly installments, beginning September 30, 2023,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39"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flows in 2022. For a list of significant risks and uncertainties that could impact cash flows, see Note 14, Contingencies and Commitments, in the financial statements, and Item 1A — Risk Factors and Note 14, Contingencies and Commitments, in the Company’s Annual Report on Form 10-K for the year ended December 31, 2021. Amounts available under the Company’s existing financial arrangements are subject to the Company continuing to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meet the covenants of the credit facilities as described in Note 5, Long-Term Debt, in the financial statements as well as Note 5, Long-Term Debt, in the Company’s Annual Report on Form 10-K for the year ended December 31, 2021.</w:t>
      </w:r>
    </w:p>
    <w:p>
      <w:pPr>
        <w:spacing w:after="0" w:line="135" w:lineRule="exact"/>
        <w:rPr>
          <w:sz w:val="20"/>
          <w:szCs w:val="20"/>
          <w:color w:val="auto"/>
        </w:rPr>
      </w:pPr>
    </w:p>
    <w:p>
      <w:pPr>
        <w:jc w:val="both"/>
        <w:ind w:firstLine="569"/>
        <w:spacing w:after="0" w:line="246"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$20.1 million at September 30, 2022, including $12.1 million in letters of credit and $8.0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41"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18"/>
          <w:szCs w:val="18"/>
          <w:color w:val="auto"/>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153"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While inflationary pressures have increased in the second half of 2021 and into 2022, 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limits exposure to inflation. The repair portion of KDS is based on prevailing current market rates.</w:t>
      </w:r>
    </w:p>
    <w:p>
      <w:pPr>
        <w:spacing w:after="0" w:line="1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The Company is exposed to risk from changes in interest rates on certain of its outstanding debt. The outstanding loan balances under the Company’s current bank credit facilities bear interest at variable rates based on prevailing short-term interest rates in the United States, while the previous bank credit facilities also included Europe. A 1% increase in variable interest rates would impact the 2022 interest expense by $3.2 million based on balances outstanding at December 31, 2021, and would change the fair value of the Company’s debt by approximately 3%.</w:t>
      </w:r>
    </w:p>
    <w:p>
      <w:pPr>
        <w:spacing w:after="0" w:line="1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3"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September 30, 2022, as required by Rule 13a-15(b) under the Exchange Act. Based on that evaluation, the Chief Executive Officer and the Chief Financial Officer concluded that, as of September 30, 2022,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4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562"/>
        <w:spacing w:after="0" w:line="251"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September 30, 2022 that have materially affected, or are reasonably likely to materially affect, the Company’s internal control over financial reporting.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Note 14, Contingencies and Commitments, of the Notes to Condensed Financial Statements (Unaudited).</w:t>
      </w:r>
    </w:p>
    <w:p>
      <w:pPr>
        <w:spacing w:after="0" w:line="18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the Company’s Annual Report on Form 10-K for the year ended December 31, 2021.</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6"/>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7"/>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34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 July 31, 2022</w:t>
            </w: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80" w:type="dxa"/>
            <w:vAlign w:val="bottom"/>
            <w:tcBorders>
              <w:top w:val="single" w:sz="8" w:color="auto"/>
              <w:right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August 1 — August 31, 2022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220" w:type="dxa"/>
            <w:vAlign w:val="bottom"/>
          </w:tcPr>
          <w:p>
            <w:pPr>
              <w:spacing w:after="0"/>
              <w:rPr>
                <w:sz w:val="18"/>
                <w:szCs w:val="18"/>
                <w:color w:val="auto"/>
              </w:rPr>
            </w:pP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2022</w:t>
            </w:r>
          </w:p>
        </w:tc>
        <w:tc>
          <w:tcPr>
            <w:tcW w:w="140" w:type="dxa"/>
            <w:vAlign w:val="bottom"/>
            <w:tcBorders>
              <w:bottom w:val="single" w:sz="8" w:color="auto"/>
            </w:tcBorders>
            <w:gridSpan w:val="2"/>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3"/>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left w:val="single" w:sz="8" w:color="CFF0FC"/>
              <w:bottom w:val="single" w:sz="8" w:color="CFF0FC"/>
            </w:tcBorders>
            <w:shd w:val="clear" w:color="auto" w:fill="CFF0FC"/>
          </w:tcPr>
          <w:p>
            <w:pPr>
              <w:spacing w:after="0"/>
              <w:rPr>
                <w:sz w:val="18"/>
                <w:szCs w:val="18"/>
                <w:color w:val="auto"/>
              </w:rPr>
            </w:pPr>
          </w:p>
        </w:tc>
        <w:tc>
          <w:tcPr>
            <w:tcW w:w="80" w:type="dxa"/>
            <w:vAlign w:val="bottom"/>
            <w:tcBorders>
              <w:bottom w:val="single" w:sz="8" w:color="auto"/>
              <w:right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76,044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220" w:type="dxa"/>
            <w:vAlign w:val="bottom"/>
          </w:tcPr>
          <w:p>
            <w:pPr>
              <w:spacing w:after="0"/>
              <w:rPr>
                <w:sz w:val="18"/>
                <w:szCs w:val="18"/>
                <w:color w:val="auto"/>
              </w:rPr>
            </w:pPr>
          </w:p>
        </w:tc>
        <w:tc>
          <w:tcPr>
            <w:tcW w:w="14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240" w:type="dxa"/>
            <w:vAlign w:val="bottom"/>
            <w:gridSpan w:val="30"/>
          </w:tcPr>
          <w:p>
            <w:pPr>
              <w:ind w:left="580"/>
              <w:spacing w:after="0"/>
              <w:rPr>
                <w:sz w:val="20"/>
                <w:szCs w:val="20"/>
                <w:color w:val="auto"/>
              </w:rPr>
            </w:pPr>
            <w:r>
              <w:rPr>
                <w:rFonts w:ascii="Times New Roman" w:cs="Times New Roman" w:eastAsia="Times New Roman" w:hAnsi="Times New Roman"/>
                <w:sz w:val="18"/>
                <w:szCs w:val="18"/>
                <w:color w:val="auto"/>
              </w:rPr>
              <w:t>Purchases of the Company's common stock in August 2022 were made in the open market pursuant to a discretionary authorization by the Board of</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12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vMerge w:val="continue"/>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ind w:left="1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4"/>
                <w:szCs w:val="14"/>
                <w:color w:val="auto"/>
              </w:rPr>
            </w:pPr>
          </w:p>
        </w:tc>
        <w:tc>
          <w:tcPr>
            <w:tcW w:w="9860" w:type="dxa"/>
            <w:vAlign w:val="bottom"/>
            <w:gridSpan w:val="26"/>
            <w:shd w:val="clear" w:color="auto" w:fill="CFF0FC"/>
          </w:tcPr>
          <w:p>
            <w:pPr>
              <w:spacing w:after="0" w:line="169"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169"/>
        </w:trPr>
        <w:tc>
          <w:tcPr>
            <w:tcW w:w="8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5940" w:type="dxa"/>
            <w:vAlign w:val="bottom"/>
            <w:tcBorders>
              <w:top w:val="single" w:sz="8" w:color="0000FF"/>
            </w:tcBorders>
            <w:gridSpan w:val="13"/>
            <w:shd w:val="clear" w:color="auto" w:fill="CFF0FC"/>
          </w:tcPr>
          <w:p>
            <w:pPr>
              <w:spacing w:after="0" w:line="169" w:lineRule="exact"/>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Registrant’s Annual Report on Form 10-K for the year ended December 31, 2014).</w:t>
              </w:r>
            </w:hyperlink>
          </w:p>
        </w:tc>
        <w:tc>
          <w:tcPr>
            <w:tcW w:w="120" w:type="dxa"/>
            <w:vAlign w:val="bottom"/>
            <w:tcBorders>
              <w:top w:val="single" w:sz="8" w:color="0000FF"/>
            </w:tcBorders>
            <w:shd w:val="clear" w:color="auto" w:fill="CFF0FC"/>
          </w:tcPr>
          <w:p>
            <w:pPr>
              <w:spacing w:after="0"/>
              <w:rPr>
                <w:sz w:val="14"/>
                <w:szCs w:val="14"/>
                <w:color w:val="auto"/>
              </w:rPr>
            </w:pPr>
          </w:p>
        </w:tc>
        <w:tc>
          <w:tcPr>
            <w:tcW w:w="320" w:type="dxa"/>
            <w:vAlign w:val="bottom"/>
            <w:tcBorders>
              <w:top w:val="single" w:sz="8" w:color="0000FF"/>
            </w:tcBorders>
            <w:shd w:val="clear" w:color="auto" w:fill="CFF0FC"/>
          </w:tcPr>
          <w:p>
            <w:pPr>
              <w:spacing w:after="0"/>
              <w:rPr>
                <w:sz w:val="14"/>
                <w:szCs w:val="14"/>
                <w:color w:val="auto"/>
              </w:rPr>
            </w:pPr>
          </w:p>
        </w:tc>
        <w:tc>
          <w:tcPr>
            <w:tcW w:w="220" w:type="dxa"/>
            <w:vAlign w:val="bottom"/>
            <w:tcBorders>
              <w:top w:val="single" w:sz="8" w:color="0000FF"/>
            </w:tcBorders>
            <w:shd w:val="clear" w:color="auto" w:fill="CFF0FC"/>
          </w:tcPr>
          <w:p>
            <w:pPr>
              <w:spacing w:after="0"/>
              <w:rPr>
                <w:sz w:val="14"/>
                <w:szCs w:val="14"/>
                <w:color w:val="auto"/>
              </w:rPr>
            </w:pPr>
          </w:p>
        </w:tc>
        <w:tc>
          <w:tcPr>
            <w:tcW w:w="146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180" w:type="dxa"/>
            <w:vAlign w:val="bottom"/>
            <w:tcBorders>
              <w:top w:val="single" w:sz="8" w:color="0000FF"/>
              <w:left w:val="single" w:sz="8" w:color="CFF0FC"/>
            </w:tcBorders>
            <w:shd w:val="clear" w:color="auto" w:fill="CFF0FC"/>
          </w:tcPr>
          <w:p>
            <w:pPr>
              <w:spacing w:after="0"/>
              <w:rPr>
                <w:sz w:val="14"/>
                <w:szCs w:val="14"/>
                <w:color w:val="auto"/>
              </w:rPr>
            </w:pPr>
          </w:p>
        </w:tc>
        <w:tc>
          <w:tcPr>
            <w:tcW w:w="80" w:type="dxa"/>
            <w:vAlign w:val="bottom"/>
            <w:tcBorders>
              <w:top w:val="single" w:sz="8" w:color="0000FF"/>
              <w:right w:val="single" w:sz="8" w:color="CFF0FC"/>
            </w:tcBorders>
            <w:shd w:val="clear" w:color="auto" w:fill="CFF0FC"/>
          </w:tcPr>
          <w:p>
            <w:pPr>
              <w:spacing w:after="0"/>
              <w:rPr>
                <w:sz w:val="14"/>
                <w:szCs w:val="14"/>
                <w:color w:val="auto"/>
              </w:rPr>
            </w:pPr>
          </w:p>
        </w:tc>
        <w:tc>
          <w:tcPr>
            <w:tcW w:w="820" w:type="dxa"/>
            <w:vAlign w:val="bottom"/>
            <w:tcBorders>
              <w:top w:val="single" w:sz="8" w:color="0000FF"/>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0000FF"/>
            </w:tcBorders>
            <w:shd w:val="clear" w:color="auto" w:fill="CFF0FC"/>
          </w:tcPr>
          <w:p>
            <w:pPr>
              <w:spacing w:after="0" w:line="20" w:lineRule="exact"/>
              <w:rPr>
                <w:sz w:val="1"/>
                <w:szCs w:val="1"/>
                <w:color w:val="auto"/>
              </w:rPr>
            </w:pPr>
          </w:p>
        </w:tc>
        <w:tc>
          <w:tcPr>
            <w:tcW w:w="22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5"/>
                <w:szCs w:val="15"/>
                <w:color w:val="auto"/>
              </w:rPr>
            </w:pPr>
          </w:p>
        </w:tc>
        <w:tc>
          <w:tcPr>
            <w:tcW w:w="10220" w:type="dxa"/>
            <w:vAlign w:val="bottom"/>
            <w:gridSpan w:val="28"/>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8">
              <w:r>
                <w:rPr>
                  <w:rFonts w:ascii="Times New Roman" w:cs="Times New Roman" w:eastAsia="Times New Roman" w:hAnsi="Times New Roman"/>
                  <w:sz w:val="18"/>
                  <w:szCs w:val="18"/>
                  <w:color w:val="0000FF"/>
                </w:rPr>
                <w:t>Bylaws of the Company with all amendments to date (incorporated by reference to Exhibit 3.1 to the Registrant’s Current Report on</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2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308">
              <w:r>
                <w:rPr>
                  <w:rFonts w:ascii="Times New Roman" w:cs="Times New Roman" w:eastAsia="Times New Roman" w:hAnsi="Times New Roman"/>
                  <w:sz w:val="18"/>
                  <w:szCs w:val="18"/>
                  <w:color w:val="0000FF"/>
                  <w:w w:val="98"/>
                </w:rPr>
                <w:t>Form 8-K filed with the Commission on October 28, 2022).</w:t>
              </w:r>
            </w:hyperlink>
          </w:p>
        </w:tc>
        <w:tc>
          <w:tcPr>
            <w:tcW w:w="760" w:type="dxa"/>
            <w:vAlign w:val="bottom"/>
            <w:tcBorders>
              <w:top w:val="single" w:sz="8" w:color="0000FF"/>
            </w:tcBorders>
            <w:gridSpan w:val="4"/>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6"/>
                <w:szCs w:val="16"/>
                <w:color w:val="auto"/>
              </w:rPr>
            </w:pPr>
          </w:p>
        </w:tc>
        <w:tc>
          <w:tcPr>
            <w:tcW w:w="10220" w:type="dxa"/>
            <w:vAlign w:val="bottom"/>
            <w:gridSpan w:val="28"/>
          </w:tcPr>
          <w:p>
            <w:pPr>
              <w:ind w:left="120"/>
              <w:spacing w:after="0" w:line="191" w:lineRule="exact"/>
              <w:rPr>
                <w:sz w:val="20"/>
                <w:szCs w:val="20"/>
                <w:color w:val="auto"/>
              </w:rPr>
            </w:pPr>
            <w:r>
              <w:rPr>
                <w:rFonts w:ascii="Times New Roman" w:cs="Times New Roman" w:eastAsia="Times New Roman" w:hAnsi="Times New Roman"/>
                <w:sz w:val="18"/>
                <w:szCs w:val="18"/>
                <w:color w:val="auto"/>
              </w:rPr>
              <w:t>–  See Exhibits 3.1 and 3.2 hereof for provisions of our Restated Articles of Incorporation of the Company with all amendments to date</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60" w:type="dxa"/>
            <w:vAlign w:val="bottom"/>
            <w:gridSpan w:val="26"/>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the Bylaws of the Company with all amendments to date (incorporated, respectively, by reference to Exhibit </w:t>
            </w:r>
            <w:hyperlink r:id="rId307">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20" w:type="dxa"/>
            <w:vAlign w:val="bottom"/>
            <w:gridSpan w:val="19"/>
            <w:vMerge w:val="restart"/>
          </w:tcPr>
          <w:p>
            <w:pPr>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2014 and Exhibit </w:t>
            </w:r>
            <w:hyperlink r:id="rId309">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w:t>
            </w:r>
          </w:p>
        </w:tc>
        <w:tc>
          <w:tcPr>
            <w:tcW w:w="2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20" w:type="dxa"/>
            <w:vAlign w:val="bottom"/>
            <w:gridSpan w:val="19"/>
            <w:vMerge w:val="continue"/>
          </w:tcPr>
          <w:p>
            <w:pPr>
              <w:spacing w:after="0"/>
              <w:rPr>
                <w:sz w:val="14"/>
                <w:szCs w:val="14"/>
                <w:color w:val="auto"/>
              </w:rPr>
            </w:pPr>
          </w:p>
        </w:tc>
        <w:tc>
          <w:tcPr>
            <w:tcW w:w="17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auto"/>
              </w:rPr>
              <w:t>Report on Form 8-K</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filed with the Commission on October 28, 2022).</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15"/>
                <w:szCs w:val="15"/>
                <w:color w:val="auto"/>
              </w:rPr>
            </w:pPr>
          </w:p>
        </w:tc>
        <w:tc>
          <w:tcPr>
            <w:tcW w:w="10220" w:type="dxa"/>
            <w:vAlign w:val="bottom"/>
            <w:gridSpan w:val="28"/>
            <w:shd w:val="clear" w:color="auto" w:fill="CFF0FC"/>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0">
              <w:r>
                <w:rPr>
                  <w:rFonts w:ascii="Times New Roman" w:cs="Times New Roman" w:eastAsia="Times New Roman" w:hAnsi="Times New Roman"/>
                  <w:sz w:val="18"/>
                  <w:szCs w:val="18"/>
                  <w:color w:val="0000FF"/>
                </w:rPr>
                <w:t>Credit Agreement dated July 29, 2022 among Kirby Corporation, JPMorgan Chase Bank, N.A., as Administrative Agent, and the banks</w:t>
              </w:r>
            </w:hyperlink>
          </w:p>
        </w:tc>
        <w:tc>
          <w:tcPr>
            <w:tcW w:w="0" w:type="dxa"/>
            <w:vAlign w:val="bottom"/>
          </w:tcPr>
          <w:p>
            <w:pPr>
              <w:spacing w:after="0"/>
              <w:rPr>
                <w:sz w:val="1"/>
                <w:szCs w:val="1"/>
                <w:color w:val="auto"/>
              </w:rPr>
            </w:pPr>
          </w:p>
        </w:tc>
      </w:tr>
      <w:tr>
        <w:trPr>
          <w:trHeight w:val="169"/>
        </w:trPr>
        <w:tc>
          <w:tcPr>
            <w:tcW w:w="8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9780" w:type="dxa"/>
            <w:vAlign w:val="bottom"/>
            <w:tcBorders>
              <w:top w:val="single" w:sz="8" w:color="0000FF"/>
            </w:tcBorders>
            <w:gridSpan w:val="24"/>
            <w:shd w:val="clear" w:color="auto" w:fill="CFF0FC"/>
          </w:tcPr>
          <w:p>
            <w:pPr>
              <w:spacing w:after="0" w:line="169"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named therein (incorporated by reference to Exhibit 10.1 to the Registrant's Current Report on Form 8-K filed with the Commission on</w:t>
              </w:r>
            </w:hyperlink>
          </w:p>
        </w:tc>
        <w:tc>
          <w:tcPr>
            <w:tcW w:w="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3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060" w:type="dxa"/>
            <w:vAlign w:val="bottom"/>
            <w:tcBorders>
              <w:top w:val="single" w:sz="8" w:color="0000FF"/>
              <w:bottom w:val="single" w:sz="8" w:color="0000FF"/>
            </w:tcBorders>
            <w:shd w:val="clear" w:color="auto" w:fill="CFF0FC"/>
          </w:tcPr>
          <w:p>
            <w:pPr>
              <w:spacing w:after="0" w:line="169" w:lineRule="exact"/>
              <w:rPr>
                <w:rFonts w:ascii="Times New Roman" w:cs="Times New Roman" w:eastAsia="Times New Roman" w:hAnsi="Times New Roman"/>
                <w:sz w:val="18"/>
                <w:szCs w:val="18"/>
                <w:color w:val="0000FF"/>
                <w:w w:val="96"/>
              </w:rPr>
            </w:pPr>
            <w:hyperlink r:id="rId310">
              <w:r>
                <w:rPr>
                  <w:rFonts w:ascii="Times New Roman" w:cs="Times New Roman" w:eastAsia="Times New Roman" w:hAnsi="Times New Roman"/>
                  <w:sz w:val="18"/>
                  <w:szCs w:val="18"/>
                  <w:color w:val="0000FF"/>
                  <w:w w:val="96"/>
                </w:rPr>
                <w:t>July 29, 2022).</w:t>
              </w:r>
            </w:hyperlink>
          </w:p>
        </w:tc>
        <w:tc>
          <w:tcPr>
            <w:tcW w:w="2460" w:type="dxa"/>
            <w:vAlign w:val="bottom"/>
            <w:tcBorders>
              <w:top w:val="single" w:sz="8" w:color="0000FF"/>
              <w:bottom w:val="single" w:sz="8" w:color="CFF0FC"/>
            </w:tcBorders>
            <w:gridSpan w:val="4"/>
            <w:shd w:val="clear" w:color="auto" w:fill="CFF0FC"/>
          </w:tcPr>
          <w:p>
            <w:pPr>
              <w:spacing w:after="0"/>
              <w:rPr>
                <w:sz w:val="16"/>
                <w:szCs w:val="16"/>
                <w:color w:val="auto"/>
              </w:rPr>
            </w:pPr>
          </w:p>
        </w:tc>
        <w:tc>
          <w:tcPr>
            <w:tcW w:w="760" w:type="dxa"/>
            <w:vAlign w:val="bottom"/>
            <w:tcBorders>
              <w:top w:val="single" w:sz="8" w:color="0000FF"/>
              <w:bottom w:val="single" w:sz="8" w:color="CFF0FC"/>
            </w:tcBorders>
            <w:shd w:val="clear" w:color="auto" w:fill="CFF0FC"/>
          </w:tcPr>
          <w:p>
            <w:pPr>
              <w:spacing w:after="0"/>
              <w:rPr>
                <w:sz w:val="16"/>
                <w:szCs w:val="16"/>
                <w:color w:val="auto"/>
              </w:rPr>
            </w:pPr>
          </w:p>
        </w:tc>
        <w:tc>
          <w:tcPr>
            <w:tcW w:w="480" w:type="dxa"/>
            <w:vAlign w:val="bottom"/>
            <w:tcBorders>
              <w:top w:val="single" w:sz="8" w:color="0000FF"/>
              <w:bottom w:val="single" w:sz="8" w:color="CFF0FC"/>
            </w:tcBorders>
            <w:shd w:val="clear" w:color="auto" w:fill="CFF0FC"/>
          </w:tcPr>
          <w:p>
            <w:pPr>
              <w:spacing w:after="0"/>
              <w:rPr>
                <w:sz w:val="16"/>
                <w:szCs w:val="16"/>
                <w:color w:val="auto"/>
              </w:rPr>
            </w:pPr>
          </w:p>
        </w:tc>
        <w:tc>
          <w:tcPr>
            <w:tcW w:w="20" w:type="dxa"/>
            <w:vAlign w:val="bottom"/>
            <w:tcBorders>
              <w:top w:val="single" w:sz="8" w:color="0000FF"/>
              <w:bottom w:val="single" w:sz="8" w:color="CFF0FC"/>
            </w:tcBorders>
            <w:shd w:val="clear" w:color="auto" w:fill="CFF0FC"/>
          </w:tcPr>
          <w:p>
            <w:pPr>
              <w:spacing w:after="0"/>
              <w:rPr>
                <w:sz w:val="16"/>
                <w:szCs w:val="16"/>
                <w:color w:val="auto"/>
              </w:rPr>
            </w:pPr>
          </w:p>
        </w:tc>
        <w:tc>
          <w:tcPr>
            <w:tcW w:w="60" w:type="dxa"/>
            <w:vAlign w:val="bottom"/>
            <w:tcBorders>
              <w:top w:val="single" w:sz="8" w:color="0000FF"/>
              <w:bottom w:val="single" w:sz="8" w:color="CFF0FC"/>
            </w:tcBorders>
            <w:shd w:val="clear" w:color="auto" w:fill="CFF0FC"/>
          </w:tcPr>
          <w:p>
            <w:pPr>
              <w:spacing w:after="0"/>
              <w:rPr>
                <w:sz w:val="16"/>
                <w:szCs w:val="16"/>
                <w:color w:val="auto"/>
              </w:rPr>
            </w:pPr>
          </w:p>
        </w:tc>
        <w:tc>
          <w:tcPr>
            <w:tcW w:w="200" w:type="dxa"/>
            <w:vAlign w:val="bottom"/>
            <w:tcBorders>
              <w:top w:val="single" w:sz="8" w:color="0000FF"/>
              <w:bottom w:val="single" w:sz="8" w:color="CFF0FC"/>
            </w:tcBorders>
            <w:shd w:val="clear" w:color="auto" w:fill="CFF0FC"/>
          </w:tcPr>
          <w:p>
            <w:pPr>
              <w:spacing w:after="0"/>
              <w:rPr>
                <w:sz w:val="16"/>
                <w:szCs w:val="16"/>
                <w:color w:val="auto"/>
              </w:rPr>
            </w:pPr>
          </w:p>
        </w:tc>
        <w:tc>
          <w:tcPr>
            <w:tcW w:w="800" w:type="dxa"/>
            <w:vAlign w:val="bottom"/>
            <w:tcBorders>
              <w:top w:val="single" w:sz="8" w:color="0000FF"/>
              <w:bottom w:val="single" w:sz="8" w:color="CFF0FC"/>
            </w:tcBorders>
            <w:shd w:val="clear" w:color="auto" w:fill="CFF0FC"/>
          </w:tcPr>
          <w:p>
            <w:pPr>
              <w:spacing w:after="0"/>
              <w:rPr>
                <w:sz w:val="16"/>
                <w:szCs w:val="16"/>
                <w:color w:val="auto"/>
              </w:rPr>
            </w:pPr>
          </w:p>
        </w:tc>
        <w:tc>
          <w:tcPr>
            <w:tcW w:w="80" w:type="dxa"/>
            <w:vAlign w:val="bottom"/>
            <w:tcBorders>
              <w:top w:val="single" w:sz="8" w:color="0000FF"/>
              <w:bottom w:val="single" w:sz="8" w:color="CFF0FC"/>
            </w:tcBorders>
            <w:shd w:val="clear" w:color="auto" w:fill="CFF0FC"/>
          </w:tcPr>
          <w:p>
            <w:pPr>
              <w:spacing w:after="0"/>
              <w:rPr>
                <w:sz w:val="16"/>
                <w:szCs w:val="16"/>
                <w:color w:val="auto"/>
              </w:rPr>
            </w:pPr>
          </w:p>
        </w:tc>
        <w:tc>
          <w:tcPr>
            <w:tcW w:w="20" w:type="dxa"/>
            <w:vAlign w:val="bottom"/>
            <w:tcBorders>
              <w:top w:val="single" w:sz="8" w:color="0000FF"/>
              <w:bottom w:val="single" w:sz="8" w:color="CFF0FC"/>
            </w:tcBorders>
            <w:shd w:val="clear" w:color="auto" w:fill="CFF0FC"/>
          </w:tcPr>
          <w:p>
            <w:pPr>
              <w:spacing w:after="0"/>
              <w:rPr>
                <w:sz w:val="16"/>
                <w:szCs w:val="16"/>
                <w:color w:val="auto"/>
              </w:rPr>
            </w:pPr>
          </w:p>
        </w:tc>
        <w:tc>
          <w:tcPr>
            <w:tcW w:w="120" w:type="dxa"/>
            <w:vAlign w:val="bottom"/>
            <w:tcBorders>
              <w:top w:val="single" w:sz="8" w:color="0000FF"/>
              <w:bottom w:val="single" w:sz="8" w:color="CFF0FC"/>
            </w:tcBorders>
            <w:shd w:val="clear" w:color="auto" w:fill="CFF0FC"/>
          </w:tcPr>
          <w:p>
            <w:pPr>
              <w:spacing w:after="0"/>
              <w:rPr>
                <w:sz w:val="16"/>
                <w:szCs w:val="16"/>
                <w:color w:val="auto"/>
              </w:rPr>
            </w:pPr>
          </w:p>
        </w:tc>
        <w:tc>
          <w:tcPr>
            <w:tcW w:w="320" w:type="dxa"/>
            <w:vAlign w:val="bottom"/>
            <w:tcBorders>
              <w:top w:val="single" w:sz="8" w:color="0000FF"/>
              <w:bottom w:val="single" w:sz="8" w:color="CFF0FC"/>
            </w:tcBorders>
            <w:shd w:val="clear" w:color="auto" w:fill="CFF0FC"/>
          </w:tcPr>
          <w:p>
            <w:pPr>
              <w:spacing w:after="0"/>
              <w:rPr>
                <w:sz w:val="16"/>
                <w:szCs w:val="16"/>
                <w:color w:val="auto"/>
              </w:rPr>
            </w:pPr>
          </w:p>
        </w:tc>
        <w:tc>
          <w:tcPr>
            <w:tcW w:w="220" w:type="dxa"/>
            <w:vAlign w:val="bottom"/>
            <w:tcBorders>
              <w:top w:val="single" w:sz="8" w:color="0000FF"/>
              <w:bottom w:val="single" w:sz="8" w:color="CFF0FC"/>
            </w:tcBorders>
            <w:shd w:val="clear" w:color="auto" w:fill="CFF0FC"/>
          </w:tcPr>
          <w:p>
            <w:pPr>
              <w:spacing w:after="0"/>
              <w:rPr>
                <w:sz w:val="16"/>
                <w:szCs w:val="16"/>
                <w:color w:val="auto"/>
              </w:rPr>
            </w:pPr>
          </w:p>
        </w:tc>
        <w:tc>
          <w:tcPr>
            <w:tcW w:w="146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0000FF"/>
              <w:bottom w:val="single" w:sz="8" w:color="CFF0FC"/>
            </w:tcBorders>
            <w:shd w:val="clear" w:color="auto" w:fill="CFF0FC"/>
          </w:tcPr>
          <w:p>
            <w:pPr>
              <w:spacing w:after="0"/>
              <w:rPr>
                <w:sz w:val="16"/>
                <w:szCs w:val="16"/>
                <w:color w:val="auto"/>
              </w:rPr>
            </w:pPr>
          </w:p>
        </w:tc>
        <w:tc>
          <w:tcPr>
            <w:tcW w:w="180" w:type="dxa"/>
            <w:vAlign w:val="bottom"/>
            <w:tcBorders>
              <w:top w:val="single" w:sz="8" w:color="0000FF"/>
              <w:left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0000FF"/>
              <w:bottom w:val="single" w:sz="8" w:color="CFF0FC"/>
              <w:right w:val="single" w:sz="8" w:color="CFF0FC"/>
            </w:tcBorders>
            <w:shd w:val="clear" w:color="auto" w:fill="CFF0FC"/>
          </w:tcPr>
          <w:p>
            <w:pPr>
              <w:spacing w:after="0"/>
              <w:rPr>
                <w:sz w:val="16"/>
                <w:szCs w:val="16"/>
                <w:color w:val="auto"/>
              </w:rPr>
            </w:pPr>
          </w:p>
        </w:tc>
        <w:tc>
          <w:tcPr>
            <w:tcW w:w="820" w:type="dxa"/>
            <w:vAlign w:val="bottom"/>
            <w:tcBorders>
              <w:top w:val="single" w:sz="8" w:color="0000FF"/>
              <w:bottom w:val="single" w:sz="8" w:color="CFF0FC"/>
            </w:tcBorders>
            <w:shd w:val="clear" w:color="auto" w:fill="CFF0FC"/>
          </w:tcPr>
          <w:p>
            <w:pPr>
              <w:spacing w:after="0"/>
              <w:rPr>
                <w:sz w:val="16"/>
                <w:szCs w:val="16"/>
                <w:color w:val="auto"/>
              </w:rPr>
            </w:pPr>
          </w:p>
        </w:tc>
        <w:tc>
          <w:tcPr>
            <w:tcW w:w="340" w:type="dxa"/>
            <w:vAlign w:val="bottom"/>
            <w:tcBorders>
              <w:top w:val="single" w:sz="8" w:color="0000FF"/>
              <w:bottom w:val="single" w:sz="8" w:color="CFF0FC"/>
            </w:tcBorders>
            <w:shd w:val="clear" w:color="auto" w:fill="CFF0FC"/>
          </w:tcPr>
          <w:p>
            <w:pPr>
              <w:spacing w:after="0"/>
              <w:rPr>
                <w:sz w:val="16"/>
                <w:szCs w:val="16"/>
                <w:color w:val="auto"/>
              </w:rPr>
            </w:pPr>
          </w:p>
        </w:tc>
        <w:tc>
          <w:tcPr>
            <w:tcW w:w="220" w:type="dxa"/>
            <w:vAlign w:val="bottom"/>
            <w:tcBorders>
              <w:top w:val="single" w:sz="8" w:color="0000FF"/>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5"/>
                <w:szCs w:val="15"/>
                <w:color w:val="auto"/>
              </w:rPr>
            </w:pPr>
          </w:p>
        </w:tc>
        <w:tc>
          <w:tcPr>
            <w:tcW w:w="5420" w:type="dxa"/>
            <w:vAlign w:val="bottom"/>
            <w:gridSpan w:val="13"/>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shd w:val="clear" w:color="auto" w:fill="CFF0FC"/>
          </w:tcPr>
          <w:p>
            <w:pPr>
              <w:spacing w:after="0"/>
              <w:rPr>
                <w:sz w:val="15"/>
                <w:szCs w:val="15"/>
                <w:color w:val="auto"/>
              </w:rPr>
            </w:pPr>
          </w:p>
        </w:tc>
        <w:tc>
          <w:tcPr>
            <w:tcW w:w="5420" w:type="dxa"/>
            <w:vAlign w:val="bottom"/>
            <w:gridSpan w:val="13"/>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0000FF"/>
            </w:tcBorders>
            <w:shd w:val="clear" w:color="auto" w:fill="CFF0FC"/>
          </w:tcPr>
          <w:p>
            <w:pPr>
              <w:spacing w:after="0" w:line="20" w:lineRule="exact"/>
              <w:rPr>
                <w:sz w:val="1"/>
                <w:szCs w:val="1"/>
                <w:color w:val="auto"/>
              </w:rPr>
            </w:pPr>
          </w:p>
        </w:tc>
        <w:tc>
          <w:tcPr>
            <w:tcW w:w="220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760" w:type="dxa"/>
            <w:vAlign w:val="bottom"/>
            <w:tcBorders>
              <w:top w:val="single" w:sz="8" w:color="0000FF"/>
            </w:tcBorders>
            <w:shd w:val="clear" w:color="auto" w:fill="CFF0FC"/>
          </w:tcPr>
          <w:p>
            <w:pPr>
              <w:spacing w:after="0" w:line="20" w:lineRule="exact"/>
              <w:rPr>
                <w:sz w:val="1"/>
                <w:szCs w:val="1"/>
                <w:color w:val="auto"/>
              </w:rPr>
            </w:pPr>
          </w:p>
        </w:tc>
        <w:tc>
          <w:tcPr>
            <w:tcW w:w="4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5"/>
                <w:szCs w:val="15"/>
                <w:color w:val="auto"/>
              </w:rPr>
            </w:pPr>
          </w:p>
        </w:tc>
        <w:tc>
          <w:tcPr>
            <w:tcW w:w="3900" w:type="dxa"/>
            <w:vAlign w:val="bottom"/>
            <w:gridSpan w:val="8"/>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shd w:val="clear" w:color="auto" w:fill="CFF0FC"/>
          </w:tcPr>
          <w:p>
            <w:pPr>
              <w:spacing w:after="0"/>
              <w:rPr>
                <w:sz w:val="14"/>
                <w:szCs w:val="14"/>
                <w:color w:val="auto"/>
              </w:rPr>
            </w:pPr>
          </w:p>
        </w:tc>
        <w:tc>
          <w:tcPr>
            <w:tcW w:w="10220" w:type="dxa"/>
            <w:vAlign w:val="bottom"/>
            <w:gridSpan w:val="28"/>
            <w:shd w:val="clear" w:color="auto" w:fill="CFF0FC"/>
          </w:tcPr>
          <w:p>
            <w:pPr>
              <w:ind w:left="120"/>
              <w:spacing w:after="0" w:line="170"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54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tcBorders>
              <w:left w:val="single" w:sz="8" w:color="CFF0FC"/>
            </w:tcBorders>
            <w:shd w:val="clear" w:color="auto" w:fill="CFF0FC"/>
          </w:tcPr>
          <w:p>
            <w:pPr>
              <w:spacing w:after="0"/>
              <w:rPr>
                <w:sz w:val="20"/>
                <w:szCs w:val="20"/>
                <w:color w:val="auto"/>
              </w:rPr>
            </w:pPr>
          </w:p>
        </w:tc>
        <w:tc>
          <w:tcPr>
            <w:tcW w:w="80" w:type="dxa"/>
            <w:vAlign w:val="bottom"/>
            <w:tcBorders>
              <w:right w:val="single" w:sz="8" w:color="CFF0FC"/>
            </w:tcBorders>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8"/>
                <w:szCs w:val="18"/>
                <w:color w:val="auto"/>
              </w:rPr>
            </w:pPr>
          </w:p>
        </w:tc>
        <w:tc>
          <w:tcPr>
            <w:tcW w:w="542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101.CAL*</w:t>
            </w:r>
          </w:p>
        </w:tc>
        <w:tc>
          <w:tcPr>
            <w:tcW w:w="220" w:type="dxa"/>
            <w:vAlign w:val="bottom"/>
            <w:shd w:val="clear" w:color="auto" w:fill="CFF0FC"/>
          </w:tcPr>
          <w:p>
            <w:pPr>
              <w:spacing w:after="0"/>
              <w:rPr>
                <w:sz w:val="18"/>
                <w:szCs w:val="18"/>
                <w:color w:val="auto"/>
              </w:rPr>
            </w:pPr>
          </w:p>
        </w:tc>
        <w:tc>
          <w:tcPr>
            <w:tcW w:w="5420" w:type="dxa"/>
            <w:vAlign w:val="bottom"/>
            <w:gridSpan w:val="1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8"/>
                <w:szCs w:val="18"/>
                <w:color w:val="auto"/>
              </w:rPr>
            </w:pPr>
          </w:p>
        </w:tc>
        <w:tc>
          <w:tcPr>
            <w:tcW w:w="542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101.LAB*</w:t>
            </w:r>
          </w:p>
        </w:tc>
        <w:tc>
          <w:tcPr>
            <w:tcW w:w="220" w:type="dxa"/>
            <w:vAlign w:val="bottom"/>
            <w:shd w:val="clear" w:color="auto" w:fill="CFF0FC"/>
          </w:tcPr>
          <w:p>
            <w:pPr>
              <w:spacing w:after="0"/>
              <w:rPr>
                <w:sz w:val="18"/>
                <w:szCs w:val="18"/>
                <w:color w:val="auto"/>
              </w:rPr>
            </w:pPr>
          </w:p>
        </w:tc>
        <w:tc>
          <w:tcPr>
            <w:tcW w:w="5420" w:type="dxa"/>
            <w:vAlign w:val="bottom"/>
            <w:gridSpan w:val="1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18"/>
                <w:szCs w:val="18"/>
                <w:color w:val="auto"/>
              </w:rPr>
            </w:pPr>
          </w:p>
        </w:tc>
        <w:tc>
          <w:tcPr>
            <w:tcW w:w="542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shd w:val="clear" w:color="auto" w:fill="CFF0FC"/>
          </w:tcPr>
          <w:p>
            <w:pPr>
              <w:spacing w:after="0"/>
              <w:rPr>
                <w:sz w:val="18"/>
                <w:szCs w:val="18"/>
                <w:color w:val="auto"/>
              </w:rPr>
            </w:pPr>
          </w:p>
        </w:tc>
        <w:tc>
          <w:tcPr>
            <w:tcW w:w="6320" w:type="dxa"/>
            <w:vAlign w:val="bottom"/>
            <w:tcBorders>
              <w:bottom w:val="single" w:sz="8" w:color="auto"/>
            </w:tcBorders>
            <w:gridSpan w:val="16"/>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c>
          <w:tcPr>
            <w:tcW w:w="1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left w:val="single" w:sz="8" w:color="CFF0FC"/>
              <w:bottom w:val="single" w:sz="8" w:color="auto"/>
            </w:tcBorders>
            <w:shd w:val="clear" w:color="auto" w:fill="CFF0FC"/>
          </w:tcPr>
          <w:p>
            <w:pPr>
              <w:spacing w:after="0"/>
              <w:rPr>
                <w:sz w:val="18"/>
                <w:szCs w:val="18"/>
                <w:color w:val="auto"/>
              </w:rPr>
            </w:pPr>
          </w:p>
        </w:tc>
        <w:tc>
          <w:tcPr>
            <w:tcW w:w="80" w:type="dxa"/>
            <w:vAlign w:val="bottom"/>
            <w:tcBorders>
              <w:bottom w:val="single" w:sz="8" w:color="auto"/>
              <w:right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-4328160</wp:posOffset>
            </wp:positionV>
            <wp:extent cx="77470"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-4328160</wp:posOffset>
            </wp:positionV>
            <wp:extent cx="68580"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-4328160</wp:posOffset>
            </wp:positionV>
            <wp:extent cx="6858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-4328160</wp:posOffset>
            </wp:positionV>
            <wp:extent cx="6858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60"/>
        <w:spacing w:after="0"/>
        <w:tabs>
          <w:tab w:leader="none" w:pos="8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4, 2022</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September 30, 2022 by Kirby Corporation, David W.</w:t>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Grzebinski certifies that:</w:t>
      </w:r>
    </w:p>
    <w:p>
      <w:pPr>
        <w:spacing w:after="0" w:line="84"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760" w:right="280" w:hanging="378"/>
        <w:spacing w:after="0" w:line="258"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760" w:right="600" w:hanging="378"/>
        <w:spacing w:after="0" w:line="258"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760" w:right="760" w:hanging="378"/>
        <w:spacing w:after="0" w:line="296" w:lineRule="auto"/>
        <w:tabs>
          <w:tab w:leader="none" w:pos="7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40" w:hanging="378"/>
        <w:spacing w:after="0" w:line="296" w:lineRule="auto"/>
        <w:tabs>
          <w:tab w:leader="none" w:pos="7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7"/>
          <w:szCs w:val="17"/>
          <w:color w:val="auto"/>
        </w:rPr>
      </w:pPr>
    </w:p>
    <w:p>
      <w:pPr>
        <w:ind w:left="380" w:right="280" w:hanging="372"/>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92" w:lineRule="exact"/>
        <w:rPr>
          <w:sz w:val="20"/>
          <w:szCs w:val="20"/>
          <w:color w:val="auto"/>
        </w:rPr>
      </w:pPr>
    </w:p>
    <w:p>
      <w:pPr>
        <w:ind w:left="380" w:right="48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September 30, 2022 by Kirby Corporation, Raj Kumar certifies that:</w:t>
      </w:r>
    </w:p>
    <w:p>
      <w:pPr>
        <w:spacing w:after="0" w:line="54"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50"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760" w:right="280" w:hanging="378"/>
        <w:spacing w:after="0" w:line="258"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760" w:right="600" w:hanging="378"/>
        <w:spacing w:after="0" w:line="258"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760" w:right="760" w:hanging="378"/>
        <w:spacing w:after="0" w:line="296"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40" w:hanging="378"/>
        <w:spacing w:after="0" w:line="296" w:lineRule="auto"/>
        <w:tabs>
          <w:tab w:leader="none" w:pos="7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7"/>
          <w:szCs w:val="17"/>
          <w:color w:val="auto"/>
        </w:rPr>
      </w:pPr>
    </w:p>
    <w:p>
      <w:pPr>
        <w:ind w:left="380" w:right="2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192" w:lineRule="exact"/>
        <w:rPr>
          <w:sz w:val="20"/>
          <w:szCs w:val="20"/>
          <w:color w:val="auto"/>
        </w:rPr>
      </w:pPr>
    </w:p>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September 30, 2022 (the “Report”) by Kirby Corporation (the “Company”), each of the undersigned hereby certifies that:</w:t>
      </w:r>
    </w:p>
    <w:p>
      <w:pPr>
        <w:spacing w:after="0" w:line="54"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
      <w:numFmt w:val="bullet"/>
      <w:start w:val="1"/>
    </w:lvl>
  </w:abstractNum>
  <w:abstractNum w:abstractNumId="1">
    <w:nsid w:val="216231B"/>
    <w:multiLevelType w:val="hybridMultilevel"/>
    <w:lvl w:ilvl="0">
      <w:lvlJc w:val="left"/>
      <w:lvlText w:val=" "/>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1)"/>
      <w:numFmt w:val="decimal"/>
      <w:start w:val="7"/>
    </w:lvl>
  </w:abstractNum>
  <w:abstractNum w:abstractNumId="10">
    <w:nsid w:val="1BEFD79F"/>
    <w:multiLevelType w:val="hybridMultilevel"/>
    <w:lvl w:ilvl="0">
      <w:lvlJc w:val="left"/>
      <w:lvlText w:val="(%1)"/>
      <w:numFmt w:val="decimal"/>
      <w:start w:val="8"/>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07" Type="http://schemas.openxmlformats.org/officeDocument/2006/relationships/hyperlink" Target="https://www.sec.gov/Archives/edgar/data/56047/000114036115008395/ex3_1.htm" TargetMode="External"/><Relationship Id="rId308" Type="http://schemas.openxmlformats.org/officeDocument/2006/relationships/hyperlink" Target="https://www.sec.gov/Archives/edgar/data/56047/000114036115008395/ex3_2.htm" TargetMode="External"/><Relationship Id="rId309" Type="http://schemas.openxmlformats.org/officeDocument/2006/relationships/hyperlink" Target="https://www.sec.gov/Archives/edgar/data/56047/000095017022020426/kex-ex3_1.htm" TargetMode="External"/><Relationship Id="rId310" Type="http://schemas.openxmlformats.org/officeDocument/2006/relationships/hyperlink" Target="https://www.sec.gov/Archives/edgar/data/56047/000095017022013502/ke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2022-11-04T11:48:10Z</dcterms:created>
  <dcterms:modified xsi:type="dcterms:W3CDTF">2022-11-04T11:48:10Z</dcterms:modified>
</cp:coreProperties>
</file>