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4"/>
          <w:szCs w:val="24"/>
          <w:color w:val="auto"/>
        </w:rPr>
      </w:pPr>
    </w:p>
    <w:p>
      <w:pPr>
        <w:spacing w:after="0"/>
        <w:rPr>
          <w:sz w:val="24"/>
          <w:szCs w:val="24"/>
          <w:color w:val="auto"/>
        </w:rPr>
      </w:pPr>
      <w:r>
        <w:rPr>
          <w:rFonts w:ascii="Arial" w:cs="Arial" w:eastAsia="Arial" w:hAnsi="Arial"/>
          <w:sz w:val="18"/>
          <w:szCs w:val="18"/>
          <w:color w:val="auto"/>
        </w:rPr>
        <w:t>Quarterly report pursuant to Section 13 or 15(d) of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1" w:lineRule="exact"/>
        <w:rPr>
          <w:sz w:val="24"/>
          <w:szCs w:val="24"/>
          <w:color w:val="auto"/>
        </w:rPr>
      </w:pPr>
    </w:p>
    <w:p>
      <w:pPr>
        <w:spacing w:after="0"/>
        <w:rPr>
          <w:sz w:val="24"/>
          <w:szCs w:val="24"/>
          <w:color w:val="auto"/>
        </w:rPr>
      </w:pPr>
      <w:r>
        <w:rPr>
          <w:rFonts w:ascii="Arial" w:cs="Arial" w:eastAsia="Arial" w:hAnsi="Arial"/>
          <w:sz w:val="18"/>
          <w:szCs w:val="18"/>
          <w:color w:val="auto"/>
        </w:rPr>
        <w:t>Transition report pursuant to Section 13 or 15(d) of the Securities Exchange Act of 1934</w:t>
      </w:r>
    </w:p>
    <w:p>
      <w:pPr>
        <w:spacing w:after="0" w:line="23" w:lineRule="exact"/>
        <w:rPr>
          <w:sz w:val="24"/>
          <w:szCs w:val="24"/>
          <w:color w:val="auto"/>
        </w:rPr>
      </w:pPr>
    </w:p>
    <w:p>
      <w:pPr>
        <w:ind w:left="4360"/>
        <w:spacing w:after="0"/>
        <w:tabs>
          <w:tab w:leader="none" w:pos="674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71"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Commission File Number: 1-7615</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KIRBY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5"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30"/>
              <w:spacing w:after="0"/>
              <w:rPr>
                <w:sz w:val="20"/>
                <w:szCs w:val="20"/>
                <w:color w:val="auto"/>
              </w:rPr>
            </w:pPr>
            <w:r>
              <w:rPr>
                <w:rFonts w:ascii="Arial" w:cs="Arial" w:eastAsia="Arial" w:hAnsi="Arial"/>
                <w:sz w:val="18"/>
                <w:szCs w:val="18"/>
                <w:b w:val="1"/>
                <w:bCs w:val="1"/>
                <w:color w:val="auto"/>
                <w:w w:val="90"/>
              </w:rPr>
              <w:t>Nevada</w:t>
            </w:r>
          </w:p>
        </w:tc>
        <w:tc>
          <w:tcPr>
            <w:tcW w:w="3760" w:type="dxa"/>
            <w:vAlign w:val="bottom"/>
          </w:tcPr>
          <w:p>
            <w:pPr>
              <w:jc w:val="center"/>
              <w:ind w:left="1050"/>
              <w:spacing w:after="0"/>
              <w:rPr>
                <w:sz w:val="20"/>
                <w:szCs w:val="20"/>
                <w:color w:val="auto"/>
              </w:rPr>
            </w:pPr>
            <w:r>
              <w:rPr>
                <w:rFonts w:ascii="Arial" w:cs="Arial" w:eastAsia="Arial" w:hAnsi="Arial"/>
                <w:sz w:val="18"/>
                <w:szCs w:val="18"/>
                <w:b w:val="1"/>
                <w:bCs w:val="1"/>
                <w:color w:val="auto"/>
                <w:w w:val="89"/>
              </w:rPr>
              <w:t>74-1884980</w:t>
            </w:r>
          </w:p>
        </w:tc>
      </w:tr>
      <w:tr>
        <w:trPr>
          <w:trHeight w:val="257"/>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60" w:type="dxa"/>
            <w:vAlign w:val="bottom"/>
          </w:tcPr>
          <w:p>
            <w:pPr>
              <w:jc w:val="center"/>
              <w:ind w:left="1050"/>
              <w:spacing w:after="0"/>
              <w:rPr>
                <w:sz w:val="20"/>
                <w:szCs w:val="20"/>
                <w:color w:val="auto"/>
              </w:rPr>
            </w:pPr>
            <w:r>
              <w:rPr>
                <w:rFonts w:ascii="Arial" w:cs="Arial" w:eastAsia="Arial" w:hAnsi="Arial"/>
                <w:sz w:val="18"/>
                <w:szCs w:val="18"/>
                <w:color w:val="auto"/>
                <w:w w:val="94"/>
              </w:rPr>
              <w:t>(I.R.S. Employer Identification No.)</w:t>
            </w:r>
          </w:p>
        </w:tc>
      </w:tr>
      <w:tr>
        <w:trPr>
          <w:trHeight w:val="305"/>
        </w:trPr>
        <w:tc>
          <w:tcPr>
            <w:tcW w:w="5420" w:type="dxa"/>
            <w:vAlign w:val="bottom"/>
          </w:tcPr>
          <w:p>
            <w:pPr>
              <w:jc w:val="center"/>
              <w:ind w:right="1010"/>
              <w:spacing w:after="0"/>
              <w:rPr>
                <w:sz w:val="20"/>
                <w:szCs w:val="20"/>
                <w:color w:val="auto"/>
              </w:rPr>
            </w:pPr>
            <w:r>
              <w:rPr>
                <w:rFonts w:ascii="Arial" w:cs="Arial" w:eastAsia="Arial" w:hAnsi="Arial"/>
                <w:sz w:val="18"/>
                <w:szCs w:val="18"/>
                <w:b w:val="1"/>
                <w:bCs w:val="1"/>
                <w:color w:val="auto"/>
                <w:w w:val="90"/>
              </w:rPr>
              <w:t>55 Waugh Drive, Suite 1000</w:t>
            </w:r>
          </w:p>
        </w:tc>
        <w:tc>
          <w:tcPr>
            <w:tcW w:w="3760" w:type="dxa"/>
            <w:vAlign w:val="bottom"/>
          </w:tcPr>
          <w:p>
            <w:pPr>
              <w:spacing w:after="0"/>
              <w:rPr>
                <w:sz w:val="24"/>
                <w:szCs w:val="24"/>
                <w:color w:val="auto"/>
              </w:rPr>
            </w:pPr>
          </w:p>
        </w:tc>
      </w:tr>
      <w:tr>
        <w:trPr>
          <w:trHeight w:val="234"/>
        </w:trPr>
        <w:tc>
          <w:tcPr>
            <w:tcW w:w="5420" w:type="dxa"/>
            <w:vAlign w:val="bottom"/>
          </w:tcPr>
          <w:p>
            <w:pPr>
              <w:jc w:val="center"/>
              <w:ind w:right="1010"/>
              <w:spacing w:after="0"/>
              <w:rPr>
                <w:sz w:val="20"/>
                <w:szCs w:val="20"/>
                <w:color w:val="auto"/>
              </w:rPr>
            </w:pPr>
            <w:r>
              <w:rPr>
                <w:rFonts w:ascii="Arial" w:cs="Arial" w:eastAsia="Arial" w:hAnsi="Arial"/>
                <w:sz w:val="18"/>
                <w:szCs w:val="18"/>
                <w:b w:val="1"/>
                <w:bCs w:val="1"/>
                <w:color w:val="auto"/>
                <w:w w:val="94"/>
              </w:rPr>
              <w:t>Houston, TX</w:t>
            </w:r>
          </w:p>
        </w:tc>
        <w:tc>
          <w:tcPr>
            <w:tcW w:w="3760" w:type="dxa"/>
            <w:vAlign w:val="bottom"/>
          </w:tcPr>
          <w:p>
            <w:pPr>
              <w:jc w:val="center"/>
              <w:ind w:left="1030"/>
              <w:spacing w:after="0"/>
              <w:rPr>
                <w:sz w:val="20"/>
                <w:szCs w:val="20"/>
                <w:color w:val="auto"/>
              </w:rPr>
            </w:pPr>
            <w:r>
              <w:rPr>
                <w:rFonts w:ascii="Arial" w:cs="Arial" w:eastAsia="Arial" w:hAnsi="Arial"/>
                <w:sz w:val="18"/>
                <w:szCs w:val="18"/>
                <w:b w:val="1"/>
                <w:bCs w:val="1"/>
                <w:color w:val="auto"/>
                <w:w w:val="87"/>
              </w:rPr>
              <w:t>77007</w:t>
            </w:r>
          </w:p>
        </w:tc>
      </w:tr>
      <w:tr>
        <w:trPr>
          <w:trHeight w:val="243"/>
        </w:trPr>
        <w:tc>
          <w:tcPr>
            <w:tcW w:w="5420" w:type="dxa"/>
            <w:vAlign w:val="bottom"/>
          </w:tcPr>
          <w:p>
            <w:pPr>
              <w:jc w:val="center"/>
              <w:ind w:right="1010"/>
              <w:spacing w:after="0"/>
              <w:rPr>
                <w:sz w:val="20"/>
                <w:szCs w:val="20"/>
                <w:color w:val="auto"/>
              </w:rPr>
            </w:pPr>
            <w:r>
              <w:rPr>
                <w:rFonts w:ascii="Arial" w:cs="Arial" w:eastAsia="Arial" w:hAnsi="Arial"/>
                <w:sz w:val="18"/>
                <w:szCs w:val="18"/>
                <w:color w:val="auto"/>
                <w:w w:val="92"/>
              </w:rPr>
              <w:t>(Address of principal executive offices)</w:t>
            </w:r>
          </w:p>
        </w:tc>
        <w:tc>
          <w:tcPr>
            <w:tcW w:w="3760" w:type="dxa"/>
            <w:vAlign w:val="bottom"/>
          </w:tcPr>
          <w:p>
            <w:pPr>
              <w:jc w:val="center"/>
              <w:ind w:left="1030"/>
              <w:spacing w:after="0"/>
              <w:rPr>
                <w:sz w:val="20"/>
                <w:szCs w:val="20"/>
                <w:color w:val="auto"/>
              </w:rPr>
            </w:pPr>
            <w:r>
              <w:rPr>
                <w:rFonts w:ascii="Arial" w:cs="Arial" w:eastAsia="Arial" w:hAnsi="Arial"/>
                <w:sz w:val="18"/>
                <w:szCs w:val="18"/>
                <w:color w:val="auto"/>
                <w:w w:val="94"/>
              </w:rPr>
              <w:t>(Zip Code)</w:t>
            </w:r>
          </w:p>
        </w:tc>
      </w:tr>
    </w:tbl>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713-435-1000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 Change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0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1" w:lineRule="exact"/>
        <w:rPr>
          <w:sz w:val="24"/>
          <w:szCs w:val="24"/>
          <w:color w:val="auto"/>
        </w:rPr>
      </w:pPr>
    </w:p>
    <w:tbl>
      <w:tblPr>
        <w:tblLayout w:type="fixed"/>
        <w:tblInd w:w="10" w:type="dxa"/>
        <w:tblCellMar>
          <w:top w:w="0" w:type="dxa"/>
          <w:left w:w="0" w:type="dxa"/>
          <w:bottom w:w="0" w:type="dxa"/>
          <w:right w:w="0" w:type="dxa"/>
        </w:tblCellMar>
      </w:tblPr>
      <w:tr>
        <w:trPr>
          <w:trHeight w:val="273"/>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8"/>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KEX</w:t>
            </w:r>
          </w:p>
        </w:tc>
        <w:tc>
          <w:tcPr>
            <w:tcW w:w="4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67"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183" w:lineRule="exact"/>
        <w:rPr>
          <w:sz w:val="24"/>
          <w:szCs w:val="24"/>
          <w:color w:val="auto"/>
        </w:rPr>
      </w:pPr>
    </w:p>
    <w:p>
      <w:pPr>
        <w:ind w:right="240"/>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and post such files). Yes No</w:t>
      </w:r>
    </w:p>
    <w:p>
      <w:pPr>
        <w:spacing w:after="0" w:line="183"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spacing w:after="0"/>
              <w:rPr>
                <w:sz w:val="20"/>
                <w:szCs w:val="20"/>
                <w:color w:val="auto"/>
              </w:rPr>
            </w:pPr>
          </w:p>
        </w:tc>
        <w:tc>
          <w:tcPr>
            <w:tcW w:w="5000" w:type="dxa"/>
            <w:vAlign w:val="bottom"/>
          </w:tcPr>
          <w:p>
            <w:pPr>
              <w:ind w:left="25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spacing w:after="0"/>
              <w:rPr>
                <w:sz w:val="20"/>
                <w:szCs w:val="20"/>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spacing w:after="0"/>
              <w:rPr>
                <w:sz w:val="21"/>
                <w:szCs w:val="21"/>
                <w:color w:val="auto"/>
              </w:rPr>
            </w:pPr>
          </w:p>
        </w:tc>
        <w:tc>
          <w:tcPr>
            <w:tcW w:w="5000" w:type="dxa"/>
            <w:vAlign w:val="bottom"/>
          </w:tcPr>
          <w:p>
            <w:pPr>
              <w:ind w:left="254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spacing w:after="0"/>
              <w:rPr>
                <w:sz w:val="21"/>
                <w:szCs w:val="21"/>
                <w:color w:val="auto"/>
              </w:rPr>
            </w:pPr>
          </w:p>
        </w:tc>
      </w:tr>
      <w:tr>
        <w:trPr>
          <w:trHeight w:val="243"/>
        </w:trPr>
        <w:tc>
          <w:tcPr>
            <w:tcW w:w="214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5000" w:type="dxa"/>
            <w:vAlign w:val="bottom"/>
          </w:tcPr>
          <w:p>
            <w:pPr>
              <w:ind w:left="254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spacing w:after="0"/>
              <w:rPr>
                <w:sz w:val="21"/>
                <w:szCs w:val="21"/>
                <w:color w:val="auto"/>
              </w:rPr>
            </w:pPr>
          </w:p>
        </w:tc>
      </w:tr>
    </w:tbl>
    <w:p>
      <w:pPr>
        <w:spacing w:after="0" w:line="8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69" w:lineRule="exact"/>
        <w:rPr>
          <w:sz w:val="24"/>
          <w:szCs w:val="24"/>
          <w:color w:val="auto"/>
        </w:rPr>
      </w:pPr>
    </w:p>
    <w:p>
      <w:pPr>
        <w:spacing w:after="0"/>
        <w:tabs>
          <w:tab w:leader="none" w:pos="8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w:t>
      </w:r>
      <w:r>
        <w:rPr>
          <w:sz w:val="20"/>
          <w:szCs w:val="20"/>
          <w:color w:val="auto"/>
        </w:rPr>
        <w:tab/>
      </w:r>
      <w:r>
        <w:rPr>
          <w:rFonts w:ascii="Arial" w:cs="Arial" w:eastAsia="Arial" w:hAnsi="Arial"/>
          <w:sz w:val="18"/>
          <w:szCs w:val="18"/>
          <w:color w:val="auto"/>
        </w:rPr>
        <w:t>No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3, 2023, 59.1 million shares of the Registrant’s $0.10 par value per share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447040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w w:val="96"/>
              </w:rPr>
              <w:t>September 30,</w:t>
            </w:r>
          </w:p>
        </w:tc>
        <w:tc>
          <w:tcPr>
            <w:tcW w:w="18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8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169"/>
        </w:trPr>
        <w:tc>
          <w:tcPr>
            <w:tcW w:w="8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 in</w:t>
            </w:r>
          </w:p>
        </w:tc>
        <w:tc>
          <w:tcPr>
            <w:tcW w:w="1620" w:type="dxa"/>
            <w:vAlign w:val="bottom"/>
            <w:gridSpan w:val="3"/>
          </w:tcPr>
          <w:p>
            <w:pPr>
              <w:jc w:val="right"/>
              <w:ind w:right="911"/>
              <w:spacing w:after="0"/>
              <w:rPr>
                <w:sz w:val="20"/>
                <w:szCs w:val="20"/>
                <w:color w:val="auto"/>
              </w:rPr>
            </w:pPr>
            <w:r>
              <w:rPr>
                <w:rFonts w:ascii="Arial" w:cs="Arial" w:eastAsia="Arial" w:hAnsi="Arial"/>
                <w:sz w:val="14"/>
                <w:szCs w:val="14"/>
                <w:b w:val="1"/>
                <w:bCs w:val="1"/>
                <w:color w:val="auto"/>
                <w:w w:val="79"/>
              </w:rPr>
              <w:t>thousands)</w:t>
            </w:r>
          </w:p>
        </w:tc>
        <w:tc>
          <w:tcPr>
            <w:tcW w:w="100" w:type="dxa"/>
            <w:vAlign w:val="bottom"/>
          </w:tcPr>
          <w:p>
            <w:pPr>
              <w:spacing w:after="0"/>
              <w:rPr>
                <w:sz w:val="14"/>
                <w:szCs w:val="14"/>
                <w:color w:val="auto"/>
              </w:rPr>
            </w:pPr>
          </w:p>
        </w:tc>
      </w:tr>
      <w:tr>
        <w:trPr>
          <w:trHeight w:val="243"/>
        </w:trPr>
        <w:tc>
          <w:tcPr>
            <w:tcW w:w="8160" w:type="dxa"/>
            <w:vAlign w:val="bottom"/>
            <w:shd w:val="clear" w:color="auto" w:fill="CFF0FC"/>
          </w:tcPr>
          <w:p>
            <w:pPr>
              <w:ind w:left="368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42,116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80,577</w:t>
            </w: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Trade – less allowance for doubtful accounts</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514,631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483,406</w:t>
            </w: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53,936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114,556</w:t>
            </w: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Inventories – net</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505,506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461,848</w:t>
            </w: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79,382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71,372</w:t>
            </w:r>
          </w:p>
        </w:tc>
        <w:tc>
          <w:tcPr>
            <w:tcW w:w="100" w:type="dxa"/>
            <w:vAlign w:val="bottom"/>
          </w:tcPr>
          <w:p>
            <w:pPr>
              <w:spacing w:after="0"/>
              <w:rPr>
                <w:sz w:val="20"/>
                <w:szCs w:val="20"/>
                <w:color w:val="auto"/>
              </w:rPr>
            </w:pPr>
          </w:p>
        </w:tc>
      </w:tr>
      <w:tr>
        <w:trPr>
          <w:trHeight w:val="236"/>
        </w:trPr>
        <w:tc>
          <w:tcPr>
            <w:tcW w:w="81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1,195,571</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1,211,759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21"/>
        </w:trPr>
        <w:tc>
          <w:tcPr>
            <w:tcW w:w="8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5,710,443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5,452,143</w:t>
            </w: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200"/>
              <w:spacing w:after="0"/>
              <w:rPr>
                <w:sz w:val="20"/>
                <w:szCs w:val="20"/>
                <w:color w:val="auto"/>
              </w:rPr>
            </w:pPr>
            <w:r>
              <w:rPr>
                <w:rFonts w:ascii="Arial" w:cs="Arial" w:eastAsia="Arial" w:hAnsi="Arial"/>
                <w:sz w:val="18"/>
                <w:szCs w:val="18"/>
                <w:color w:val="auto"/>
              </w:rPr>
              <w:t>Accumulated depreciation</w:t>
            </w:r>
          </w:p>
        </w:tc>
        <w:tc>
          <w:tcPr>
            <w:tcW w:w="180" w:type="dxa"/>
            <w:vAlign w:val="bottom"/>
          </w:tcPr>
          <w:p>
            <w:pPr>
              <w:spacing w:after="0"/>
              <w:rPr>
                <w:sz w:val="20"/>
                <w:szCs w:val="20"/>
                <w:color w:val="auto"/>
              </w:rPr>
            </w:pPr>
          </w:p>
        </w:tc>
        <w:tc>
          <w:tcPr>
            <w:tcW w:w="1460" w:type="dxa"/>
            <w:vAlign w:val="bottom"/>
            <w:gridSpan w:val="2"/>
          </w:tcPr>
          <w:p>
            <w:pPr>
              <w:jc w:val="right"/>
              <w:ind w:right="128"/>
              <w:spacing w:after="0"/>
              <w:rPr>
                <w:sz w:val="20"/>
                <w:szCs w:val="20"/>
                <w:color w:val="auto"/>
              </w:rPr>
            </w:pPr>
            <w:r>
              <w:rPr>
                <w:rFonts w:ascii="Arial" w:cs="Arial" w:eastAsia="Arial" w:hAnsi="Arial"/>
                <w:sz w:val="18"/>
                <w:szCs w:val="18"/>
                <w:color w:val="auto"/>
              </w:rPr>
              <w:t>(1,928,319 )</w:t>
            </w:r>
          </w:p>
        </w:tc>
        <w:tc>
          <w:tcPr>
            <w:tcW w:w="18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(1,818,681 )</w:t>
            </w:r>
          </w:p>
        </w:tc>
      </w:tr>
      <w:tr>
        <w:trPr>
          <w:trHeight w:val="236"/>
        </w:trPr>
        <w:tc>
          <w:tcPr>
            <w:tcW w:w="81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Property and equipment – net</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3,782,124</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3,633,462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21"/>
        </w:trPr>
        <w:tc>
          <w:tcPr>
            <w:tcW w:w="8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155,098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154,507</w:t>
            </w: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438,748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438,748</w:t>
            </w: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intangibles, net</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45,058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51,463</w:t>
            </w: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66,281</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64,985</w:t>
            </w:r>
          </w:p>
        </w:tc>
        <w:tc>
          <w:tcPr>
            <w:tcW w:w="100" w:type="dxa"/>
            <w:vAlign w:val="bottom"/>
          </w:tcPr>
          <w:p>
            <w:pPr>
              <w:spacing w:after="0"/>
              <w:rPr>
                <w:sz w:val="20"/>
                <w:szCs w:val="20"/>
                <w:color w:val="auto"/>
              </w:rPr>
            </w:pPr>
          </w:p>
        </w:tc>
      </w:tr>
      <w:tr>
        <w:trPr>
          <w:trHeight w:val="276"/>
        </w:trPr>
        <w:tc>
          <w:tcPr>
            <w:tcW w:w="81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5,682,880</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5,554,924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08"/>
        </w:trPr>
        <w:tc>
          <w:tcPr>
            <w:tcW w:w="8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43"/>
        </w:trPr>
        <w:tc>
          <w:tcPr>
            <w:tcW w:w="8160" w:type="dxa"/>
            <w:vAlign w:val="bottom"/>
            <w:shd w:val="clear" w:color="auto" w:fill="CFF0FC"/>
          </w:tcPr>
          <w:p>
            <w:pPr>
              <w:ind w:left="206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Bank notes payable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3,292</w:t>
            </w: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258,126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278,081</w:t>
            </w: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199,124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204,752</w:t>
            </w: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36,444</w:t>
            </w: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200"/>
              <w:spacing w:after="0"/>
              <w:rPr>
                <w:sz w:val="20"/>
                <w:szCs w:val="20"/>
                <w:color w:val="auto"/>
              </w:rPr>
            </w:pPr>
            <w:r>
              <w:rPr>
                <w:rFonts w:ascii="Arial" w:cs="Arial" w:eastAsia="Arial" w:hAnsi="Arial"/>
                <w:sz w:val="18"/>
                <w:szCs w:val="18"/>
                <w:color w:val="auto"/>
              </w:rPr>
              <w:t>Deferred revenues</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134,577</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119,305</w:t>
            </w:r>
          </w:p>
        </w:tc>
        <w:tc>
          <w:tcPr>
            <w:tcW w:w="100" w:type="dxa"/>
            <w:vAlign w:val="bottom"/>
          </w:tcPr>
          <w:p>
            <w:pPr>
              <w:spacing w:after="0"/>
              <w:rPr>
                <w:sz w:val="20"/>
                <w:szCs w:val="20"/>
                <w:color w:val="auto"/>
              </w:rPr>
            </w:pPr>
          </w:p>
        </w:tc>
      </w:tr>
      <w:tr>
        <w:trPr>
          <w:trHeight w:val="236"/>
        </w:trPr>
        <w:tc>
          <w:tcPr>
            <w:tcW w:w="81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635,852</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642,197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21"/>
        </w:trPr>
        <w:tc>
          <w:tcPr>
            <w:tcW w:w="8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 net – less current portion</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1,058,248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1,076,326</w:t>
            </w: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672,711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625,884</w:t>
            </w: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 less current portion</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142,237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142,140</w:t>
            </w: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15,750</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23,209</w:t>
            </w:r>
          </w:p>
        </w:tc>
        <w:tc>
          <w:tcPr>
            <w:tcW w:w="100" w:type="dxa"/>
            <w:vAlign w:val="bottom"/>
          </w:tcPr>
          <w:p>
            <w:pPr>
              <w:spacing w:after="0"/>
              <w:rPr>
                <w:sz w:val="20"/>
                <w:szCs w:val="20"/>
                <w:color w:val="auto"/>
              </w:rPr>
            </w:pPr>
          </w:p>
        </w:tc>
      </w:tr>
      <w:tr>
        <w:trPr>
          <w:trHeight w:val="236"/>
        </w:trPr>
        <w:tc>
          <w:tcPr>
            <w:tcW w:w="81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long-term liabilities</w:t>
            </w:r>
          </w:p>
        </w:tc>
        <w:tc>
          <w:tcPr>
            <w:tcW w:w="1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1,888,946</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1,867,559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21"/>
        </w:trPr>
        <w:tc>
          <w:tcPr>
            <w:tcW w:w="8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tcPr>
          <w:p>
            <w:pPr>
              <w:spacing w:after="0"/>
              <w:rPr>
                <w:sz w:val="10"/>
                <w:szCs w:val="10"/>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Contingencies and commitments</w:t>
            </w:r>
          </w:p>
        </w:tc>
        <w:tc>
          <w:tcPr>
            <w:tcW w:w="1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21"/>
        </w:trPr>
        <w:tc>
          <w:tcPr>
            <w:tcW w:w="8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200"/>
              <w:spacing w:after="0"/>
              <w:rPr>
                <w:sz w:val="20"/>
                <w:szCs w:val="20"/>
                <w:color w:val="auto"/>
              </w:rPr>
            </w:pPr>
            <w:r>
              <w:rPr>
                <w:rFonts w:ascii="Arial" w:cs="Arial" w:eastAsia="Arial" w:hAnsi="Arial"/>
                <w:sz w:val="18"/>
                <w:szCs w:val="18"/>
                <w:color w:val="auto"/>
              </w:rPr>
              <w:t>Kirby stockholders’ equity:</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7"/>
              </w:rPr>
              <w:t>Common stock, $0.10 par value per share. Authorized 120 million shares, issued 65.5 million shares</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w:t>
            </w: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861,928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859,345</w:t>
            </w: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Accumulated other comprehensive income – net</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19,078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16,853</w:t>
            </w: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2,629,759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2,468,730</w:t>
            </w:r>
          </w:p>
        </w:tc>
        <w:tc>
          <w:tcPr>
            <w:tcW w:w="100" w:type="dxa"/>
            <w:vAlign w:val="bottom"/>
          </w:tcPr>
          <w:p>
            <w:pPr>
              <w:spacing w:after="0"/>
              <w:rPr>
                <w:sz w:val="20"/>
                <w:szCs w:val="20"/>
                <w:color w:val="auto"/>
              </w:rPr>
            </w:pPr>
          </w:p>
        </w:tc>
      </w:tr>
      <w:tr>
        <w:trPr>
          <w:trHeight w:val="243"/>
        </w:trPr>
        <w:tc>
          <w:tcPr>
            <w:tcW w:w="816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3"/>
              </w:rPr>
              <w:t>Treasury stock – at cost, 6.2 million shares at September 30, 2023 and 5.6 million at December 31, 2022</w:t>
            </w:r>
          </w:p>
        </w:tc>
        <w:tc>
          <w:tcPr>
            <w:tcW w:w="1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(360,420 )</w:t>
            </w: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(308,598 )</w:t>
            </w:r>
          </w:p>
        </w:tc>
      </w:tr>
      <w:tr>
        <w:trPr>
          <w:trHeight w:val="236"/>
        </w:trPr>
        <w:tc>
          <w:tcPr>
            <w:tcW w:w="816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 Kirby stockholders’ equity</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3,156,892</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3,042,877</w:t>
            </w:r>
          </w:p>
        </w:tc>
        <w:tc>
          <w:tcPr>
            <w:tcW w:w="100" w:type="dxa"/>
            <w:vAlign w:val="bottom"/>
            <w:tcBorders>
              <w:top w:val="single" w:sz="8" w:color="CFF0FC"/>
            </w:tcBorders>
          </w:tcPr>
          <w:p>
            <w:pPr>
              <w:spacing w:after="0"/>
              <w:rPr>
                <w:sz w:val="20"/>
                <w:szCs w:val="20"/>
                <w:color w:val="auto"/>
              </w:rPr>
            </w:pPr>
          </w:p>
        </w:tc>
      </w:tr>
      <w:tr>
        <w:trPr>
          <w:trHeight w:val="243"/>
        </w:trPr>
        <w:tc>
          <w:tcPr>
            <w:tcW w:w="8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160" w:type="dxa"/>
            <w:vAlign w:val="bottom"/>
          </w:tcPr>
          <w:p>
            <w:pPr>
              <w:ind w:left="20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3,158,082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3,045,168</w:t>
            </w:r>
          </w:p>
        </w:tc>
        <w:tc>
          <w:tcPr>
            <w:tcW w:w="100" w:type="dxa"/>
            <w:vAlign w:val="bottom"/>
          </w:tcPr>
          <w:p>
            <w:pPr>
              <w:spacing w:after="0"/>
              <w:rPr>
                <w:sz w:val="20"/>
                <w:szCs w:val="20"/>
                <w:color w:val="auto"/>
              </w:rPr>
            </w:pPr>
          </w:p>
        </w:tc>
      </w:tr>
      <w:tr>
        <w:trPr>
          <w:trHeight w:val="276"/>
        </w:trPr>
        <w:tc>
          <w:tcPr>
            <w:tcW w:w="81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5,682,880</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5,554,924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-5847715</wp:posOffset>
            </wp:positionV>
            <wp:extent cx="76835" cy="85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-5847715</wp:posOffset>
            </wp:positionV>
            <wp:extent cx="68580" cy="85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-5290820</wp:posOffset>
            </wp:positionV>
            <wp:extent cx="76835" cy="85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-5290820</wp:posOffset>
            </wp:positionV>
            <wp:extent cx="68580" cy="85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-4425950</wp:posOffset>
            </wp:positionV>
            <wp:extent cx="1087120" cy="102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87120" cy="102870"/>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-2927985</wp:posOffset>
            </wp:positionV>
            <wp:extent cx="76835" cy="85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-2927985</wp:posOffset>
            </wp:positionV>
            <wp:extent cx="68580" cy="85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-2063115</wp:posOffset>
            </wp:positionV>
            <wp:extent cx="76835" cy="85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-2063115</wp:posOffset>
            </wp:positionV>
            <wp:extent cx="68580" cy="85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-667385</wp:posOffset>
            </wp:positionV>
            <wp:extent cx="76835"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-350520</wp:posOffset>
            </wp:positionV>
            <wp:extent cx="7683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-24765</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-7620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EARNINGS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8"/>
              </w:rPr>
              <w:t>Three Months Ended September 30,</w:t>
            </w:r>
          </w:p>
        </w:tc>
        <w:tc>
          <w:tcPr>
            <w:tcW w:w="260" w:type="dxa"/>
            <w:vAlign w:val="bottom"/>
          </w:tcPr>
          <w:p>
            <w:pPr>
              <w:spacing w:after="0"/>
              <w:rPr>
                <w:sz w:val="16"/>
                <w:szCs w:val="16"/>
                <w:color w:val="auto"/>
              </w:rPr>
            </w:pPr>
          </w:p>
        </w:tc>
        <w:tc>
          <w:tcPr>
            <w:tcW w:w="27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69"/>
        </w:trPr>
        <w:tc>
          <w:tcPr>
            <w:tcW w:w="49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1"/>
              </w:rPr>
              <w:t>($ in thousands, except per share amounts)</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Pr>
          <w:p>
            <w:pPr>
              <w:ind w:left="200"/>
              <w:spacing w:after="0"/>
              <w:rPr>
                <w:sz w:val="20"/>
                <w:szCs w:val="20"/>
                <w:color w:val="auto"/>
              </w:rPr>
            </w:pPr>
            <w:r>
              <w:rPr>
                <w:rFonts w:ascii="Arial" w:cs="Arial" w:eastAsia="Arial" w:hAnsi="Arial"/>
                <w:sz w:val="18"/>
                <w:szCs w:val="18"/>
                <w:color w:val="auto"/>
              </w:rPr>
              <w:t>Marine transportation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429,885</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433,040</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1,269,342</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1,194,231</w:t>
            </w:r>
          </w:p>
        </w:tc>
        <w:tc>
          <w:tcPr>
            <w:tcW w:w="100" w:type="dxa"/>
            <w:vAlign w:val="bottom"/>
          </w:tcPr>
          <w:p>
            <w:pPr>
              <w:spacing w:after="0"/>
              <w:rPr>
                <w:sz w:val="20"/>
                <w:szCs w:val="20"/>
                <w:color w:val="auto"/>
              </w:rPr>
            </w:pPr>
          </w:p>
        </w:tc>
      </w:tr>
      <w:tr>
        <w:trPr>
          <w:trHeight w:val="243"/>
        </w:trPr>
        <w:tc>
          <w:tcPr>
            <w:tcW w:w="49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Distribution and services</w:t>
            </w: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334,887</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312,803</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1,023,122</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860,358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92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764,772</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745,843</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2,292,464</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2,054,589</w:t>
            </w:r>
          </w:p>
        </w:tc>
        <w:tc>
          <w:tcPr>
            <w:tcW w:w="100" w:type="dxa"/>
            <w:vAlign w:val="bottom"/>
          </w:tcPr>
          <w:p>
            <w:pPr>
              <w:spacing w:after="0"/>
              <w:rPr>
                <w:sz w:val="20"/>
                <w:szCs w:val="20"/>
                <w:color w:val="auto"/>
              </w:rPr>
            </w:pPr>
          </w:p>
        </w:tc>
      </w:tr>
      <w:tr>
        <w:trPr>
          <w:trHeight w:val="242"/>
        </w:trPr>
        <w:tc>
          <w:tcPr>
            <w:tcW w:w="4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Costs of sales and operating expenses</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530,541</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552,392</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1,618,690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1,526,872</w:t>
            </w: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79,125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75,381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250,870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221,721</w:t>
            </w:r>
          </w:p>
        </w:tc>
        <w:tc>
          <w:tcPr>
            <w:tcW w:w="100" w:type="dxa"/>
            <w:vAlign w:val="bottom"/>
          </w:tcPr>
          <w:p>
            <w:pPr>
              <w:spacing w:after="0"/>
              <w:rPr>
                <w:sz w:val="20"/>
                <w:szCs w:val="20"/>
                <w:color w:val="auto"/>
              </w:rPr>
            </w:pPr>
          </w:p>
        </w:tc>
      </w:tr>
      <w:tr>
        <w:trPr>
          <w:trHeight w:val="249"/>
        </w:trPr>
        <w:tc>
          <w:tcPr>
            <w:tcW w:w="4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Taxes, other than on income</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9,666</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28,610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28,332</w:t>
            </w: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53,445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50,419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156,251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150,498</w:t>
            </w:r>
          </w:p>
        </w:tc>
        <w:tc>
          <w:tcPr>
            <w:tcW w:w="100" w:type="dxa"/>
            <w:vAlign w:val="bottom"/>
          </w:tcPr>
          <w:p>
            <w:pPr>
              <w:spacing w:after="0"/>
              <w:rPr>
                <w:sz w:val="20"/>
                <w:szCs w:val="20"/>
                <w:color w:val="auto"/>
              </w:rPr>
            </w:pPr>
          </w:p>
        </w:tc>
      </w:tr>
      <w:tr>
        <w:trPr>
          <w:trHeight w:val="243"/>
        </w:trPr>
        <w:tc>
          <w:tcPr>
            <w:tcW w:w="4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Gain on disposition of assets</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(1,528 )</w:t>
            </w:r>
          </w:p>
        </w:tc>
        <w:tc>
          <w:tcPr>
            <w:tcW w:w="1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(377 )</w:t>
            </w:r>
          </w:p>
        </w:tc>
        <w:tc>
          <w:tcPr>
            <w:tcW w:w="2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(4,230 )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(7,971 )</w:t>
            </w:r>
          </w:p>
        </w:tc>
      </w:tr>
      <w:tr>
        <w:trPr>
          <w:trHeight w:val="236"/>
        </w:trPr>
        <w:tc>
          <w:tcPr>
            <w:tcW w:w="492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671,249</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686,936</w:t>
            </w:r>
          </w:p>
        </w:tc>
        <w:tc>
          <w:tcPr>
            <w:tcW w:w="28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2,050,191</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1,919,452</w:t>
            </w:r>
          </w:p>
        </w:tc>
        <w:tc>
          <w:tcPr>
            <w:tcW w:w="100" w:type="dxa"/>
            <w:vAlign w:val="bottom"/>
            <w:tcBorders>
              <w:top w:val="single" w:sz="8" w:color="CFF0FC"/>
            </w:tcBorders>
          </w:tcPr>
          <w:p>
            <w:pPr>
              <w:spacing w:after="0"/>
              <w:rPr>
                <w:sz w:val="20"/>
                <w:szCs w:val="20"/>
                <w:color w:val="auto"/>
              </w:rPr>
            </w:pPr>
          </w:p>
        </w:tc>
      </w:tr>
      <w:tr>
        <w:trPr>
          <w:trHeight w:val="242"/>
        </w:trPr>
        <w:tc>
          <w:tcPr>
            <w:tcW w:w="4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93,523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58,907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242,273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135,137</w:t>
            </w:r>
          </w:p>
        </w:tc>
        <w:tc>
          <w:tcPr>
            <w:tcW w:w="100" w:type="dxa"/>
            <w:vAlign w:val="bottom"/>
          </w:tcPr>
          <w:p>
            <w:pPr>
              <w:spacing w:after="0"/>
              <w:rPr>
                <w:sz w:val="20"/>
                <w:szCs w:val="20"/>
                <w:color w:val="auto"/>
              </w:rPr>
            </w:pPr>
          </w:p>
        </w:tc>
      </w:tr>
      <w:tr>
        <w:trPr>
          <w:trHeight w:val="249"/>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3,805</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9,296</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11,853</w:t>
            </w: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(13,386 )</w:t>
            </w:r>
          </w:p>
        </w:tc>
        <w:tc>
          <w:tcPr>
            <w:tcW w:w="12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(11,755 )</w:t>
            </w:r>
          </w:p>
        </w:tc>
        <w:tc>
          <w:tcPr>
            <w:tcW w:w="26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(38,893 )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(32,598 )</w:t>
            </w:r>
          </w:p>
        </w:tc>
      </w:tr>
      <w:tr>
        <w:trPr>
          <w:trHeight w:val="242"/>
        </w:trPr>
        <w:tc>
          <w:tcPr>
            <w:tcW w:w="492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Pr>
          <w:p>
            <w:pPr>
              <w:ind w:left="380"/>
              <w:spacing w:after="0"/>
              <w:rPr>
                <w:sz w:val="20"/>
                <w:szCs w:val="20"/>
                <w:color w:val="auto"/>
              </w:rPr>
            </w:pPr>
            <w:r>
              <w:rPr>
                <w:rFonts w:ascii="Arial" w:cs="Arial" w:eastAsia="Arial" w:hAnsi="Arial"/>
                <w:sz w:val="18"/>
                <w:szCs w:val="18"/>
                <w:color w:val="auto"/>
              </w:rPr>
              <w:t>Earnings before taxes on income</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81,726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50,957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212,676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114,392</w:t>
            </w:r>
          </w:p>
        </w:tc>
        <w:tc>
          <w:tcPr>
            <w:tcW w:w="100" w:type="dxa"/>
            <w:vAlign w:val="bottom"/>
          </w:tcPr>
          <w:p>
            <w:pPr>
              <w:spacing w:after="0"/>
              <w:rPr>
                <w:sz w:val="20"/>
                <w:szCs w:val="20"/>
                <w:color w:val="auto"/>
              </w:rPr>
            </w:pPr>
          </w:p>
        </w:tc>
      </w:tr>
      <w:tr>
        <w:trPr>
          <w:trHeight w:val="243"/>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taxes on income</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(18,722 )</w:t>
            </w:r>
          </w:p>
        </w:tc>
        <w:tc>
          <w:tcPr>
            <w:tcW w:w="1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(11,713 )</w:t>
            </w:r>
          </w:p>
        </w:tc>
        <w:tc>
          <w:tcPr>
            <w:tcW w:w="2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(51,733 )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(28,956 )</w:t>
            </w:r>
          </w:p>
        </w:tc>
      </w:tr>
      <w:tr>
        <w:trPr>
          <w:trHeight w:val="242"/>
        </w:trPr>
        <w:tc>
          <w:tcPr>
            <w:tcW w:w="492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43"/>
        </w:trPr>
        <w:tc>
          <w:tcPr>
            <w:tcW w:w="4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earnings</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63,004</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39,244</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160,943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85,436</w:t>
            </w: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Pr>
          <w:p>
            <w:pPr>
              <w:ind w:left="20"/>
              <w:spacing w:after="0"/>
              <w:rPr>
                <w:sz w:val="20"/>
                <w:szCs w:val="20"/>
                <w:color w:val="auto"/>
              </w:rPr>
            </w:pPr>
            <w:r>
              <w:rPr>
                <w:rFonts w:ascii="Arial" w:cs="Arial" w:eastAsia="Arial" w:hAnsi="Arial"/>
                <w:sz w:val="18"/>
                <w:szCs w:val="18"/>
                <w:color w:val="auto"/>
              </w:rPr>
              <w:t>Net (earnings) loss attributable to noncontrolling interests</w:t>
            </w:r>
          </w:p>
        </w:tc>
        <w:tc>
          <w:tcPr>
            <w:tcW w:w="2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(40 )</w:t>
            </w:r>
          </w:p>
        </w:tc>
        <w:tc>
          <w:tcPr>
            <w:tcW w:w="12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(153 )</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(454 )</w:t>
            </w:r>
          </w:p>
        </w:tc>
      </w:tr>
      <w:tr>
        <w:trPr>
          <w:trHeight w:val="242"/>
        </w:trPr>
        <w:tc>
          <w:tcPr>
            <w:tcW w:w="492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Pr>
          <w:p>
            <w:pPr>
              <w:ind w:left="380"/>
              <w:spacing w:after="0"/>
              <w:rPr>
                <w:sz w:val="20"/>
                <w:szCs w:val="20"/>
                <w:color w:val="auto"/>
              </w:rPr>
            </w:pPr>
            <w:r>
              <w:rPr>
                <w:rFonts w:ascii="Arial" w:cs="Arial" w:eastAsia="Arial" w:hAnsi="Arial"/>
                <w:sz w:val="18"/>
                <w:szCs w:val="18"/>
                <w:color w:val="auto"/>
              </w:rPr>
              <w:t>Net earnings attributable to Kirby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62,964</w:t>
            </w:r>
          </w:p>
        </w:tc>
        <w:tc>
          <w:tcPr>
            <w:tcW w:w="2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39,091</w:t>
            </w:r>
          </w:p>
        </w:tc>
        <w:tc>
          <w:tcPr>
            <w:tcW w:w="2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161,029</w:t>
            </w:r>
          </w:p>
        </w:tc>
        <w:tc>
          <w:tcPr>
            <w:tcW w:w="26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84,982</w:t>
            </w:r>
          </w:p>
        </w:tc>
        <w:tc>
          <w:tcPr>
            <w:tcW w:w="100" w:type="dxa"/>
            <w:vAlign w:val="bottom"/>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4920" w:type="dxa"/>
            <w:vAlign w:val="bottom"/>
          </w:tcPr>
          <w:p>
            <w:pPr>
              <w:ind w:left="20"/>
              <w:spacing w:after="0"/>
              <w:rPr>
                <w:sz w:val="20"/>
                <w:szCs w:val="20"/>
                <w:color w:val="auto"/>
              </w:rPr>
            </w:pPr>
            <w:r>
              <w:rPr>
                <w:rFonts w:ascii="Arial" w:cs="Arial" w:eastAsia="Arial" w:hAnsi="Arial"/>
                <w:sz w:val="18"/>
                <w:szCs w:val="18"/>
                <w:color w:val="auto"/>
              </w:rPr>
              <w:t>Net earnings per share attributable to Kirby common</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920" w:type="dxa"/>
            <w:vAlign w:val="bottom"/>
          </w:tcPr>
          <w:p>
            <w:pPr>
              <w:ind w:left="20"/>
              <w:spacing w:after="0"/>
              <w:rPr>
                <w:sz w:val="20"/>
                <w:szCs w:val="20"/>
                <w:color w:val="auto"/>
              </w:rPr>
            </w:pPr>
            <w:r>
              <w:rPr>
                <w:rFonts w:ascii="Arial" w:cs="Arial" w:eastAsia="Arial" w:hAnsi="Arial"/>
                <w:sz w:val="18"/>
                <w:szCs w:val="18"/>
                <w:color w:val="auto"/>
              </w:rPr>
              <w:t>stockholders: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3"/>
        </w:trPr>
        <w:tc>
          <w:tcPr>
            <w:tcW w:w="49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4920" w:type="dxa"/>
            <w:vAlign w:val="bottom"/>
          </w:tcPr>
          <w:p>
            <w:pPr>
              <w:ind w:left="20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-4126230</wp:posOffset>
            </wp:positionV>
            <wp:extent cx="7683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-4126230</wp:posOffset>
            </wp:positionV>
            <wp:extent cx="7683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-4126230</wp:posOffset>
            </wp:positionV>
            <wp:extent cx="685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-4126230</wp:posOffset>
            </wp:positionV>
            <wp:extent cx="685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-2876550</wp:posOffset>
            </wp:positionV>
            <wp:extent cx="7683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-2876550</wp:posOffset>
            </wp:positionV>
            <wp:extent cx="7683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-2876550</wp:posOffset>
            </wp:positionV>
            <wp:extent cx="685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-2876550</wp:posOffset>
            </wp:positionV>
            <wp:extent cx="685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-1617345</wp:posOffset>
            </wp:positionV>
            <wp:extent cx="76835"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-1617345</wp:posOffset>
            </wp:positionV>
            <wp:extent cx="76835"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-1617345</wp:posOffset>
            </wp:positionV>
            <wp:extent cx="6858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-1617345</wp:posOffset>
            </wp:positionV>
            <wp:extent cx="6858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-205105</wp:posOffset>
            </wp:positionV>
            <wp:extent cx="3150870"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50870" cy="205740"/>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3280" w:type="dxa"/>
            <w:vAlign w:val="bottom"/>
            <w:gridSpan w:val="6"/>
          </w:tcPr>
          <w:p>
            <w:pPr>
              <w:jc w:val="right"/>
              <w:ind w:right="608"/>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6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69"/>
        </w:trPr>
        <w:tc>
          <w:tcPr>
            <w:tcW w:w="492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34"/>
              <w:spacing w:after="0"/>
              <w:rPr>
                <w:sz w:val="20"/>
                <w:szCs w:val="20"/>
                <w:color w:val="auto"/>
              </w:rPr>
            </w:pPr>
            <w:r>
              <w:rPr>
                <w:rFonts w:ascii="Arial" w:cs="Arial" w:eastAsia="Arial" w:hAnsi="Arial"/>
                <w:sz w:val="14"/>
                <w:szCs w:val="14"/>
                <w:b w:val="1"/>
                <w:bCs w:val="1"/>
                <w:color w:val="auto"/>
              </w:rPr>
              <w:t>($ in</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thousands)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w:t>
            </w:r>
          </w:p>
        </w:tc>
        <w:tc>
          <w:tcPr>
            <w:tcW w:w="840" w:type="dxa"/>
            <w:vAlign w:val="bottom"/>
            <w:shd w:val="clear" w:color="auto" w:fill="CFF0FC"/>
          </w:tcPr>
          <w:p>
            <w:pPr>
              <w:jc w:val="right"/>
              <w:ind w:right="65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63,004</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39,244</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160,943</w:t>
            </w:r>
          </w:p>
        </w:tc>
        <w:tc>
          <w:tcPr>
            <w:tcW w:w="5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85,436</w:t>
            </w:r>
          </w:p>
        </w:tc>
        <w:tc>
          <w:tcPr>
            <w:tcW w:w="100" w:type="dxa"/>
            <w:vAlign w:val="bottom"/>
            <w:shd w:val="clear" w:color="auto" w:fill="CFF0FC"/>
          </w:tcPr>
          <w:p>
            <w:pPr>
              <w:spacing w:after="0"/>
              <w:rPr>
                <w:sz w:val="20"/>
                <w:szCs w:val="20"/>
                <w:color w:val="auto"/>
              </w:rPr>
            </w:pPr>
          </w:p>
        </w:tc>
      </w:tr>
      <w:tr>
        <w:trPr>
          <w:trHeight w:val="242"/>
        </w:trPr>
        <w:tc>
          <w:tcPr>
            <w:tcW w:w="4920" w:type="dxa"/>
            <w:vAlign w:val="bottom"/>
            <w:tcBorders>
              <w:top w:val="single" w:sz="8" w:color="CFF0FC"/>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43"/>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 net of taxes:</w:t>
            </w: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Pr>
          <w:p>
            <w:pPr>
              <w:ind w:left="200"/>
              <w:spacing w:after="0"/>
              <w:rPr>
                <w:sz w:val="20"/>
                <w:szCs w:val="20"/>
                <w:color w:val="auto"/>
              </w:rPr>
            </w:pPr>
            <w:r>
              <w:rPr>
                <w:rFonts w:ascii="Arial" w:cs="Arial" w:eastAsia="Arial" w:hAnsi="Arial"/>
                <w:sz w:val="18"/>
                <w:szCs w:val="18"/>
                <w:color w:val="auto"/>
              </w:rPr>
              <w:t>Pension and postretirement benefits</w:t>
            </w:r>
          </w:p>
        </w:tc>
        <w:tc>
          <w:tcPr>
            <w:tcW w:w="8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(61 )</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9,110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13,254</w:t>
            </w:r>
          </w:p>
        </w:tc>
        <w:tc>
          <w:tcPr>
            <w:tcW w:w="100" w:type="dxa"/>
            <w:vAlign w:val="bottom"/>
          </w:tcPr>
          <w:p>
            <w:pPr>
              <w:spacing w:after="0"/>
              <w:rPr>
                <w:sz w:val="20"/>
                <w:szCs w:val="20"/>
                <w:color w:val="auto"/>
              </w:rPr>
            </w:pPr>
          </w:p>
        </w:tc>
      </w:tr>
      <w:tr>
        <w:trPr>
          <w:trHeight w:val="243"/>
        </w:trPr>
        <w:tc>
          <w:tcPr>
            <w:tcW w:w="4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(608 )</w:t>
            </w:r>
          </w:p>
        </w:tc>
        <w:tc>
          <w:tcPr>
            <w:tcW w:w="3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(743 )</w:t>
            </w:r>
          </w:p>
        </w:tc>
      </w:tr>
      <w:tr>
        <w:trPr>
          <w:trHeight w:val="236"/>
        </w:trPr>
        <w:tc>
          <w:tcPr>
            <w:tcW w:w="492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other comprehensive income, net of taxes</w:t>
            </w:r>
          </w:p>
        </w:tc>
        <w:tc>
          <w:tcPr>
            <w:tcW w:w="8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8,502</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2,225</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12,511</w:t>
            </w:r>
          </w:p>
        </w:tc>
        <w:tc>
          <w:tcPr>
            <w:tcW w:w="100" w:type="dxa"/>
            <w:vAlign w:val="bottom"/>
            <w:tcBorders>
              <w:top w:val="single" w:sz="8" w:color="CFF0FC"/>
            </w:tcBorders>
          </w:tcPr>
          <w:p>
            <w:pPr>
              <w:spacing w:after="0"/>
              <w:rPr>
                <w:sz w:val="20"/>
                <w:szCs w:val="20"/>
                <w:color w:val="auto"/>
              </w:rPr>
            </w:pPr>
          </w:p>
        </w:tc>
      </w:tr>
      <w:tr>
        <w:trPr>
          <w:trHeight w:val="242"/>
        </w:trPr>
        <w:tc>
          <w:tcPr>
            <w:tcW w:w="49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Pr>
          <w:p>
            <w:pPr>
              <w:ind w:left="20"/>
              <w:spacing w:after="0"/>
              <w:rPr>
                <w:sz w:val="20"/>
                <w:szCs w:val="20"/>
                <w:color w:val="auto"/>
              </w:rPr>
            </w:pPr>
            <w:r>
              <w:rPr>
                <w:rFonts w:ascii="Arial" w:cs="Arial" w:eastAsia="Arial" w:hAnsi="Arial"/>
                <w:sz w:val="18"/>
                <w:szCs w:val="18"/>
                <w:color w:val="auto"/>
              </w:rPr>
              <w:t>Total comprehensive income, net of taxes</w:t>
            </w: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63,086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47,746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163,168</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97,947</w:t>
            </w:r>
          </w:p>
        </w:tc>
        <w:tc>
          <w:tcPr>
            <w:tcW w:w="100" w:type="dxa"/>
            <w:vAlign w:val="bottom"/>
          </w:tcPr>
          <w:p>
            <w:pPr>
              <w:spacing w:after="0"/>
              <w:rPr>
                <w:sz w:val="20"/>
                <w:szCs w:val="20"/>
                <w:color w:val="auto"/>
              </w:rPr>
            </w:pPr>
          </w:p>
        </w:tc>
      </w:tr>
      <w:tr>
        <w:trPr>
          <w:trHeight w:val="243"/>
        </w:trPr>
        <w:tc>
          <w:tcPr>
            <w:tcW w:w="4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(earnings) loss attributable to noncontrolling interests</w:t>
            </w:r>
          </w:p>
        </w:tc>
        <w:tc>
          <w:tcPr>
            <w:tcW w:w="8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(40 )</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(153 )</w:t>
            </w:r>
          </w:p>
        </w:tc>
        <w:tc>
          <w:tcPr>
            <w:tcW w:w="3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(454 )</w:t>
            </w:r>
          </w:p>
        </w:tc>
      </w:tr>
      <w:tr>
        <w:trPr>
          <w:trHeight w:val="242"/>
        </w:trPr>
        <w:tc>
          <w:tcPr>
            <w:tcW w:w="4920" w:type="dxa"/>
            <w:vAlign w:val="bottom"/>
            <w:tcBorders>
              <w:top w:val="single" w:sz="8" w:color="CFF0FC"/>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76"/>
        </w:trPr>
        <w:tc>
          <w:tcPr>
            <w:tcW w:w="49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Comprehensive income attributable to Kirby</w:t>
            </w:r>
          </w:p>
        </w:tc>
        <w:tc>
          <w:tcPr>
            <w:tcW w:w="840" w:type="dxa"/>
            <w:vAlign w:val="bottom"/>
            <w:tcBorders>
              <w:bottom w:val="single" w:sz="8" w:color="auto"/>
            </w:tcBorders>
            <w:shd w:val="clear" w:color="auto" w:fill="CFF0FC"/>
          </w:tcPr>
          <w:p>
            <w:pPr>
              <w:jc w:val="right"/>
              <w:ind w:right="65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63,046</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47,593</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163,254</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97,493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8"/>
        </w:trPr>
        <w:tc>
          <w:tcPr>
            <w:tcW w:w="8200" w:type="dxa"/>
            <w:vAlign w:val="bottom"/>
            <w:gridSpan w:val="7"/>
          </w:tcPr>
          <w:p>
            <w:pPr>
              <w:ind w:left="3480"/>
              <w:spacing w:after="0"/>
              <w:rPr>
                <w:sz w:val="20"/>
                <w:szCs w:val="20"/>
                <w:color w:val="auto"/>
              </w:rPr>
            </w:pPr>
            <w:r>
              <w:rPr>
                <w:rFonts w:ascii="Arial" w:cs="Arial" w:eastAsia="Arial" w:hAnsi="Arial"/>
                <w:sz w:val="18"/>
                <w:szCs w:val="18"/>
                <w:color w:val="auto"/>
                <w:w w:val="97"/>
              </w:rPr>
              <w:t>See accompanying notes to condensed financial statements.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1"/>
        </w:trPr>
        <w:tc>
          <w:tcPr>
            <w:tcW w:w="492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9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-2233930</wp:posOffset>
            </wp:positionV>
            <wp:extent cx="76835"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-2233930</wp:posOffset>
            </wp:positionV>
            <wp:extent cx="76835"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-2233930</wp:posOffset>
            </wp:positionV>
            <wp:extent cx="68580"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-2233930</wp:posOffset>
            </wp:positionV>
            <wp:extent cx="6858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-1609090</wp:posOffset>
            </wp:positionV>
            <wp:extent cx="7683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-1609090</wp:posOffset>
            </wp:positionV>
            <wp:extent cx="7683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-1609090</wp:posOffset>
            </wp:positionV>
            <wp:extent cx="6858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-1609090</wp:posOffset>
            </wp:positionV>
            <wp:extent cx="6858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-975360</wp:posOffset>
            </wp:positionV>
            <wp:extent cx="76835"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-975360</wp:posOffset>
            </wp:positionV>
            <wp:extent cx="76835"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-975360</wp:posOffset>
            </wp:positionV>
            <wp:extent cx="68580"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-975360</wp:posOffset>
            </wp:positionV>
            <wp:extent cx="68580"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-658495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-641350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-658495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-641350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-658495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-641350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jc w:val="right"/>
              <w:ind w:right="44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69"/>
        </w:trPr>
        <w:tc>
          <w:tcPr>
            <w:tcW w:w="81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8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 in</w:t>
            </w:r>
          </w:p>
        </w:tc>
        <w:tc>
          <w:tcPr>
            <w:tcW w:w="7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79"/>
              </w:rPr>
              <w:t>thousands)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20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160,943</w:t>
            </w:r>
          </w:p>
        </w:tc>
        <w:tc>
          <w:tcPr>
            <w:tcW w:w="2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85,436</w:t>
            </w: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earnings to net cash provided by operations:</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156,251</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150,498</w:t>
            </w: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Provision for deferred income taxes</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46,441</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25,986</w:t>
            </w: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380"/>
              <w:spacing w:after="0"/>
              <w:rPr>
                <w:sz w:val="20"/>
                <w:szCs w:val="20"/>
                <w:color w:val="auto"/>
              </w:rPr>
            </w:pPr>
            <w:r>
              <w:rPr>
                <w:rFonts w:ascii="Arial" w:cs="Arial" w:eastAsia="Arial" w:hAnsi="Arial"/>
                <w:sz w:val="18"/>
                <w:szCs w:val="18"/>
                <w:color w:val="auto"/>
              </w:rPr>
              <w:t>Amortization of share-based compensation</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12,310</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11,448</w:t>
            </w: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of major maintenance costs</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21,050</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21,677</w:t>
            </w: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1380" w:type="dxa"/>
            <w:vAlign w:val="bottom"/>
            <w:gridSpan w:val="2"/>
          </w:tcPr>
          <w:p>
            <w:pPr>
              <w:jc w:val="right"/>
              <w:ind w:right="119"/>
              <w:spacing w:after="0"/>
              <w:rPr>
                <w:sz w:val="20"/>
                <w:szCs w:val="20"/>
                <w:color w:val="auto"/>
              </w:rPr>
            </w:pPr>
            <w:r>
              <w:rPr>
                <w:rFonts w:ascii="Arial" w:cs="Arial" w:eastAsia="Arial" w:hAnsi="Arial"/>
                <w:sz w:val="18"/>
                <w:szCs w:val="18"/>
                <w:color w:val="auto"/>
              </w:rPr>
              <w:t>(8,001 )</w:t>
            </w:r>
          </w:p>
        </w:tc>
        <w:tc>
          <w:tcPr>
            <w:tcW w:w="4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(7,608 )</w:t>
            </w:r>
          </w:p>
        </w:tc>
      </w:tr>
      <w:tr>
        <w:trPr>
          <w:trHeight w:val="243"/>
        </w:trPr>
        <w:tc>
          <w:tcPr>
            <w:tcW w:w="81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Decrease in cash flows resulting from changes in operating assets and liabilities, net</w:t>
            </w:r>
          </w:p>
        </w:tc>
        <w:tc>
          <w:tcPr>
            <w:tcW w:w="2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(64,767 )</w:t>
            </w:r>
          </w:p>
        </w:tc>
        <w:tc>
          <w:tcPr>
            <w:tcW w:w="4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(126,252 )</w:t>
            </w:r>
          </w:p>
        </w:tc>
      </w:tr>
      <w:tr>
        <w:trPr>
          <w:trHeight w:val="236"/>
        </w:trPr>
        <w:tc>
          <w:tcPr>
            <w:tcW w:w="816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324,227</w:t>
            </w:r>
          </w:p>
        </w:tc>
        <w:tc>
          <w:tcPr>
            <w:tcW w:w="28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161,185</w:t>
            </w:r>
          </w:p>
        </w:tc>
        <w:tc>
          <w:tcPr>
            <w:tcW w:w="100" w:type="dxa"/>
            <w:vAlign w:val="bottom"/>
            <w:tcBorders>
              <w:top w:val="single" w:sz="8" w:color="CFF0FC"/>
            </w:tcBorders>
          </w:tcPr>
          <w:p>
            <w:pPr>
              <w:spacing w:after="0"/>
              <w:rPr>
                <w:sz w:val="20"/>
                <w:szCs w:val="20"/>
                <w:color w:val="auto"/>
              </w:rPr>
            </w:pPr>
          </w:p>
        </w:tc>
      </w:tr>
      <w:tr>
        <w:trPr>
          <w:trHeight w:val="242"/>
        </w:trPr>
        <w:tc>
          <w:tcPr>
            <w:tcW w:w="8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(274,963 )</w:t>
            </w:r>
          </w:p>
        </w:tc>
        <w:tc>
          <w:tcPr>
            <w:tcW w:w="4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(120,263 )</w:t>
            </w:r>
          </w:p>
        </w:tc>
      </w:tr>
      <w:tr>
        <w:trPr>
          <w:trHeight w:val="236"/>
        </w:trPr>
        <w:tc>
          <w:tcPr>
            <w:tcW w:w="8160" w:type="dxa"/>
            <w:vAlign w:val="bottom"/>
          </w:tcPr>
          <w:p>
            <w:pPr>
              <w:ind w:left="200"/>
              <w:spacing w:after="0"/>
              <w:rPr>
                <w:sz w:val="20"/>
                <w:szCs w:val="20"/>
                <w:color w:val="auto"/>
              </w:rPr>
            </w:pPr>
            <w:r>
              <w:rPr>
                <w:rFonts w:ascii="Arial" w:cs="Arial" w:eastAsia="Arial" w:hAnsi="Arial"/>
                <w:sz w:val="18"/>
                <w:szCs w:val="18"/>
                <w:color w:val="auto"/>
              </w:rPr>
              <w:t>Acquisitions of businesses and marine equipment</w:t>
            </w:r>
          </w:p>
        </w:tc>
        <w:tc>
          <w:tcPr>
            <w:tcW w:w="260" w:type="dxa"/>
            <w:vAlign w:val="bottom"/>
          </w:tcPr>
          <w:p>
            <w:pPr>
              <w:spacing w:after="0"/>
              <w:rPr>
                <w:sz w:val="20"/>
                <w:szCs w:val="20"/>
                <w:color w:val="auto"/>
              </w:rPr>
            </w:pPr>
          </w:p>
        </w:tc>
        <w:tc>
          <w:tcPr>
            <w:tcW w:w="1380" w:type="dxa"/>
            <w:vAlign w:val="bottom"/>
            <w:gridSpan w:val="2"/>
          </w:tcPr>
          <w:p>
            <w:pPr>
              <w:jc w:val="right"/>
              <w:ind w:right="119"/>
              <w:spacing w:after="0"/>
              <w:rPr>
                <w:sz w:val="20"/>
                <w:szCs w:val="20"/>
                <w:color w:val="auto"/>
              </w:rPr>
            </w:pPr>
            <w:r>
              <w:rPr>
                <w:rFonts w:ascii="Arial" w:cs="Arial" w:eastAsia="Arial" w:hAnsi="Arial"/>
                <w:sz w:val="18"/>
                <w:szCs w:val="18"/>
                <w:color w:val="auto"/>
              </w:rPr>
              <w:t>(37,500 )</w:t>
            </w:r>
          </w:p>
        </w:tc>
        <w:tc>
          <w:tcPr>
            <w:tcW w:w="4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(3,900 )</w:t>
            </w:r>
          </w:p>
        </w:tc>
      </w:tr>
      <w:tr>
        <w:trPr>
          <w:trHeight w:val="243"/>
        </w:trPr>
        <w:tc>
          <w:tcPr>
            <w:tcW w:w="8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Proceeds from disposition of assets</w:t>
            </w:r>
          </w:p>
        </w:tc>
        <w:tc>
          <w:tcPr>
            <w:tcW w:w="2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21,846</w:t>
            </w:r>
          </w:p>
        </w:tc>
        <w:tc>
          <w:tcPr>
            <w:tcW w:w="2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16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20"/>
                <w:szCs w:val="20"/>
                <w:color w:val="auto"/>
              </w:rPr>
            </w:pPr>
          </w:p>
        </w:tc>
        <w:tc>
          <w:tcPr>
            <w:tcW w:w="1380" w:type="dxa"/>
            <w:vAlign w:val="bottom"/>
            <w:gridSpan w:val="2"/>
          </w:tcPr>
          <w:p>
            <w:pPr>
              <w:jc w:val="right"/>
              <w:ind w:right="119"/>
              <w:spacing w:after="0"/>
              <w:rPr>
                <w:sz w:val="20"/>
                <w:szCs w:val="20"/>
                <w:color w:val="auto"/>
              </w:rPr>
            </w:pPr>
            <w:r>
              <w:rPr>
                <w:rFonts w:ascii="Arial" w:cs="Arial" w:eastAsia="Arial" w:hAnsi="Arial"/>
                <w:sz w:val="18"/>
                <w:szCs w:val="18"/>
                <w:color w:val="auto"/>
              </w:rPr>
              <w:t>(290,617 )</w:t>
            </w:r>
          </w:p>
        </w:tc>
        <w:tc>
          <w:tcPr>
            <w:tcW w:w="4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(91,259 )</w:t>
            </w:r>
          </w:p>
        </w:tc>
      </w:tr>
      <w:tr>
        <w:trPr>
          <w:trHeight w:val="242"/>
        </w:trPr>
        <w:tc>
          <w:tcPr>
            <w:tcW w:w="816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Borrowings on bank credit facilities, net</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100,316</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21,664</w:t>
            </w: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200"/>
              <w:spacing w:after="0"/>
              <w:rPr>
                <w:sz w:val="20"/>
                <w:szCs w:val="20"/>
                <w:color w:val="auto"/>
              </w:rPr>
            </w:pPr>
            <w:r>
              <w:rPr>
                <w:rFonts w:ascii="Arial" w:cs="Arial" w:eastAsia="Arial" w:hAnsi="Arial"/>
                <w:sz w:val="18"/>
                <w:szCs w:val="18"/>
                <w:color w:val="auto"/>
              </w:rPr>
              <w:t>Borrowings on long-term debt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240,000</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on long-term debt</w:t>
            </w:r>
          </w:p>
        </w:tc>
        <w:tc>
          <w:tcPr>
            <w:tcW w:w="2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(350,000 )</w:t>
            </w:r>
          </w:p>
        </w:tc>
        <w:tc>
          <w:tcPr>
            <w:tcW w:w="4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(315,000 )</w:t>
            </w:r>
          </w:p>
        </w:tc>
      </w:tr>
      <w:tr>
        <w:trPr>
          <w:trHeight w:val="236"/>
        </w:trPr>
        <w:tc>
          <w:tcPr>
            <w:tcW w:w="8160" w:type="dxa"/>
            <w:vAlign w:val="bottom"/>
          </w:tcPr>
          <w:p>
            <w:pPr>
              <w:ind w:left="200"/>
              <w:spacing w:after="0"/>
              <w:rPr>
                <w:sz w:val="20"/>
                <w:szCs w:val="20"/>
                <w:color w:val="auto"/>
              </w:rPr>
            </w:pPr>
            <w:r>
              <w:rPr>
                <w:rFonts w:ascii="Arial" w:cs="Arial" w:eastAsia="Arial" w:hAnsi="Arial"/>
                <w:sz w:val="18"/>
                <w:szCs w:val="18"/>
                <w:color w:val="auto"/>
              </w:rPr>
              <w:t>Payment of debt issuance costs</w:t>
            </w:r>
          </w:p>
        </w:tc>
        <w:tc>
          <w:tcPr>
            <w:tcW w:w="260" w:type="dxa"/>
            <w:vAlign w:val="bottom"/>
          </w:tcPr>
          <w:p>
            <w:pPr>
              <w:spacing w:after="0"/>
              <w:rPr>
                <w:sz w:val="20"/>
                <w:szCs w:val="20"/>
                <w:color w:val="auto"/>
              </w:rPr>
            </w:pPr>
          </w:p>
        </w:tc>
        <w:tc>
          <w:tcPr>
            <w:tcW w:w="1380" w:type="dxa"/>
            <w:vAlign w:val="bottom"/>
            <w:gridSpan w:val="2"/>
          </w:tcPr>
          <w:p>
            <w:pPr>
              <w:jc w:val="right"/>
              <w:ind w:right="119"/>
              <w:spacing w:after="0"/>
              <w:rPr>
                <w:sz w:val="20"/>
                <w:szCs w:val="20"/>
                <w:color w:val="auto"/>
              </w:rPr>
            </w:pPr>
            <w:r>
              <w:rPr>
                <w:rFonts w:ascii="Arial" w:cs="Arial" w:eastAsia="Arial" w:hAnsi="Arial"/>
                <w:sz w:val="18"/>
                <w:szCs w:val="18"/>
                <w:color w:val="auto"/>
              </w:rPr>
              <w:t>(1,237 )</w:t>
            </w:r>
          </w:p>
        </w:tc>
        <w:tc>
          <w:tcPr>
            <w:tcW w:w="4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(1,538 )</w:t>
            </w:r>
          </w:p>
        </w:tc>
      </w:tr>
      <w:tr>
        <w:trPr>
          <w:trHeight w:val="249"/>
        </w:trPr>
        <w:tc>
          <w:tcPr>
            <w:tcW w:w="8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3,431</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3,885</w:t>
            </w: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200"/>
              <w:spacing w:after="0"/>
              <w:rPr>
                <w:sz w:val="20"/>
                <w:szCs w:val="20"/>
                <w:color w:val="auto"/>
              </w:rPr>
            </w:pPr>
            <w:r>
              <w:rPr>
                <w:rFonts w:ascii="Arial" w:cs="Arial" w:eastAsia="Arial" w:hAnsi="Arial"/>
                <w:sz w:val="18"/>
                <w:szCs w:val="18"/>
                <w:color w:val="auto"/>
              </w:rPr>
              <w:t>Payments related to tax withholding for share-based compensation</w:t>
            </w:r>
          </w:p>
        </w:tc>
        <w:tc>
          <w:tcPr>
            <w:tcW w:w="260" w:type="dxa"/>
            <w:vAlign w:val="bottom"/>
          </w:tcPr>
          <w:p>
            <w:pPr>
              <w:spacing w:after="0"/>
              <w:rPr>
                <w:sz w:val="20"/>
                <w:szCs w:val="20"/>
                <w:color w:val="auto"/>
              </w:rPr>
            </w:pPr>
          </w:p>
        </w:tc>
        <w:tc>
          <w:tcPr>
            <w:tcW w:w="1380" w:type="dxa"/>
            <w:vAlign w:val="bottom"/>
            <w:gridSpan w:val="2"/>
          </w:tcPr>
          <w:p>
            <w:pPr>
              <w:jc w:val="right"/>
              <w:ind w:right="119"/>
              <w:spacing w:after="0"/>
              <w:rPr>
                <w:sz w:val="20"/>
                <w:szCs w:val="20"/>
                <w:color w:val="auto"/>
              </w:rPr>
            </w:pPr>
            <w:r>
              <w:rPr>
                <w:rFonts w:ascii="Arial" w:cs="Arial" w:eastAsia="Arial" w:hAnsi="Arial"/>
                <w:sz w:val="18"/>
                <w:szCs w:val="18"/>
                <w:color w:val="auto"/>
              </w:rPr>
              <w:t>(3,598 )</w:t>
            </w:r>
          </w:p>
        </w:tc>
        <w:tc>
          <w:tcPr>
            <w:tcW w:w="4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(3,193 )</w:t>
            </w:r>
          </w:p>
        </w:tc>
      </w:tr>
      <w:tr>
        <w:trPr>
          <w:trHeight w:val="249"/>
        </w:trPr>
        <w:tc>
          <w:tcPr>
            <w:tcW w:w="8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Treasury stock purchases</w:t>
            </w:r>
          </w:p>
        </w:tc>
        <w:tc>
          <w:tcPr>
            <w:tcW w:w="2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(60,910 )</w:t>
            </w:r>
          </w:p>
        </w:tc>
        <w:tc>
          <w:tcPr>
            <w:tcW w:w="4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(22,901 )</w:t>
            </w:r>
          </w:p>
        </w:tc>
      </w:tr>
      <w:tr>
        <w:trPr>
          <w:trHeight w:val="236"/>
        </w:trPr>
        <w:tc>
          <w:tcPr>
            <w:tcW w:w="8160" w:type="dxa"/>
            <w:vAlign w:val="bottom"/>
          </w:tcPr>
          <w:p>
            <w:pPr>
              <w:ind w:left="200"/>
              <w:spacing w:after="0"/>
              <w:rPr>
                <w:sz w:val="20"/>
                <w:szCs w:val="20"/>
                <w:color w:val="auto"/>
              </w:rPr>
            </w:pPr>
            <w:r>
              <w:rPr>
                <w:rFonts w:ascii="Arial" w:cs="Arial" w:eastAsia="Arial" w:hAnsi="Arial"/>
                <w:sz w:val="18"/>
                <w:szCs w:val="18"/>
                <w:color w:val="auto"/>
              </w:rPr>
              <w:t>Return of investment to noncontrolling interest and other</w:t>
            </w:r>
          </w:p>
        </w:tc>
        <w:tc>
          <w:tcPr>
            <w:tcW w:w="260" w:type="dxa"/>
            <w:vAlign w:val="bottom"/>
          </w:tcPr>
          <w:p>
            <w:pPr>
              <w:spacing w:after="0"/>
              <w:rPr>
                <w:sz w:val="20"/>
                <w:szCs w:val="20"/>
                <w:color w:val="auto"/>
              </w:rPr>
            </w:pPr>
          </w:p>
        </w:tc>
        <w:tc>
          <w:tcPr>
            <w:tcW w:w="1380" w:type="dxa"/>
            <w:vAlign w:val="bottom"/>
            <w:gridSpan w:val="2"/>
          </w:tcPr>
          <w:p>
            <w:pPr>
              <w:jc w:val="right"/>
              <w:ind w:right="119"/>
              <w:spacing w:after="0"/>
              <w:rPr>
                <w:sz w:val="20"/>
                <w:szCs w:val="20"/>
                <w:color w:val="auto"/>
              </w:rPr>
            </w:pPr>
            <w:r>
              <w:rPr>
                <w:rFonts w:ascii="Arial" w:cs="Arial" w:eastAsia="Arial" w:hAnsi="Arial"/>
                <w:sz w:val="18"/>
                <w:szCs w:val="18"/>
                <w:color w:val="auto"/>
              </w:rPr>
              <w:t>(73 )</w:t>
            </w:r>
          </w:p>
        </w:tc>
        <w:tc>
          <w:tcPr>
            <w:tcW w:w="4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(665 )</w:t>
            </w:r>
          </w:p>
        </w:tc>
      </w:tr>
      <w:tr>
        <w:trPr>
          <w:trHeight w:val="236"/>
        </w:trPr>
        <w:tc>
          <w:tcPr>
            <w:tcW w:w="81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(72,071</w:t>
            </w:r>
          </w:p>
        </w:tc>
        <w:tc>
          <w:tcPr>
            <w:tcW w:w="28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(67,748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8160" w:type="dxa"/>
            <w:vAlign w:val="bottom"/>
          </w:tcPr>
          <w:p>
            <w:pPr>
              <w:ind w:left="380"/>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tcPr>
          <w:p>
            <w:pPr>
              <w:spacing w:after="0"/>
              <w:rPr>
                <w:sz w:val="20"/>
                <w:szCs w:val="20"/>
                <w:color w:val="auto"/>
              </w:rPr>
            </w:pPr>
          </w:p>
        </w:tc>
        <w:tc>
          <w:tcPr>
            <w:tcW w:w="1380" w:type="dxa"/>
            <w:vAlign w:val="bottom"/>
            <w:gridSpan w:val="2"/>
          </w:tcPr>
          <w:p>
            <w:pPr>
              <w:jc w:val="right"/>
              <w:ind w:right="119"/>
              <w:spacing w:after="0"/>
              <w:rPr>
                <w:sz w:val="20"/>
                <w:szCs w:val="20"/>
                <w:color w:val="auto"/>
              </w:rPr>
            </w:pPr>
            <w:r>
              <w:rPr>
                <w:rFonts w:ascii="Arial" w:cs="Arial" w:eastAsia="Arial" w:hAnsi="Arial"/>
                <w:sz w:val="18"/>
                <w:szCs w:val="18"/>
                <w:color w:val="auto"/>
              </w:rPr>
              <w:t>(38,461 )</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80,577</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34,813</w:t>
            </w:r>
          </w:p>
        </w:tc>
        <w:tc>
          <w:tcPr>
            <w:tcW w:w="100" w:type="dxa"/>
            <w:vAlign w:val="bottom"/>
          </w:tcPr>
          <w:p>
            <w:pPr>
              <w:spacing w:after="0"/>
              <w:rPr>
                <w:sz w:val="20"/>
                <w:szCs w:val="20"/>
                <w:color w:val="auto"/>
              </w:rPr>
            </w:pPr>
          </w:p>
        </w:tc>
      </w:tr>
      <w:tr>
        <w:trPr>
          <w:trHeight w:val="276"/>
        </w:trPr>
        <w:tc>
          <w:tcPr>
            <w:tcW w:w="8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42,116</w:t>
            </w:r>
          </w:p>
        </w:tc>
        <w:tc>
          <w:tcPr>
            <w:tcW w:w="28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36,991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9"/>
        </w:trPr>
        <w:tc>
          <w:tcPr>
            <w:tcW w:w="8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200"/>
              <w:spacing w:after="0"/>
              <w:rPr>
                <w:sz w:val="20"/>
                <w:szCs w:val="20"/>
                <w:color w:val="auto"/>
              </w:rPr>
            </w:pPr>
            <w:r>
              <w:rPr>
                <w:rFonts w:ascii="Arial" w:cs="Arial" w:eastAsia="Arial" w:hAnsi="Arial"/>
                <w:sz w:val="18"/>
                <w:szCs w:val="18"/>
                <w:color w:val="auto"/>
              </w:rPr>
              <w:t>Cash paid (received) during the period:</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Interest paid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45,276</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39,754</w:t>
            </w: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380"/>
              <w:spacing w:after="0"/>
              <w:rPr>
                <w:sz w:val="20"/>
                <w:szCs w:val="20"/>
                <w:color w:val="auto"/>
              </w:rPr>
            </w:pPr>
            <w:r>
              <w:rPr>
                <w:rFonts w:ascii="Arial" w:cs="Arial" w:eastAsia="Arial" w:hAnsi="Arial"/>
                <w:sz w:val="18"/>
                <w:szCs w:val="18"/>
                <w:color w:val="auto"/>
              </w:rPr>
              <w:t>Income taxes paid (refunded),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19"/>
              <w:spacing w:after="0"/>
              <w:rPr>
                <w:sz w:val="20"/>
                <w:szCs w:val="20"/>
                <w:color w:val="auto"/>
              </w:rPr>
            </w:pPr>
            <w:r>
              <w:rPr>
                <w:rFonts w:ascii="Arial" w:cs="Arial" w:eastAsia="Arial" w:hAnsi="Arial"/>
                <w:sz w:val="18"/>
                <w:szCs w:val="18"/>
                <w:color w:val="auto"/>
              </w:rPr>
              <w:t>(67,118 )</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cash outflow from operating leases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33,266</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33,412</w:t>
            </w: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200"/>
              <w:spacing w:after="0"/>
              <w:rPr>
                <w:sz w:val="20"/>
                <w:szCs w:val="20"/>
                <w:color w:val="auto"/>
              </w:rPr>
            </w:pPr>
            <w:r>
              <w:rPr>
                <w:rFonts w:ascii="Arial" w:cs="Arial" w:eastAsia="Arial" w:hAnsi="Arial"/>
                <w:sz w:val="18"/>
                <w:szCs w:val="18"/>
                <w:color w:val="auto"/>
              </w:rPr>
              <w:t>Non-cash investing activity:</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Capital expenditures included in accounts payable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(2,305 )</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(8,508 )</w:t>
            </w:r>
          </w:p>
        </w:tc>
      </w:tr>
      <w:tr>
        <w:trPr>
          <w:trHeight w:val="230"/>
        </w:trPr>
        <w:tc>
          <w:tcPr>
            <w:tcW w:w="8160" w:type="dxa"/>
            <w:vAlign w:val="bottom"/>
          </w:tcPr>
          <w:p>
            <w:pPr>
              <w:ind w:left="380"/>
              <w:spacing w:after="0"/>
              <w:rPr>
                <w:sz w:val="20"/>
                <w:szCs w:val="20"/>
                <w:color w:val="auto"/>
              </w:rPr>
            </w:pPr>
            <w:r>
              <w:rPr>
                <w:rFonts w:ascii="Arial" w:cs="Arial" w:eastAsia="Arial" w:hAnsi="Arial"/>
                <w:sz w:val="18"/>
                <w:szCs w:val="18"/>
                <w:color w:val="auto"/>
              </w:rPr>
              <w:t>Right-of-use assets obtained in exchange for lease obligations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32,652</w:t>
            </w:r>
          </w:p>
        </w:tc>
        <w:tc>
          <w:tcPr>
            <w:tcW w:w="2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14,329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-4854575</wp:posOffset>
            </wp:positionV>
            <wp:extent cx="7683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-4854575</wp:posOffset>
            </wp:positionV>
            <wp:extent cx="6858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-3912870</wp:posOffset>
            </wp:positionV>
            <wp:extent cx="7683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-3912870</wp:posOffset>
            </wp:positionV>
            <wp:extent cx="6858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-2037715</wp:posOffset>
            </wp:positionV>
            <wp:extent cx="76835" cy="16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-2037715</wp:posOffset>
            </wp:positionV>
            <wp:extent cx="68580"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-1403985</wp:posOffset>
            </wp:positionV>
            <wp:extent cx="108712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87120" cy="179705"/>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1480" w:type="dxa"/>
            <w:vAlign w:val="bottom"/>
            <w:gridSpan w:val="3"/>
            <w:vMerge w:val="restart"/>
          </w:tcPr>
          <w:p>
            <w:pPr>
              <w:jc w:val="right"/>
              <w:ind w:right="17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5"/>
            <w:vMerge w:val="restart"/>
          </w:tcPr>
          <w:p>
            <w:pPr>
              <w:jc w:val="right"/>
              <w:ind w:right="560"/>
              <w:spacing w:after="0"/>
              <w:rPr>
                <w:sz w:val="20"/>
                <w:szCs w:val="20"/>
                <w:color w:val="auto"/>
              </w:rPr>
            </w:pPr>
            <w:r>
              <w:rPr>
                <w:rFonts w:ascii="Arial" w:cs="Arial" w:eastAsia="Arial" w:hAnsi="Arial"/>
                <w:sz w:val="14"/>
                <w:szCs w:val="14"/>
                <w:b w:val="1"/>
                <w:bCs w:val="1"/>
                <w:color w:val="auto"/>
              </w:rPr>
              <w:t>Treasury Stock</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4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Paid-in-</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Retained</w:t>
            </w:r>
          </w:p>
        </w:tc>
        <w:tc>
          <w:tcPr>
            <w:tcW w:w="1840" w:type="dxa"/>
            <w:vAlign w:val="bottom"/>
            <w:gridSpan w:val="5"/>
            <w:vMerge w:val="continue"/>
          </w:tcPr>
          <w:p>
            <w:pPr>
              <w:spacing w:after="0"/>
              <w:rPr>
                <w:sz w:val="15"/>
                <w:szCs w:val="15"/>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3"/>
              </w:rPr>
              <w:t>Income, Net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w w:val="87"/>
              </w:rPr>
              <w:t>(in thousands)</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7"/>
              </w:rPr>
              <w:t>Balance at June 30, 2023</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2,566,7</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(339,65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65,472</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$ 6,547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857,965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18,996</w:t>
            </w:r>
          </w:p>
        </w:tc>
        <w:tc>
          <w:tcPr>
            <w:tcW w:w="12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(5,946 )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3,112,809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40" w:type="dxa"/>
            <w:vAlign w:val="bottom"/>
          </w:tcPr>
          <w:p>
            <w:pPr>
              <w:ind w:left="200"/>
              <w:spacing w:after="0"/>
              <w:rPr>
                <w:sz w:val="20"/>
                <w:szCs w:val="20"/>
                <w:color w:val="auto"/>
              </w:rPr>
            </w:pPr>
            <w:r>
              <w:rPr>
                <w:rFonts w:ascii="Arial" w:cs="Arial" w:eastAsia="Arial" w:hAnsi="Arial"/>
                <w:sz w:val="18"/>
                <w:szCs w:val="18"/>
                <w:color w:val="auto"/>
              </w:rPr>
              <w:t>Stock option exercises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2,739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stock for</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equity awards, net of</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forfeitures</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(9 )</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40" w:type="dxa"/>
            <w:vAlign w:val="bottom"/>
          </w:tcPr>
          <w:p>
            <w:pPr>
              <w:ind w:left="200"/>
              <w:spacing w:after="0"/>
              <w:rPr>
                <w:sz w:val="20"/>
                <w:szCs w:val="20"/>
                <w:color w:val="auto"/>
              </w:rPr>
            </w:pPr>
            <w:r>
              <w:rPr>
                <w:rFonts w:ascii="Arial" w:cs="Arial" w:eastAsia="Arial" w:hAnsi="Arial"/>
                <w:sz w:val="18"/>
                <w:szCs w:val="18"/>
                <w:color w:val="auto"/>
              </w:rPr>
              <w:t>Tax withholdings on</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40" w:type="dxa"/>
            <w:vAlign w:val="bottom"/>
          </w:tcPr>
          <w:p>
            <w:pPr>
              <w:ind w:left="200"/>
              <w:spacing w:after="0"/>
              <w:rPr>
                <w:sz w:val="20"/>
                <w:szCs w:val="20"/>
                <w:color w:val="auto"/>
              </w:rPr>
            </w:pPr>
            <w:r>
              <w:rPr>
                <w:rFonts w:ascii="Arial" w:cs="Arial" w:eastAsia="Arial" w:hAnsi="Arial"/>
                <w:sz w:val="18"/>
                <w:szCs w:val="18"/>
                <w:color w:val="auto"/>
              </w:rPr>
              <w:t>equity award vesting</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(2 )</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2"/>
        </w:trPr>
        <w:tc>
          <w:tcPr>
            <w:tcW w:w="2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unearned share-based</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compensation</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3,398</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40" w:type="dxa"/>
            <w:vAlign w:val="bottom"/>
          </w:tcPr>
          <w:p>
            <w:pPr>
              <w:ind w:left="200"/>
              <w:spacing w:after="0"/>
              <w:rPr>
                <w:sz w:val="20"/>
                <w:szCs w:val="20"/>
                <w:color w:val="auto"/>
              </w:rPr>
            </w:pPr>
            <w:r>
              <w:rPr>
                <w:rFonts w:ascii="Arial" w:cs="Arial" w:eastAsia="Arial" w:hAnsi="Arial"/>
                <w:sz w:val="18"/>
                <w:szCs w:val="18"/>
                <w:color w:val="auto"/>
                <w:w w:val="88"/>
              </w:rPr>
              <w:t>Treasury stock purchases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(291 )</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(23,310 )</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(23,310 )</w:t>
            </w:r>
          </w:p>
        </w:tc>
        <w:tc>
          <w:tcPr>
            <w:tcW w:w="0" w:type="dxa"/>
            <w:vAlign w:val="bottom"/>
          </w:tcPr>
          <w:p>
            <w:pPr>
              <w:spacing w:after="0"/>
              <w:rPr>
                <w:sz w:val="1"/>
                <w:szCs w:val="1"/>
                <w:color w:val="auto"/>
              </w:rPr>
            </w:pPr>
          </w:p>
        </w:tc>
      </w:tr>
      <w:tr>
        <w:trPr>
          <w:trHeight w:val="221"/>
        </w:trPr>
        <w:tc>
          <w:tcPr>
            <w:tcW w:w="20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2"/>
              </w:rPr>
              <w:t>Excise taxes on treasury</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 purchases</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(197 )</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(197 )</w:t>
            </w:r>
          </w:p>
        </w:tc>
        <w:tc>
          <w:tcPr>
            <w:tcW w:w="0" w:type="dxa"/>
            <w:vAlign w:val="bottom"/>
          </w:tcPr>
          <w:p>
            <w:pPr>
              <w:spacing w:after="0"/>
              <w:rPr>
                <w:sz w:val="1"/>
                <w:szCs w:val="1"/>
                <w:color w:val="auto"/>
              </w:rPr>
            </w:pPr>
          </w:p>
        </w:tc>
      </w:tr>
      <w:tr>
        <w:trPr>
          <w:trHeight w:val="215"/>
        </w:trPr>
        <w:tc>
          <w:tcPr>
            <w:tcW w:w="2040" w:type="dxa"/>
            <w:vAlign w:val="bottom"/>
          </w:tcPr>
          <w:p>
            <w:pPr>
              <w:ind w:left="200"/>
              <w:spacing w:after="0"/>
              <w:rPr>
                <w:sz w:val="20"/>
                <w:szCs w:val="20"/>
                <w:color w:val="auto"/>
              </w:rPr>
            </w:pPr>
            <w:r>
              <w:rPr>
                <w:rFonts w:ascii="Arial" w:cs="Arial" w:eastAsia="Arial" w:hAnsi="Arial"/>
                <w:sz w:val="18"/>
                <w:szCs w:val="18"/>
                <w:color w:val="auto"/>
              </w:rPr>
              <w:t>Total comprehensive</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40" w:type="dxa"/>
            <w:vAlign w:val="bottom"/>
          </w:tcPr>
          <w:p>
            <w:pPr>
              <w:ind w:left="200"/>
              <w:spacing w:after="0"/>
              <w:rPr>
                <w:sz w:val="20"/>
                <w:szCs w:val="20"/>
                <w:color w:val="auto"/>
              </w:rPr>
            </w:pPr>
            <w:r>
              <w:rPr>
                <w:rFonts w:ascii="Arial" w:cs="Arial" w:eastAsia="Arial" w:hAnsi="Arial"/>
                <w:sz w:val="18"/>
                <w:szCs w:val="18"/>
                <w:color w:val="auto"/>
              </w:rPr>
              <w:t>income, net of taxes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62,964</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63,086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7"/>
              </w:rPr>
              <w:t>Return of investment to</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(1,015 )</w:t>
            </w:r>
          </w:p>
        </w:tc>
        <w:tc>
          <w:tcPr>
            <w:tcW w:w="120" w:type="dxa"/>
            <w:vAlign w:val="bottom"/>
            <w:shd w:val="clear" w:color="auto" w:fill="CFF0FC"/>
          </w:tcPr>
          <w:p>
            <w:pPr>
              <w:spacing w:after="0"/>
              <w:rPr>
                <w:sz w:val="19"/>
                <w:szCs w:val="19"/>
                <w:color w:val="auto"/>
              </w:rPr>
            </w:pPr>
          </w:p>
        </w:tc>
        <w:tc>
          <w:tcPr>
            <w:tcW w:w="8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(1,015 )</w:t>
            </w:r>
          </w:p>
        </w:tc>
        <w:tc>
          <w:tcPr>
            <w:tcW w:w="0" w:type="dxa"/>
            <w:vAlign w:val="bottom"/>
          </w:tcPr>
          <w:p>
            <w:pPr>
              <w:spacing w:after="0"/>
              <w:rPr>
                <w:sz w:val="1"/>
                <w:szCs w:val="1"/>
                <w:color w:val="auto"/>
              </w:rPr>
            </w:pPr>
          </w:p>
        </w:tc>
      </w:tr>
      <w:tr>
        <w:trPr>
          <w:trHeight w:val="230"/>
        </w:trPr>
        <w:tc>
          <w:tcPr>
            <w:tcW w:w="20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8"/>
              </w:rPr>
              <w:t>noncontrolling interests</w:t>
            </w:r>
          </w:p>
        </w:tc>
        <w:tc>
          <w:tcPr>
            <w:tcW w:w="70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4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gridSpan w:val="2"/>
            <w:vMerge w:val="continue"/>
            <w:shd w:val="clear" w:color="auto" w:fill="CFF0FC"/>
          </w:tcPr>
          <w:p>
            <w:pPr>
              <w:spacing w:after="0"/>
              <w:rPr>
                <w:sz w:val="20"/>
                <w:szCs w:val="20"/>
                <w:color w:val="auto"/>
              </w:rPr>
            </w:pPr>
          </w:p>
        </w:tc>
        <w:tc>
          <w:tcPr>
            <w:tcW w:w="90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w w:val="96"/>
              </w:rPr>
              <w:t>Balance at September 30,</w:t>
            </w: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2,629,7</w:t>
            </w:r>
          </w:p>
        </w:tc>
        <w:tc>
          <w:tcPr>
            <w:tcW w:w="220" w:type="dxa"/>
            <w:vAlign w:val="bottom"/>
            <w:tcBorders>
              <w:top w:val="single" w:sz="8" w:color="CFF0FC"/>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(360,42</w:t>
            </w: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3,158,08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40" w:type="dxa"/>
            <w:vAlign w:val="bottom"/>
          </w:tcPr>
          <w:p>
            <w:pPr>
              <w:ind w:left="20"/>
              <w:spacing w:after="0"/>
              <w:rPr>
                <w:sz w:val="20"/>
                <w:szCs w:val="20"/>
                <w:color w:val="auto"/>
              </w:rPr>
            </w:pPr>
            <w:r>
              <w:rPr>
                <w:rFonts w:ascii="Arial" w:cs="Arial" w:eastAsia="Arial" w:hAnsi="Arial"/>
                <w:sz w:val="18"/>
                <w:szCs w:val="18"/>
                <w:color w:val="auto"/>
              </w:rPr>
              <w:t>2023</w:t>
            </w:r>
          </w:p>
        </w:tc>
        <w:tc>
          <w:tcPr>
            <w:tcW w:w="700" w:type="dxa"/>
            <w:vAlign w:val="bottom"/>
          </w:tcPr>
          <w:p>
            <w:pPr>
              <w:jc w:val="right"/>
              <w:spacing w:after="0"/>
              <w:rPr>
                <w:sz w:val="20"/>
                <w:szCs w:val="20"/>
                <w:color w:val="auto"/>
              </w:rPr>
            </w:pPr>
            <w:r>
              <w:rPr>
                <w:rFonts w:ascii="Arial" w:cs="Arial" w:eastAsia="Arial" w:hAnsi="Arial"/>
                <w:sz w:val="18"/>
                <w:szCs w:val="18"/>
                <w:color w:val="auto"/>
              </w:rPr>
              <w:t>65,472</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$ 6,547</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861,928</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19,078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(6,189 )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1,190</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2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1480" w:type="dxa"/>
            <w:vAlign w:val="bottom"/>
            <w:gridSpan w:val="3"/>
            <w:vMerge w:val="restart"/>
          </w:tcPr>
          <w:p>
            <w:pPr>
              <w:jc w:val="right"/>
              <w:ind w:right="17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5"/>
            <w:vMerge w:val="restart"/>
          </w:tcPr>
          <w:p>
            <w:pPr>
              <w:jc w:val="right"/>
              <w:ind w:right="560"/>
              <w:spacing w:after="0"/>
              <w:rPr>
                <w:sz w:val="20"/>
                <w:szCs w:val="20"/>
                <w:color w:val="auto"/>
              </w:rPr>
            </w:pPr>
            <w:r>
              <w:rPr>
                <w:rFonts w:ascii="Arial" w:cs="Arial" w:eastAsia="Arial" w:hAnsi="Arial"/>
                <w:sz w:val="14"/>
                <w:szCs w:val="14"/>
                <w:b w:val="1"/>
                <w:bCs w:val="1"/>
                <w:color w:val="auto"/>
              </w:rPr>
              <w:t>Treasury Stock</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4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Paid-in-</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Retained</w:t>
            </w:r>
          </w:p>
        </w:tc>
        <w:tc>
          <w:tcPr>
            <w:tcW w:w="1840" w:type="dxa"/>
            <w:vAlign w:val="bottom"/>
            <w:gridSpan w:val="5"/>
            <w:vMerge w:val="continue"/>
          </w:tcPr>
          <w:p>
            <w:pPr>
              <w:spacing w:after="0"/>
              <w:rPr>
                <w:sz w:val="15"/>
                <w:szCs w:val="15"/>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3"/>
              </w:rPr>
              <w:t>Income, Net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w w:val="87"/>
              </w:rPr>
              <w:t>(in thousands)</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Arial" w:cs="Arial" w:eastAsia="Arial" w:hAnsi="Arial"/>
                <w:sz w:val="18"/>
                <w:szCs w:val="18"/>
                <w:color w:val="auto"/>
                <w:w w:val="97"/>
              </w:rPr>
              <w:t>Balance at June 30, 2022</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2,392,3</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(304,31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9"/>
              </w:rPr>
              <w:t>2,929,74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65,472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$ 6,547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854,781</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(21,957 )</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(5,501 )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2,357</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unearned share-based</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compensation</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40" w:type="dxa"/>
            <w:vAlign w:val="bottom"/>
          </w:tcPr>
          <w:p>
            <w:pPr>
              <w:ind w:left="200"/>
              <w:spacing w:after="0"/>
              <w:rPr>
                <w:sz w:val="20"/>
                <w:szCs w:val="20"/>
                <w:color w:val="auto"/>
              </w:rPr>
            </w:pPr>
            <w:r>
              <w:rPr>
                <w:rFonts w:ascii="Arial" w:cs="Arial" w:eastAsia="Arial" w:hAnsi="Arial"/>
                <w:sz w:val="18"/>
                <w:szCs w:val="18"/>
                <w:color w:val="auto"/>
                <w:w w:val="88"/>
              </w:rPr>
              <w:t>Treasury stock purchases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(76 )</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(4,816 )</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(4,816 )</w:t>
            </w:r>
          </w:p>
        </w:tc>
        <w:tc>
          <w:tcPr>
            <w:tcW w:w="0" w:type="dxa"/>
            <w:vAlign w:val="bottom"/>
          </w:tcPr>
          <w:p>
            <w:pPr>
              <w:spacing w:after="0"/>
              <w:rPr>
                <w:sz w:val="1"/>
                <w:szCs w:val="1"/>
                <w:color w:val="auto"/>
              </w:rPr>
            </w:pPr>
          </w:p>
        </w:tc>
      </w:tr>
      <w:tr>
        <w:trPr>
          <w:trHeight w:val="221"/>
        </w:trPr>
        <w:tc>
          <w:tcPr>
            <w:tcW w:w="2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comprehensive</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net of taxes</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8,502</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39,091</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40" w:type="dxa"/>
            <w:vAlign w:val="bottom"/>
          </w:tcPr>
          <w:p>
            <w:pPr>
              <w:ind w:left="200"/>
              <w:spacing w:after="0"/>
              <w:rPr>
                <w:sz w:val="20"/>
                <w:szCs w:val="20"/>
                <w:color w:val="auto"/>
              </w:rPr>
            </w:pPr>
            <w:r>
              <w:rPr>
                <w:rFonts w:ascii="Arial" w:cs="Arial" w:eastAsia="Arial" w:hAnsi="Arial"/>
                <w:sz w:val="18"/>
                <w:szCs w:val="18"/>
                <w:color w:val="auto"/>
                <w:w w:val="97"/>
              </w:rPr>
              <w:t>Return of investment to</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(204 )</w:t>
            </w:r>
          </w:p>
        </w:tc>
        <w:tc>
          <w:tcPr>
            <w:tcW w:w="120" w:type="dxa"/>
            <w:vAlign w:val="bottom"/>
          </w:tcPr>
          <w:p>
            <w:pPr>
              <w:spacing w:after="0"/>
              <w:rPr>
                <w:sz w:val="18"/>
                <w:szCs w:val="18"/>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30"/>
        </w:trPr>
        <w:tc>
          <w:tcPr>
            <w:tcW w:w="2040" w:type="dxa"/>
            <w:vAlign w:val="bottom"/>
          </w:tcPr>
          <w:p>
            <w:pPr>
              <w:ind w:left="200"/>
              <w:spacing w:after="0"/>
              <w:rPr>
                <w:sz w:val="20"/>
                <w:szCs w:val="20"/>
                <w:color w:val="auto"/>
              </w:rPr>
            </w:pPr>
            <w:r>
              <w:rPr>
                <w:rFonts w:ascii="Arial" w:cs="Arial" w:eastAsia="Arial" w:hAnsi="Arial"/>
                <w:sz w:val="18"/>
                <w:szCs w:val="18"/>
                <w:color w:val="auto"/>
                <w:w w:val="98"/>
              </w:rPr>
              <w:t>noncontrolling interests</w:t>
            </w:r>
          </w:p>
        </w:tc>
        <w:tc>
          <w:tcPr>
            <w:tcW w:w="7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6"/>
              </w:rPr>
              <w:t>Balance at September 30,</w:t>
            </w: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2,431,4</w:t>
            </w:r>
          </w:p>
        </w:tc>
        <w:tc>
          <w:tcPr>
            <w:tcW w:w="22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(309,13</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2,975,36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65,472</w:t>
            </w:r>
          </w:p>
        </w:tc>
        <w:tc>
          <w:tcPr>
            <w:tcW w:w="24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$ 6,547</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857,674</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(13,455 )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(5,577 )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2,306</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1734820</wp:posOffset>
            </wp:positionH>
            <wp:positionV relativeFrom="paragraph">
              <wp:posOffset>-2807970</wp:posOffset>
            </wp:positionV>
            <wp:extent cx="76835" cy="3251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2239645</wp:posOffset>
            </wp:positionH>
            <wp:positionV relativeFrom="paragraph">
              <wp:posOffset>-2807970</wp:posOffset>
            </wp:positionV>
            <wp:extent cx="76835" cy="3251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2959100</wp:posOffset>
            </wp:positionH>
            <wp:positionV relativeFrom="paragraph">
              <wp:posOffset>-2807970</wp:posOffset>
            </wp:positionV>
            <wp:extent cx="76835" cy="3251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-2807970</wp:posOffset>
            </wp:positionV>
            <wp:extent cx="68580" cy="3251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-2807970</wp:posOffset>
            </wp:positionV>
            <wp:extent cx="68580" cy="3251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-2807970</wp:posOffset>
            </wp:positionV>
            <wp:extent cx="68580" cy="3251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-2807970</wp:posOffset>
            </wp:positionV>
            <wp:extent cx="68580" cy="3251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-2807970</wp:posOffset>
            </wp:positionV>
            <wp:extent cx="68580" cy="3251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-2807970</wp:posOffset>
            </wp:positionV>
            <wp:extent cx="68580" cy="3251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1734820</wp:posOffset>
            </wp:positionH>
            <wp:positionV relativeFrom="paragraph">
              <wp:posOffset>-24765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1734820</wp:posOffset>
            </wp:positionH>
            <wp:positionV relativeFrom="paragraph">
              <wp:posOffset>-7620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2239645</wp:posOffset>
            </wp:positionH>
            <wp:positionV relativeFrom="paragraph">
              <wp:posOffset>-24765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2239645</wp:posOffset>
            </wp:positionH>
            <wp:positionV relativeFrom="paragraph">
              <wp:posOffset>-7620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2959100</wp:posOffset>
            </wp:positionH>
            <wp:positionV relativeFrom="paragraph">
              <wp:posOffset>-24765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2959100</wp:posOffset>
            </wp:positionH>
            <wp:positionV relativeFrom="paragraph">
              <wp:posOffset>-7620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0" w:type="dxa"/>
            <w:vAlign w:val="bottom"/>
            <w:gridSpan w:val="5"/>
            <w:vMerge w:val="restart"/>
          </w:tcPr>
          <w:p>
            <w:pPr>
              <w:jc w:val="right"/>
              <w:ind w:right="540"/>
              <w:spacing w:after="0"/>
              <w:rPr>
                <w:sz w:val="20"/>
                <w:szCs w:val="20"/>
                <w:color w:val="auto"/>
              </w:rPr>
            </w:pPr>
            <w:r>
              <w:rPr>
                <w:rFonts w:ascii="Arial" w:cs="Arial" w:eastAsia="Arial" w:hAnsi="Arial"/>
                <w:sz w:val="14"/>
                <w:szCs w:val="14"/>
                <w:b w:val="1"/>
                <w:bCs w:val="1"/>
                <w:color w:val="auto"/>
              </w:rPr>
              <w:t>Treasury Stock</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7"/>
              </w:rPr>
              <w:t>Paid-in-</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b w:val="1"/>
                <w:bCs w:val="1"/>
                <w:color w:val="auto"/>
              </w:rPr>
              <w:t>Retained</w:t>
            </w:r>
          </w:p>
        </w:tc>
        <w:tc>
          <w:tcPr>
            <w:tcW w:w="1800" w:type="dxa"/>
            <w:vAlign w:val="bottom"/>
            <w:gridSpan w:val="5"/>
            <w:vMerge w:val="continue"/>
          </w:tcPr>
          <w:p>
            <w:pPr>
              <w:spacing w:after="0"/>
              <w:rPr>
                <w:sz w:val="15"/>
                <w:szCs w:val="15"/>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3"/>
              </w:rPr>
              <w:t>Income, Net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200" w:type="dxa"/>
            <w:vAlign w:val="bottom"/>
            <w:gridSpan w:val="2"/>
          </w:tcPr>
          <w:p>
            <w:pPr>
              <w:spacing w:after="0"/>
              <w:rPr>
                <w:sz w:val="14"/>
                <w:szCs w:val="14"/>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60" w:type="dxa"/>
            <w:vAlign w:val="bottom"/>
            <w:gridSpan w:val="2"/>
          </w:tcPr>
          <w:p>
            <w:pPr>
              <w:ind w:left="20"/>
              <w:spacing w:after="0"/>
              <w:rPr>
                <w:sz w:val="20"/>
                <w:szCs w:val="20"/>
                <w:color w:val="auto"/>
              </w:rPr>
            </w:pPr>
            <w:r>
              <w:rPr>
                <w:rFonts w:ascii="Arial" w:cs="Arial" w:eastAsia="Arial" w:hAnsi="Arial"/>
                <w:sz w:val="18"/>
                <w:szCs w:val="18"/>
                <w:color w:val="auto"/>
                <w:w w:val="99"/>
              </w:rPr>
              <w:t>Balance at December 31,</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2,468,73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(308,59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3,045,16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40" w:type="dxa"/>
            <w:vAlign w:val="bottom"/>
          </w:tcPr>
          <w:p>
            <w:pPr>
              <w:ind w:left="2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65,472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$ 6,547</w:t>
            </w:r>
          </w:p>
        </w:tc>
        <w:tc>
          <w:tcPr>
            <w:tcW w:w="2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859,345</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16,853</w:t>
            </w:r>
          </w:p>
        </w:tc>
        <w:tc>
          <w:tcPr>
            <w:tcW w:w="1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(5,565 )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2,291</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Stock option exercises</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357</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gridSpan w:val="4"/>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3,074</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60" w:type="dxa"/>
            <w:vAlign w:val="bottom"/>
            <w:gridSpan w:val="2"/>
          </w:tcPr>
          <w:p>
            <w:pPr>
              <w:ind w:left="200"/>
              <w:spacing w:after="0"/>
              <w:rPr>
                <w:sz w:val="20"/>
                <w:szCs w:val="20"/>
                <w:color w:val="auto"/>
              </w:rPr>
            </w:pPr>
            <w:r>
              <w:rPr>
                <w:rFonts w:ascii="Arial" w:cs="Arial" w:eastAsia="Arial" w:hAnsi="Arial"/>
                <w:sz w:val="18"/>
                <w:szCs w:val="18"/>
                <w:color w:val="auto"/>
              </w:rPr>
              <w:t>Issuance of stock for</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gridSpan w:val="2"/>
          </w:tcPr>
          <w:p>
            <w:pPr>
              <w:ind w:left="200"/>
              <w:spacing w:after="0"/>
              <w:rPr>
                <w:sz w:val="20"/>
                <w:szCs w:val="20"/>
                <w:color w:val="auto"/>
              </w:rPr>
            </w:pPr>
            <w:r>
              <w:rPr>
                <w:rFonts w:ascii="Arial" w:cs="Arial" w:eastAsia="Arial" w:hAnsi="Arial"/>
                <w:sz w:val="18"/>
                <w:szCs w:val="18"/>
                <w:color w:val="auto"/>
              </w:rPr>
              <w:t>equity awards, net of</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60" w:type="dxa"/>
            <w:vAlign w:val="bottom"/>
            <w:gridSpan w:val="2"/>
          </w:tcPr>
          <w:p>
            <w:pPr>
              <w:ind w:left="200"/>
              <w:spacing w:after="0"/>
              <w:rPr>
                <w:sz w:val="20"/>
                <w:szCs w:val="20"/>
                <w:color w:val="auto"/>
              </w:rPr>
            </w:pPr>
            <w:r>
              <w:rPr>
                <w:rFonts w:ascii="Arial" w:cs="Arial" w:eastAsia="Arial" w:hAnsi="Arial"/>
                <w:sz w:val="18"/>
                <w:szCs w:val="18"/>
                <w:color w:val="auto"/>
              </w:rPr>
              <w:t>forfeitures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6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(10,084 )</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10,084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Tax withholdings on</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equity award vesting</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gridSpan w:val="4"/>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(55 )</w:t>
            </w:r>
          </w:p>
        </w:tc>
        <w:tc>
          <w:tcPr>
            <w:tcW w:w="1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(3,598 )</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(3,598 )</w:t>
            </w:r>
          </w:p>
        </w:tc>
        <w:tc>
          <w:tcPr>
            <w:tcW w:w="0" w:type="dxa"/>
            <w:vAlign w:val="bottom"/>
          </w:tcPr>
          <w:p>
            <w:pPr>
              <w:spacing w:after="0"/>
              <w:rPr>
                <w:sz w:val="1"/>
                <w:szCs w:val="1"/>
                <w:color w:val="auto"/>
              </w:rPr>
            </w:pPr>
          </w:p>
        </w:tc>
      </w:tr>
      <w:tr>
        <w:trPr>
          <w:trHeight w:val="215"/>
        </w:trPr>
        <w:tc>
          <w:tcPr>
            <w:tcW w:w="2060" w:type="dxa"/>
            <w:vAlign w:val="bottom"/>
            <w:gridSpan w:val="2"/>
          </w:tcPr>
          <w:p>
            <w:pPr>
              <w:ind w:left="200"/>
              <w:spacing w:after="0"/>
              <w:rPr>
                <w:sz w:val="20"/>
                <w:szCs w:val="20"/>
                <w:color w:val="auto"/>
              </w:rPr>
            </w:pPr>
            <w:r>
              <w:rPr>
                <w:rFonts w:ascii="Arial" w:cs="Arial" w:eastAsia="Arial" w:hAnsi="Arial"/>
                <w:sz w:val="18"/>
                <w:szCs w:val="18"/>
                <w:color w:val="auto"/>
              </w:rPr>
              <w:t>Amortization of share-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60" w:type="dxa"/>
            <w:vAlign w:val="bottom"/>
            <w:gridSpan w:val="2"/>
          </w:tcPr>
          <w:p>
            <w:pPr>
              <w:ind w:left="200"/>
              <w:spacing w:after="0"/>
              <w:rPr>
                <w:sz w:val="20"/>
                <w:szCs w:val="20"/>
                <w:color w:val="auto"/>
              </w:rPr>
            </w:pPr>
            <w:r>
              <w:rPr>
                <w:rFonts w:ascii="Arial" w:cs="Arial" w:eastAsia="Arial" w:hAnsi="Arial"/>
                <w:sz w:val="18"/>
                <w:szCs w:val="18"/>
                <w:color w:val="auto"/>
              </w:rPr>
              <w:t>based compensation</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6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12,310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89"/>
              </w:rPr>
              <w:t>Treasury stock purchases</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gridSpan w:val="4"/>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(812 )</w:t>
            </w:r>
          </w:p>
        </w:tc>
        <w:tc>
          <w:tcPr>
            <w:tcW w:w="1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4"/>
              </w:rPr>
              <w:t>(60,910 )</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(60,910 )</w:t>
            </w:r>
          </w:p>
        </w:tc>
        <w:tc>
          <w:tcPr>
            <w:tcW w:w="0" w:type="dxa"/>
            <w:vAlign w:val="bottom"/>
          </w:tcPr>
          <w:p>
            <w:pPr>
              <w:spacing w:after="0"/>
              <w:rPr>
                <w:sz w:val="1"/>
                <w:szCs w:val="1"/>
                <w:color w:val="auto"/>
              </w:rPr>
            </w:pPr>
          </w:p>
        </w:tc>
      </w:tr>
      <w:tr>
        <w:trPr>
          <w:trHeight w:val="215"/>
        </w:trPr>
        <w:tc>
          <w:tcPr>
            <w:tcW w:w="2060" w:type="dxa"/>
            <w:vAlign w:val="bottom"/>
            <w:gridSpan w:val="2"/>
          </w:tcPr>
          <w:p>
            <w:pPr>
              <w:ind w:left="200"/>
              <w:spacing w:after="0"/>
              <w:rPr>
                <w:sz w:val="20"/>
                <w:szCs w:val="20"/>
                <w:color w:val="auto"/>
              </w:rPr>
            </w:pPr>
            <w:r>
              <w:rPr>
                <w:rFonts w:ascii="Arial" w:cs="Arial" w:eastAsia="Arial" w:hAnsi="Arial"/>
                <w:sz w:val="18"/>
                <w:szCs w:val="18"/>
                <w:color w:val="auto"/>
                <w:w w:val="93"/>
              </w:rPr>
              <w:t>Excise taxes on treasury</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60" w:type="dxa"/>
            <w:vAlign w:val="bottom"/>
            <w:gridSpan w:val="2"/>
          </w:tcPr>
          <w:p>
            <w:pPr>
              <w:ind w:left="200"/>
              <w:spacing w:after="0"/>
              <w:rPr>
                <w:sz w:val="20"/>
                <w:szCs w:val="20"/>
                <w:color w:val="auto"/>
              </w:rPr>
            </w:pPr>
            <w:r>
              <w:rPr>
                <w:rFonts w:ascii="Arial" w:cs="Arial" w:eastAsia="Arial" w:hAnsi="Arial"/>
                <w:sz w:val="18"/>
                <w:szCs w:val="18"/>
                <w:color w:val="auto"/>
              </w:rPr>
              <w:t>stock purchases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6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(472 )</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(472 )</w:t>
            </w:r>
          </w:p>
        </w:tc>
        <w:tc>
          <w:tcPr>
            <w:tcW w:w="0" w:type="dxa"/>
            <w:vAlign w:val="bottom"/>
          </w:tcPr>
          <w:p>
            <w:pPr>
              <w:spacing w:after="0"/>
              <w:rPr>
                <w:sz w:val="1"/>
                <w:szCs w:val="1"/>
                <w:color w:val="auto"/>
              </w:rPr>
            </w:pPr>
          </w:p>
        </w:tc>
      </w:tr>
      <w:tr>
        <w:trPr>
          <w:trHeight w:val="222"/>
        </w:trPr>
        <w:tc>
          <w:tcPr>
            <w:tcW w:w="20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Total comprehensive</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income, net of taxes</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2,225</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161,029</w:t>
            </w: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(86 )</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60" w:type="dxa"/>
            <w:vAlign w:val="bottom"/>
            <w:gridSpan w:val="2"/>
          </w:tcPr>
          <w:p>
            <w:pPr>
              <w:ind w:left="200"/>
              <w:spacing w:after="0"/>
              <w:rPr>
                <w:sz w:val="20"/>
                <w:szCs w:val="20"/>
                <w:color w:val="auto"/>
              </w:rPr>
            </w:pPr>
            <w:r>
              <w:rPr>
                <w:rFonts w:ascii="Arial" w:cs="Arial" w:eastAsia="Arial" w:hAnsi="Arial"/>
                <w:sz w:val="18"/>
                <w:szCs w:val="18"/>
                <w:color w:val="auto"/>
                <w:w w:val="98"/>
              </w:rPr>
              <w:t>Return of investment to</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gridSpan w:val="2"/>
            <w:vMerge w:val="restart"/>
          </w:tcPr>
          <w:p>
            <w:pPr>
              <w:ind w:left="3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vMerge w:val="restart"/>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(1,015 )</w:t>
            </w:r>
          </w:p>
        </w:tc>
        <w:tc>
          <w:tcPr>
            <w:tcW w:w="160" w:type="dxa"/>
            <w:vAlign w:val="bottom"/>
          </w:tcPr>
          <w:p>
            <w:pPr>
              <w:spacing w:after="0"/>
              <w:rPr>
                <w:sz w:val="18"/>
                <w:szCs w:val="18"/>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(1,015 )</w:t>
            </w:r>
          </w:p>
        </w:tc>
        <w:tc>
          <w:tcPr>
            <w:tcW w:w="0" w:type="dxa"/>
            <w:vAlign w:val="bottom"/>
          </w:tcPr>
          <w:p>
            <w:pPr>
              <w:spacing w:after="0"/>
              <w:rPr>
                <w:sz w:val="1"/>
                <w:szCs w:val="1"/>
                <w:color w:val="auto"/>
              </w:rPr>
            </w:pPr>
          </w:p>
        </w:tc>
      </w:tr>
      <w:tr>
        <w:trPr>
          <w:trHeight w:val="230"/>
        </w:trPr>
        <w:tc>
          <w:tcPr>
            <w:tcW w:w="2060" w:type="dxa"/>
            <w:vAlign w:val="bottom"/>
            <w:gridSpan w:val="2"/>
          </w:tcPr>
          <w:p>
            <w:pPr>
              <w:ind w:left="200"/>
              <w:spacing w:after="0"/>
              <w:rPr>
                <w:sz w:val="20"/>
                <w:szCs w:val="20"/>
                <w:color w:val="auto"/>
              </w:rPr>
            </w:pPr>
            <w:r>
              <w:rPr>
                <w:rFonts w:ascii="Arial" w:cs="Arial" w:eastAsia="Arial" w:hAnsi="Arial"/>
                <w:sz w:val="18"/>
                <w:szCs w:val="18"/>
                <w:color w:val="auto"/>
                <w:w w:val="99"/>
              </w:rPr>
              <w:t>noncontrolling interests</w:t>
            </w:r>
          </w:p>
        </w:tc>
        <w:tc>
          <w:tcPr>
            <w:tcW w:w="6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4"/>
            <w:vMerge w:val="continue"/>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7"/>
              </w:rPr>
              <w:t>Balance at September 30,</w:t>
            </w:r>
          </w:p>
        </w:tc>
        <w:tc>
          <w:tcPr>
            <w:tcW w:w="6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6"/>
              </w:rPr>
              <w:t>2,629,75</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(360,42</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3,158,08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24"/>
                <w:szCs w:val="2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65,472</w:t>
            </w:r>
          </w:p>
        </w:tc>
        <w:tc>
          <w:tcPr>
            <w:tcW w:w="240" w:type="dxa"/>
            <w:vAlign w:val="bottom"/>
            <w:shd w:val="clear" w:color="auto" w:fill="CFF0FC"/>
          </w:tcPr>
          <w:p>
            <w:pPr>
              <w:spacing w:after="0"/>
              <w:rPr>
                <w:sz w:val="24"/>
                <w:szCs w:val="2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$ 6,547</w:t>
            </w:r>
          </w:p>
        </w:tc>
        <w:tc>
          <w:tcPr>
            <w:tcW w:w="20" w:type="dxa"/>
            <w:vAlign w:val="bottom"/>
            <w:shd w:val="clear" w:color="auto" w:fill="CFF0FC"/>
          </w:tcPr>
          <w:p>
            <w:pPr>
              <w:spacing w:after="0"/>
              <w:rPr>
                <w:sz w:val="24"/>
                <w:szCs w:val="24"/>
                <w:color w:val="auto"/>
              </w:rPr>
            </w:pPr>
          </w:p>
        </w:tc>
        <w:tc>
          <w:tcPr>
            <w:tcW w:w="240" w:type="dxa"/>
            <w:vAlign w:val="bottom"/>
            <w:gridSpan w:val="2"/>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861,928</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19,078</w:t>
            </w: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0"/>
              </w:rPr>
              <w:t>$ (6,189 )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4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Borders>
              <w:top w:val="single" w:sz="8" w:color="CFF0FC"/>
            </w:tcBorders>
            <w:vMerge w:val="restart"/>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0" w:type="dxa"/>
            <w:vAlign w:val="bottom"/>
            <w:gridSpan w:val="5"/>
            <w:vMerge w:val="restart"/>
          </w:tcPr>
          <w:p>
            <w:pPr>
              <w:jc w:val="right"/>
              <w:ind w:right="560"/>
              <w:spacing w:after="0"/>
              <w:rPr>
                <w:sz w:val="20"/>
                <w:szCs w:val="20"/>
                <w:color w:val="auto"/>
              </w:rPr>
            </w:pPr>
            <w:r>
              <w:rPr>
                <w:rFonts w:ascii="Arial" w:cs="Arial" w:eastAsia="Arial" w:hAnsi="Arial"/>
                <w:sz w:val="14"/>
                <w:szCs w:val="14"/>
                <w:b w:val="1"/>
                <w:bCs w:val="1"/>
                <w:color w:val="auto"/>
              </w:rPr>
              <w:t>Treasury Stock</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7"/>
              </w:rPr>
              <w:t>Paid-in-</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1"/>
              </w:rPr>
              <w:t>Retained</w:t>
            </w:r>
          </w:p>
        </w:tc>
        <w:tc>
          <w:tcPr>
            <w:tcW w:w="1800" w:type="dxa"/>
            <w:vAlign w:val="bottom"/>
            <w:gridSpan w:val="5"/>
            <w:vMerge w:val="continue"/>
          </w:tcPr>
          <w:p>
            <w:pPr>
              <w:spacing w:after="0"/>
              <w:rPr>
                <w:sz w:val="15"/>
                <w:szCs w:val="15"/>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3"/>
              </w:rPr>
              <w:t>Income, Net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Earnings</w:t>
            </w:r>
          </w:p>
        </w:tc>
        <w:tc>
          <w:tcPr>
            <w:tcW w:w="220" w:type="dxa"/>
            <w:vAlign w:val="bottom"/>
            <w:gridSpan w:val="2"/>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w w:val="82"/>
              </w:rPr>
              <w:t>(in thousands)</w:t>
            </w:r>
          </w:p>
        </w:tc>
        <w:tc>
          <w:tcPr>
            <w:tcW w:w="2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60" w:type="dxa"/>
            <w:vAlign w:val="bottom"/>
            <w:gridSpan w:val="2"/>
          </w:tcPr>
          <w:p>
            <w:pPr>
              <w:ind w:left="20"/>
              <w:spacing w:after="0"/>
              <w:rPr>
                <w:sz w:val="20"/>
                <w:szCs w:val="20"/>
                <w:color w:val="auto"/>
              </w:rPr>
            </w:pPr>
            <w:r>
              <w:rPr>
                <w:rFonts w:ascii="Arial" w:cs="Arial" w:eastAsia="Arial" w:hAnsi="Arial"/>
                <w:sz w:val="18"/>
                <w:szCs w:val="18"/>
                <w:color w:val="auto"/>
                <w:w w:val="99"/>
              </w:rPr>
              <w:t>Balance at December 31,</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2,346,4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(295,20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2,888,78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40" w:type="dxa"/>
            <w:vAlign w:val="bottom"/>
          </w:tcPr>
          <w:p>
            <w:pPr>
              <w:ind w:left="2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65,472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$ 6,547</w:t>
            </w:r>
          </w:p>
        </w:tc>
        <w:tc>
          <w:tcPr>
            <w:tcW w:w="2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854,512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(25,966 )</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(5,361 )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2,458</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Stock option exercises</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gridSpan w:val="4"/>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3,194</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60" w:type="dxa"/>
            <w:vAlign w:val="bottom"/>
            <w:gridSpan w:val="2"/>
          </w:tcPr>
          <w:p>
            <w:pPr>
              <w:ind w:left="200"/>
              <w:spacing w:after="0"/>
              <w:rPr>
                <w:sz w:val="20"/>
                <w:szCs w:val="20"/>
                <w:color w:val="auto"/>
              </w:rPr>
            </w:pPr>
            <w:r>
              <w:rPr>
                <w:rFonts w:ascii="Arial" w:cs="Arial" w:eastAsia="Arial" w:hAnsi="Arial"/>
                <w:sz w:val="18"/>
                <w:szCs w:val="18"/>
                <w:color w:val="auto"/>
              </w:rPr>
              <w:t>Issuance of stock for</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gridSpan w:val="2"/>
          </w:tcPr>
          <w:p>
            <w:pPr>
              <w:ind w:left="200"/>
              <w:spacing w:after="0"/>
              <w:rPr>
                <w:sz w:val="20"/>
                <w:szCs w:val="20"/>
                <w:color w:val="auto"/>
              </w:rPr>
            </w:pPr>
            <w:r>
              <w:rPr>
                <w:rFonts w:ascii="Arial" w:cs="Arial" w:eastAsia="Arial" w:hAnsi="Arial"/>
                <w:sz w:val="18"/>
                <w:szCs w:val="18"/>
                <w:color w:val="auto"/>
              </w:rPr>
              <w:t>equity awards, net of</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60" w:type="dxa"/>
            <w:vAlign w:val="bottom"/>
            <w:gridSpan w:val="2"/>
          </w:tcPr>
          <w:p>
            <w:pPr>
              <w:ind w:left="200"/>
              <w:spacing w:after="0"/>
              <w:rPr>
                <w:sz w:val="20"/>
                <w:szCs w:val="20"/>
                <w:color w:val="auto"/>
              </w:rPr>
            </w:pPr>
            <w:r>
              <w:rPr>
                <w:rFonts w:ascii="Arial" w:cs="Arial" w:eastAsia="Arial" w:hAnsi="Arial"/>
                <w:sz w:val="18"/>
                <w:szCs w:val="18"/>
                <w:color w:val="auto"/>
              </w:rPr>
              <w:t>forfeitures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(8,977 )</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8,977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Tax withholdings on</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equity award vesting</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gridSpan w:val="4"/>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(3,192 )</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(3,192 )</w:t>
            </w:r>
          </w:p>
        </w:tc>
        <w:tc>
          <w:tcPr>
            <w:tcW w:w="0" w:type="dxa"/>
            <w:vAlign w:val="bottom"/>
          </w:tcPr>
          <w:p>
            <w:pPr>
              <w:spacing w:after="0"/>
              <w:rPr>
                <w:sz w:val="1"/>
                <w:szCs w:val="1"/>
                <w:color w:val="auto"/>
              </w:rPr>
            </w:pPr>
          </w:p>
        </w:tc>
      </w:tr>
      <w:tr>
        <w:trPr>
          <w:trHeight w:val="215"/>
        </w:trPr>
        <w:tc>
          <w:tcPr>
            <w:tcW w:w="2060" w:type="dxa"/>
            <w:vAlign w:val="bottom"/>
            <w:gridSpan w:val="2"/>
          </w:tcPr>
          <w:p>
            <w:pPr>
              <w:ind w:left="200"/>
              <w:spacing w:after="0"/>
              <w:rPr>
                <w:sz w:val="20"/>
                <w:szCs w:val="20"/>
                <w:color w:val="auto"/>
              </w:rPr>
            </w:pPr>
            <w:r>
              <w:rPr>
                <w:rFonts w:ascii="Arial" w:cs="Arial" w:eastAsia="Arial" w:hAnsi="Arial"/>
                <w:sz w:val="18"/>
                <w:szCs w:val="18"/>
                <w:color w:val="auto"/>
              </w:rPr>
              <w:t>Amortization of share-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60" w:type="dxa"/>
            <w:vAlign w:val="bottom"/>
            <w:gridSpan w:val="2"/>
          </w:tcPr>
          <w:p>
            <w:pPr>
              <w:ind w:left="200"/>
              <w:spacing w:after="0"/>
              <w:rPr>
                <w:sz w:val="20"/>
                <w:szCs w:val="20"/>
                <w:color w:val="auto"/>
              </w:rPr>
            </w:pPr>
            <w:r>
              <w:rPr>
                <w:rFonts w:ascii="Arial" w:cs="Arial" w:eastAsia="Arial" w:hAnsi="Arial"/>
                <w:sz w:val="18"/>
                <w:szCs w:val="18"/>
                <w:color w:val="auto"/>
              </w:rPr>
              <w:t>based compensation</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11,448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89"/>
              </w:rPr>
              <w:t>Treasury stock purchases</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gridSpan w:val="4"/>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(386 )</w:t>
            </w:r>
          </w:p>
        </w:tc>
        <w:tc>
          <w:tcPr>
            <w:tcW w:w="1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4"/>
              </w:rPr>
              <w:t>(22,901 )</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(22,901 )</w:t>
            </w:r>
          </w:p>
        </w:tc>
        <w:tc>
          <w:tcPr>
            <w:tcW w:w="0" w:type="dxa"/>
            <w:vAlign w:val="bottom"/>
          </w:tcPr>
          <w:p>
            <w:pPr>
              <w:spacing w:after="0"/>
              <w:rPr>
                <w:sz w:val="1"/>
                <w:szCs w:val="1"/>
                <w:color w:val="auto"/>
              </w:rPr>
            </w:pPr>
          </w:p>
        </w:tc>
      </w:tr>
      <w:tr>
        <w:trPr>
          <w:trHeight w:val="215"/>
        </w:trPr>
        <w:tc>
          <w:tcPr>
            <w:tcW w:w="2060" w:type="dxa"/>
            <w:vAlign w:val="bottom"/>
            <w:gridSpan w:val="2"/>
          </w:tcPr>
          <w:p>
            <w:pPr>
              <w:ind w:left="200"/>
              <w:spacing w:after="0"/>
              <w:rPr>
                <w:sz w:val="20"/>
                <w:szCs w:val="20"/>
                <w:color w:val="auto"/>
              </w:rPr>
            </w:pPr>
            <w:r>
              <w:rPr>
                <w:rFonts w:ascii="Arial" w:cs="Arial" w:eastAsia="Arial" w:hAnsi="Arial"/>
                <w:sz w:val="18"/>
                <w:szCs w:val="18"/>
                <w:color w:val="auto"/>
              </w:rPr>
              <w:t>Total comprehensive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60" w:type="dxa"/>
            <w:vAlign w:val="bottom"/>
            <w:gridSpan w:val="2"/>
          </w:tcPr>
          <w:p>
            <w:pPr>
              <w:ind w:left="200"/>
              <w:spacing w:after="0"/>
              <w:rPr>
                <w:sz w:val="20"/>
                <w:szCs w:val="20"/>
                <w:color w:val="auto"/>
              </w:rPr>
            </w:pPr>
            <w:r>
              <w:rPr>
                <w:rFonts w:ascii="Arial" w:cs="Arial" w:eastAsia="Arial" w:hAnsi="Arial"/>
                <w:sz w:val="18"/>
                <w:szCs w:val="18"/>
                <w:color w:val="auto"/>
              </w:rPr>
              <w:t>income, net of taxes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84,982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97,947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98"/>
              </w:rPr>
              <w:t>Return of investment to</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restart"/>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vMerge w:val="restart"/>
            <w:shd w:val="clear" w:color="auto" w:fill="CFF0FC"/>
          </w:tcPr>
          <w:p>
            <w:pPr>
              <w:spacing w:after="0"/>
              <w:rPr>
                <w:sz w:val="19"/>
                <w:szCs w:val="19"/>
                <w:color w:val="auto"/>
              </w:rPr>
            </w:pPr>
          </w:p>
        </w:tc>
        <w:tc>
          <w:tcPr>
            <w:tcW w:w="40" w:type="dxa"/>
            <w:vAlign w:val="bottom"/>
            <w:vMerge w:val="restart"/>
            <w:shd w:val="clear" w:color="auto" w:fill="CFF0FC"/>
          </w:tcPr>
          <w:p>
            <w:pPr>
              <w:spacing w:after="0"/>
              <w:rPr>
                <w:sz w:val="19"/>
                <w:szCs w:val="19"/>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(606 )</w:t>
            </w:r>
          </w:p>
        </w:tc>
        <w:tc>
          <w:tcPr>
            <w:tcW w:w="160" w:type="dxa"/>
            <w:vAlign w:val="bottom"/>
            <w:shd w:val="clear" w:color="auto" w:fill="CFF0FC"/>
          </w:tcPr>
          <w:p>
            <w:pPr>
              <w:spacing w:after="0"/>
              <w:rPr>
                <w:sz w:val="19"/>
                <w:szCs w:val="19"/>
                <w:color w:val="auto"/>
              </w:rPr>
            </w:pPr>
          </w:p>
        </w:tc>
        <w:tc>
          <w:tcPr>
            <w:tcW w:w="8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(606 )</w:t>
            </w:r>
          </w:p>
        </w:tc>
        <w:tc>
          <w:tcPr>
            <w:tcW w:w="0" w:type="dxa"/>
            <w:vAlign w:val="bottom"/>
          </w:tcPr>
          <w:p>
            <w:pPr>
              <w:spacing w:after="0"/>
              <w:rPr>
                <w:sz w:val="1"/>
                <w:szCs w:val="1"/>
                <w:color w:val="auto"/>
              </w:rPr>
            </w:pPr>
          </w:p>
        </w:tc>
      </w:tr>
      <w:tr>
        <w:trPr>
          <w:trHeight w:val="230"/>
        </w:trPr>
        <w:tc>
          <w:tcPr>
            <w:tcW w:w="20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8"/>
              </w:rPr>
              <w:t>noncontrolling interests</w:t>
            </w:r>
          </w:p>
        </w:tc>
        <w:tc>
          <w:tcPr>
            <w:tcW w:w="20" w:type="dxa"/>
            <w:vAlign w:val="bottom"/>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40" w:type="dxa"/>
            <w:vAlign w:val="bottom"/>
            <w:vMerge w:val="continue"/>
            <w:shd w:val="clear" w:color="auto" w:fill="CFF0FC"/>
          </w:tcPr>
          <w:p>
            <w:pPr>
              <w:spacing w:after="0"/>
              <w:rPr>
                <w:sz w:val="20"/>
                <w:szCs w:val="20"/>
                <w:color w:val="auto"/>
              </w:rPr>
            </w:pPr>
          </w:p>
        </w:tc>
        <w:tc>
          <w:tcPr>
            <w:tcW w:w="2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vMerge w:val="continue"/>
            <w:shd w:val="clear" w:color="auto" w:fill="CFF0FC"/>
          </w:tcPr>
          <w:p>
            <w:pPr>
              <w:spacing w:after="0"/>
              <w:rPr>
                <w:sz w:val="20"/>
                <w:szCs w:val="20"/>
                <w:color w:val="auto"/>
              </w:rPr>
            </w:pPr>
          </w:p>
        </w:tc>
        <w:tc>
          <w:tcPr>
            <w:tcW w:w="24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1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vMerge w:val="continue"/>
            <w:shd w:val="clear" w:color="auto" w:fill="CFF0FC"/>
          </w:tcPr>
          <w:p>
            <w:pPr>
              <w:spacing w:after="0"/>
              <w:rPr>
                <w:sz w:val="20"/>
                <w:szCs w:val="20"/>
                <w:color w:val="auto"/>
              </w:rPr>
            </w:pPr>
          </w:p>
        </w:tc>
        <w:tc>
          <w:tcPr>
            <w:tcW w:w="220" w:type="dxa"/>
            <w:vAlign w:val="bottom"/>
            <w:gridSpan w:val="2"/>
            <w:vMerge w:val="continue"/>
            <w:shd w:val="clear" w:color="auto" w:fill="CFF0FC"/>
          </w:tcPr>
          <w:p>
            <w:pPr>
              <w:spacing w:after="0"/>
              <w:rPr>
                <w:sz w:val="20"/>
                <w:szCs w:val="20"/>
                <w:color w:val="auto"/>
              </w:rPr>
            </w:pPr>
          </w:p>
        </w:tc>
        <w:tc>
          <w:tcPr>
            <w:tcW w:w="40" w:type="dxa"/>
            <w:vAlign w:val="bottom"/>
            <w:vMerge w:val="continue"/>
            <w:shd w:val="clear" w:color="auto" w:fill="CFF0FC"/>
          </w:tcPr>
          <w:p>
            <w:pPr>
              <w:spacing w:after="0"/>
              <w:rPr>
                <w:sz w:val="20"/>
                <w:szCs w:val="20"/>
                <w:color w:val="auto"/>
              </w:rPr>
            </w:pPr>
          </w:p>
        </w:tc>
        <w:tc>
          <w:tcPr>
            <w:tcW w:w="640" w:type="dxa"/>
            <w:vAlign w:val="bottom"/>
            <w:vMerge w:val="continue"/>
            <w:shd w:val="clear" w:color="auto" w:fill="CFF0FC"/>
          </w:tcPr>
          <w:p>
            <w:pPr>
              <w:spacing w:after="0"/>
              <w:rPr>
                <w:sz w:val="20"/>
                <w:szCs w:val="20"/>
                <w:color w:val="auto"/>
              </w:rPr>
            </w:pPr>
          </w:p>
        </w:tc>
        <w:tc>
          <w:tcPr>
            <w:tcW w:w="2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vMerge w:val="continue"/>
            <w:shd w:val="clear" w:color="auto" w:fill="CFF0FC"/>
          </w:tcPr>
          <w:p>
            <w:pPr>
              <w:spacing w:after="0"/>
              <w:rPr>
                <w:sz w:val="20"/>
                <w:szCs w:val="20"/>
                <w:color w:val="auto"/>
              </w:rPr>
            </w:pPr>
          </w:p>
        </w:tc>
        <w:tc>
          <w:tcPr>
            <w:tcW w:w="22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w w:val="96"/>
              </w:rPr>
              <w:t>Balance at September 30,</w:t>
            </w:r>
          </w:p>
        </w:tc>
        <w:tc>
          <w:tcPr>
            <w:tcW w:w="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2,431,4</w:t>
            </w:r>
          </w:p>
        </w:tc>
        <w:tc>
          <w:tcPr>
            <w:tcW w:w="6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(309,13</w:t>
            </w: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2,975,36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40" w:type="dxa"/>
            <w:vAlign w:val="bottom"/>
          </w:tcPr>
          <w:p>
            <w:pPr>
              <w:ind w:left="2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65,472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$ 6,547</w:t>
            </w:r>
          </w:p>
        </w:tc>
        <w:tc>
          <w:tcPr>
            <w:tcW w:w="2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857,674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(13,455 )</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(5,577 )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2,306</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1743075</wp:posOffset>
            </wp:positionH>
            <wp:positionV relativeFrom="paragraph">
              <wp:posOffset>-3227705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-3210560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2248535</wp:posOffset>
            </wp:positionH>
            <wp:positionV relativeFrom="paragraph">
              <wp:posOffset>-3227705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2248535</wp:posOffset>
            </wp:positionH>
            <wp:positionV relativeFrom="paragraph">
              <wp:posOffset>-3210560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2967355</wp:posOffset>
            </wp:positionH>
            <wp:positionV relativeFrom="paragraph">
              <wp:posOffset>-3227705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2967355</wp:posOffset>
            </wp:positionH>
            <wp:positionV relativeFrom="paragraph">
              <wp:posOffset>-3210560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-3227705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-3210560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-3227705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-3210560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-3227705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-3210560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-3227705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-3210560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-3227705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-3210560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-3227705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-3210560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1734820</wp:posOffset>
            </wp:positionH>
            <wp:positionV relativeFrom="paragraph">
              <wp:posOffset>-324485</wp:posOffset>
            </wp:positionV>
            <wp:extent cx="76835" cy="3251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2239645</wp:posOffset>
            </wp:positionH>
            <wp:positionV relativeFrom="paragraph">
              <wp:posOffset>-324485</wp:posOffset>
            </wp:positionV>
            <wp:extent cx="76835" cy="3251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2959100</wp:posOffset>
            </wp:positionH>
            <wp:positionV relativeFrom="paragraph">
              <wp:posOffset>-324485</wp:posOffset>
            </wp:positionV>
            <wp:extent cx="76835" cy="3251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-324485</wp:posOffset>
            </wp:positionV>
            <wp:extent cx="68580" cy="3251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-324485</wp:posOffset>
            </wp:positionV>
            <wp:extent cx="68580" cy="3251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-324485</wp:posOffset>
            </wp:positionV>
            <wp:extent cx="68580" cy="3251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-324485</wp:posOffset>
            </wp:positionV>
            <wp:extent cx="68580" cy="3251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-324485</wp:posOffset>
            </wp:positionV>
            <wp:extent cx="68580" cy="3251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-324485</wp:posOffset>
            </wp:positionV>
            <wp:extent cx="68580" cy="3251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325120"/>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p>
      <w:pPr>
        <w:ind w:left="500" w:hanging="485"/>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Preparation of the Condensed Financial Statements</w:t>
      </w:r>
    </w:p>
    <w:p>
      <w:pPr>
        <w:spacing w:after="0" w:line="188" w:lineRule="exact"/>
        <w:rPr>
          <w:sz w:val="20"/>
          <w:szCs w:val="20"/>
          <w:color w:val="auto"/>
        </w:rPr>
      </w:pPr>
    </w:p>
    <w:p>
      <w:pPr>
        <w:jc w:val="both"/>
        <w:ind w:firstLine="569"/>
        <w:spacing w:after="0" w:line="273" w:lineRule="auto"/>
        <w:rPr>
          <w:sz w:val="20"/>
          <w:szCs w:val="20"/>
          <w:color w:val="auto"/>
        </w:rPr>
      </w:pPr>
      <w:r>
        <w:rPr>
          <w:rFonts w:ascii="Arial" w:cs="Arial" w:eastAsia="Arial" w:hAnsi="Arial"/>
          <w:sz w:val="17"/>
          <w:szCs w:val="17"/>
          <w:color w:val="auto"/>
        </w:rPr>
        <w:t>The condensed financial statements included herein have been prepared by Kirby Corporation and its consolidated subsidiaries (“Kirby” or the “Company”), without audit, pursuant to the rules and regulations of the Securities and Exchange Commission. Although the Company believes that the disclosures are adequate to make the information presented not misleading, certain information and footnote disclosures, including significant accounting policies normally included in annual financial statements, have been condensed or omitted pursuant to such rules and regulations. It is suggested that these condensed financial statements be read in conjunction with the Company’s Annual Report on Form 10-K for the year ended December 31, 2022. Certain reclassifications have been made to reflect the current presentation of financial information.</w:t>
      </w:r>
    </w:p>
    <w:p>
      <w:pPr>
        <w:spacing w:after="0" w:line="145" w:lineRule="exact"/>
        <w:rPr>
          <w:sz w:val="20"/>
          <w:szCs w:val="20"/>
          <w:color w:val="auto"/>
        </w:rPr>
      </w:pPr>
    </w:p>
    <w:p>
      <w:pPr>
        <w:ind w:left="480" w:hanging="472"/>
        <w:spacing w:after="0"/>
        <w:tabs>
          <w:tab w:leader="none" w:pos="4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88" w:lineRule="exact"/>
        <w:rPr>
          <w:sz w:val="20"/>
          <w:szCs w:val="20"/>
          <w:color w:val="auto"/>
        </w:rPr>
      </w:pPr>
    </w:p>
    <w:p>
      <w:pPr>
        <w:jc w:val="both"/>
        <w:ind w:firstLine="569"/>
        <w:spacing w:after="0" w:line="263" w:lineRule="auto"/>
        <w:rPr>
          <w:sz w:val="20"/>
          <w:szCs w:val="20"/>
          <w:color w:val="auto"/>
        </w:rPr>
      </w:pPr>
      <w:r>
        <w:rPr>
          <w:rFonts w:ascii="Arial" w:cs="Arial" w:eastAsia="Arial" w:hAnsi="Arial"/>
          <w:sz w:val="18"/>
          <w:szCs w:val="18"/>
          <w:color w:val="auto"/>
        </w:rPr>
        <w:t>On July 14, 2023, the Company purchased 23 inland tank barges with a total capacity of 265,000 barrels from an undisclosed seller for $37 million in cash. The 23 tank barges transport petrochemicals and refined products on the Mississippi River System and the Gulf Intracoastal Waterway. The average age of the 23 barges was 14 years.</w:t>
      </w:r>
    </w:p>
    <w:p>
      <w:pPr>
        <w:spacing w:after="0" w:line="142" w:lineRule="exact"/>
        <w:rPr>
          <w:sz w:val="20"/>
          <w:szCs w:val="20"/>
          <w:color w:val="auto"/>
        </w:rPr>
      </w:pPr>
    </w:p>
    <w:p>
      <w:pPr>
        <w:jc w:val="both"/>
        <w:ind w:firstLine="569"/>
        <w:spacing w:after="0" w:line="277" w:lineRule="auto"/>
        <w:rPr>
          <w:sz w:val="20"/>
          <w:szCs w:val="20"/>
          <w:color w:val="auto"/>
        </w:rPr>
      </w:pPr>
      <w:r>
        <w:rPr>
          <w:rFonts w:ascii="Arial" w:cs="Arial" w:eastAsia="Arial" w:hAnsi="Arial"/>
          <w:sz w:val="18"/>
          <w:szCs w:val="18"/>
          <w:color w:val="auto"/>
        </w:rPr>
        <w:t>The Company purchased four inland tank barges from a leasing company for $0.5 million in cash during the 2023 third quarter. The Company had been leasing the barges prior to the purchase.</w:t>
      </w:r>
    </w:p>
    <w:p>
      <w:pPr>
        <w:spacing w:after="0" w:line="142" w:lineRule="exact"/>
        <w:rPr>
          <w:sz w:val="20"/>
          <w:szCs w:val="20"/>
          <w:color w:val="auto"/>
        </w:rPr>
      </w:pPr>
    </w:p>
    <w:p>
      <w:pPr>
        <w:jc w:val="both"/>
        <w:ind w:firstLine="569"/>
        <w:spacing w:after="0" w:line="277" w:lineRule="auto"/>
        <w:rPr>
          <w:sz w:val="20"/>
          <w:szCs w:val="20"/>
          <w:color w:val="auto"/>
        </w:rPr>
      </w:pPr>
      <w:r>
        <w:rPr>
          <w:rFonts w:ascii="Arial" w:cs="Arial" w:eastAsia="Arial" w:hAnsi="Arial"/>
          <w:sz w:val="18"/>
          <w:szCs w:val="18"/>
          <w:color w:val="auto"/>
        </w:rPr>
        <w:t>On March 31, 2022, the Company paid $3.9 million in cash to purchase assets of a gearbox repair company in the distribution and services segment. Assets acquired consisted primarily of property and equipment.</w:t>
      </w:r>
    </w:p>
    <w:p>
      <w:pPr>
        <w:spacing w:after="0" w:line="125" w:lineRule="exact"/>
        <w:rPr>
          <w:sz w:val="20"/>
          <w:szCs w:val="20"/>
          <w:color w:val="auto"/>
        </w:rPr>
      </w:pPr>
    </w:p>
    <w:p>
      <w:pPr>
        <w:ind w:left="480" w:hanging="472"/>
        <w:spacing w:after="0"/>
        <w:tabs>
          <w:tab w:leader="none" w:pos="4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Company’s revenues by major source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w w:val="98"/>
              </w:rPr>
              <w:t>Three Months Ended September 30,</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w w:val="98"/>
              </w:rPr>
              <w:t>Nine Months Ended September 30,</w:t>
            </w:r>
          </w:p>
        </w:tc>
        <w:tc>
          <w:tcPr>
            <w:tcW w:w="10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Marine transportation segment:</w:t>
            </w: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4920" w:type="dxa"/>
            <w:vAlign w:val="bottom"/>
          </w:tcPr>
          <w:p>
            <w:pPr>
              <w:ind w:left="200"/>
              <w:spacing w:after="0"/>
              <w:rPr>
                <w:sz w:val="20"/>
                <w:szCs w:val="20"/>
                <w:color w:val="auto"/>
              </w:rPr>
            </w:pPr>
            <w:r>
              <w:rPr>
                <w:rFonts w:ascii="Arial" w:cs="Arial" w:eastAsia="Arial" w:hAnsi="Arial"/>
                <w:sz w:val="18"/>
                <w:szCs w:val="18"/>
                <w:color w:val="auto"/>
              </w:rPr>
              <w:t>Inland transportation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353,635</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345,052</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1,043,330</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939,910</w:t>
            </w:r>
          </w:p>
        </w:tc>
        <w:tc>
          <w:tcPr>
            <w:tcW w:w="100" w:type="dxa"/>
            <w:vAlign w:val="bottom"/>
          </w:tcPr>
          <w:p>
            <w:pPr>
              <w:spacing w:after="0"/>
              <w:rPr>
                <w:sz w:val="20"/>
                <w:szCs w:val="20"/>
                <w:color w:val="auto"/>
              </w:rPr>
            </w:pPr>
          </w:p>
        </w:tc>
      </w:tr>
      <w:tr>
        <w:trPr>
          <w:trHeight w:val="243"/>
        </w:trPr>
        <w:tc>
          <w:tcPr>
            <w:tcW w:w="49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Coastal transportation</w:t>
            </w: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76,250</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87,988</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226,012</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254,321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9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429,885</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433,040</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1,269,342</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1,194,231</w:t>
            </w:r>
          </w:p>
        </w:tc>
        <w:tc>
          <w:tcPr>
            <w:tcW w:w="100" w:type="dxa"/>
            <w:vAlign w:val="bottom"/>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Distribution and services segment:</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4920" w:type="dxa"/>
            <w:vAlign w:val="bottom"/>
          </w:tcPr>
          <w:p>
            <w:pPr>
              <w:ind w:left="200"/>
              <w:spacing w:after="0"/>
              <w:rPr>
                <w:sz w:val="20"/>
                <w:szCs w:val="20"/>
                <w:color w:val="auto"/>
              </w:rPr>
            </w:pPr>
            <w:r>
              <w:rPr>
                <w:rFonts w:ascii="Arial" w:cs="Arial" w:eastAsia="Arial" w:hAnsi="Arial"/>
                <w:sz w:val="18"/>
                <w:szCs w:val="18"/>
                <w:color w:val="auto"/>
              </w:rPr>
              <w:t>Commercial and industrial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211,485</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165,361</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581,275</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474,515</w:t>
            </w:r>
          </w:p>
        </w:tc>
        <w:tc>
          <w:tcPr>
            <w:tcW w:w="100" w:type="dxa"/>
            <w:vAlign w:val="bottom"/>
          </w:tcPr>
          <w:p>
            <w:pPr>
              <w:spacing w:after="0"/>
              <w:rPr>
                <w:sz w:val="20"/>
                <w:szCs w:val="20"/>
                <w:color w:val="auto"/>
              </w:rPr>
            </w:pPr>
          </w:p>
        </w:tc>
      </w:tr>
      <w:tr>
        <w:trPr>
          <w:trHeight w:val="243"/>
        </w:trPr>
        <w:tc>
          <w:tcPr>
            <w:tcW w:w="49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Oil and gas</w:t>
            </w: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123,402</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147,442</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441,847</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385,843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9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334,887</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312,803</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1,023,122</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860,358</w:t>
            </w:r>
          </w:p>
        </w:tc>
        <w:tc>
          <w:tcPr>
            <w:tcW w:w="100" w:type="dxa"/>
            <w:vAlign w:val="bottom"/>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-838200</wp:posOffset>
            </wp:positionV>
            <wp:extent cx="76835"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-838200</wp:posOffset>
            </wp:positionV>
            <wp:extent cx="76835"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-838200</wp:posOffset>
            </wp:positionV>
            <wp:extent cx="68580"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-838200</wp:posOffset>
            </wp:positionV>
            <wp:extent cx="68580"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-187960</wp:posOffset>
            </wp:positionV>
            <wp:extent cx="76835"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-187960</wp:posOffset>
            </wp:positionV>
            <wp:extent cx="76835"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-187960</wp:posOffset>
            </wp:positionV>
            <wp:extent cx="68580"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54"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Contract liabilities represent advance consideration received from customers, and are recognized as revenue over time as the related performance obligation is satisfied. Revenues recognized during the nine months ended September 30, 2023 and 2022 that were included in the opening contract liability balances were $76.8 million and $54.6 million, respectively. The Company presents all contract liabilities within the deferred revenues financial statement caption on the balance sheets. The Company did not have any contract assets at September 30, 2023 or December 31, 2022. The Company applies the practical expedient that allows non-disclosure of information about remaining performance obligations that have original expected durations of one year or less.</w:t>
      </w:r>
    </w:p>
    <w:p>
      <w:pPr>
        <w:spacing w:after="0" w:line="146" w:lineRule="exact"/>
        <w:rPr>
          <w:sz w:val="20"/>
          <w:szCs w:val="20"/>
          <w:color w:val="auto"/>
        </w:rPr>
      </w:pPr>
    </w:p>
    <w:p>
      <w:pPr>
        <w:ind w:left="480" w:hanging="472"/>
        <w:spacing w:after="0"/>
        <w:tabs>
          <w:tab w:leader="none" w:pos="4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operations are aggregated into two reportable business segments as follows:</w:t>
      </w:r>
    </w:p>
    <w:p>
      <w:pPr>
        <w:spacing w:after="0" w:line="198" w:lineRule="exact"/>
        <w:rPr>
          <w:sz w:val="20"/>
          <w:szCs w:val="20"/>
          <w:color w:val="auto"/>
        </w:rPr>
      </w:pPr>
    </w:p>
    <w:p>
      <w:pPr>
        <w:jc w:val="both"/>
        <w:ind w:firstLine="562"/>
        <w:spacing w:after="0" w:line="311" w:lineRule="auto"/>
        <w:rPr>
          <w:sz w:val="20"/>
          <w:szCs w:val="20"/>
          <w:color w:val="auto"/>
        </w:rPr>
      </w:pPr>
      <w:r>
        <w:rPr>
          <w:rFonts w:ascii="Arial" w:cs="Arial" w:eastAsia="Arial" w:hAnsi="Arial"/>
          <w:sz w:val="16"/>
          <w:szCs w:val="16"/>
          <w:i w:val="1"/>
          <w:iCs w:val="1"/>
          <w:color w:val="auto"/>
        </w:rPr>
        <w:t xml:space="preserve">Marine Transportation Segment (“KMT”) </w:t>
      </w:r>
      <w:r>
        <w:rPr>
          <w:rFonts w:ascii="Arial" w:cs="Arial" w:eastAsia="Arial" w:hAnsi="Arial"/>
          <w:sz w:val="16"/>
          <w:szCs w:val="16"/>
          <w:color w:val="auto"/>
        </w:rPr>
        <w:t>— Provides marine transportation by United States flagged vessels principally of liquid cargoes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throughout the United States inland waterway system, along all three United States coasts, and, to a lesser extent, in United States coastal transportation of dry-bulk cargoes. The principal products transported include petrochemicals, black oil, refined petroleum products, and agricultural chemicals.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both"/>
        <w:ind w:firstLine="569"/>
        <w:spacing w:after="0" w:line="296" w:lineRule="auto"/>
        <w:rPr>
          <w:sz w:val="20"/>
          <w:szCs w:val="20"/>
          <w:color w:val="auto"/>
        </w:rPr>
      </w:pPr>
      <w:r>
        <w:rPr>
          <w:rFonts w:ascii="Arial" w:cs="Arial" w:eastAsia="Arial" w:hAnsi="Arial"/>
          <w:sz w:val="16"/>
          <w:szCs w:val="16"/>
          <w:i w:val="1"/>
          <w:iCs w:val="1"/>
          <w:color w:val="auto"/>
        </w:rPr>
        <w:t xml:space="preserve">Distribution and Services Segment (“KDS”) </w:t>
      </w:r>
      <w:r>
        <w:rPr>
          <w:rFonts w:ascii="Arial" w:cs="Arial" w:eastAsia="Arial" w:hAnsi="Arial"/>
          <w:sz w:val="16"/>
          <w:szCs w:val="16"/>
          <w:color w:val="auto"/>
        </w:rPr>
        <w:t>— Provides after-market services and genuine replacement parts for engines, transmissions, reduction</w:t>
      </w:r>
      <w:r>
        <w:rPr>
          <w:rFonts w:ascii="Arial" w:cs="Arial" w:eastAsia="Arial" w:hAnsi="Arial"/>
          <w:sz w:val="16"/>
          <w:szCs w:val="16"/>
          <w:i w:val="1"/>
          <w:iCs w:val="1"/>
          <w:color w:val="auto"/>
        </w:rPr>
        <w:t xml:space="preserve"> </w:t>
      </w:r>
      <w:r>
        <w:rPr>
          <w:rFonts w:ascii="Arial" w:cs="Arial" w:eastAsia="Arial" w:hAnsi="Arial"/>
          <w:sz w:val="16"/>
          <w:szCs w:val="16"/>
          <w:color w:val="auto"/>
        </w:rPr>
        <w:t>gears, and related equipment used in oilfield services, marine, power generation, on-highway, and other industrial applications. The Company also rents equipment including generators, industrial compressors, high capacity lift trucks, and refrigeration trailers for use in a variety of industrial markets, and manufactures and remanufactures oilfield service equipment, including pressure pumping units, electric power generation equipment, specialized electrical distribution and control equipment, and high capacity energy storage/battery systems for oilfield service and railroad customers.</w:t>
      </w:r>
    </w:p>
    <w:p>
      <w:pPr>
        <w:spacing w:after="0" w:line="133" w:lineRule="exact"/>
        <w:rPr>
          <w:sz w:val="20"/>
          <w:szCs w:val="20"/>
          <w:color w:val="auto"/>
        </w:rPr>
      </w:pPr>
    </w:p>
    <w:p>
      <w:pPr>
        <w:jc w:val="both"/>
        <w:ind w:firstLine="562"/>
        <w:spacing w:after="0" w:line="291" w:lineRule="auto"/>
        <w:rPr>
          <w:sz w:val="20"/>
          <w:szCs w:val="20"/>
          <w:color w:val="auto"/>
        </w:rPr>
      </w:pPr>
      <w:r>
        <w:rPr>
          <w:rFonts w:ascii="Arial" w:cs="Arial" w:eastAsia="Arial" w:hAnsi="Arial"/>
          <w:sz w:val="16"/>
          <w:szCs w:val="16"/>
          <w:color w:val="auto"/>
        </w:rPr>
        <w:t>The Company’s two reportable business segments are managed separately based on fundamental differences in their operations. The Company evaluates the performance of its segments based on the contributions to operating income of the respective segments, before income taxes, interest, gains or losses on disposition of assets, other nonoperating income, noncontrolling interests, accounting changes, and nonrecurring items. Intersegment revenues, based on market-based pricing, of KDS from KMT of $9.9 million and $29.6 million for the three months and nine months ended September 30, 2023, respectively, and $8.0 million and $21.9 million for the three and nine months ended September 30, 2022, respectively, as well as the related intersegment profit of $1.0 million and $3.0 million for the three months and nine months ended September 30, 2023, respectively, and $0.8 million and $2.2 million for the three and nine months ended September 30, 2022, respectively, have been eliminated from the tables below.</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set forth the Company’s revenues and profit or loss by reportable segment and total assets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8"/>
              </w:rPr>
              <w:t>Three Months Ended September 30,</w:t>
            </w:r>
          </w:p>
        </w:tc>
        <w:tc>
          <w:tcPr>
            <w:tcW w:w="260" w:type="dxa"/>
            <w:vAlign w:val="bottom"/>
          </w:tcPr>
          <w:p>
            <w:pPr>
              <w:spacing w:after="0"/>
              <w:rPr>
                <w:sz w:val="16"/>
                <w:szCs w:val="16"/>
                <w:color w:val="auto"/>
              </w:rPr>
            </w:pPr>
          </w:p>
        </w:tc>
        <w:tc>
          <w:tcPr>
            <w:tcW w:w="27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69"/>
        </w:trPr>
        <w:tc>
          <w:tcPr>
            <w:tcW w:w="49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4920" w:type="dxa"/>
            <w:vAlign w:val="bottom"/>
          </w:tcPr>
          <w:p>
            <w:pPr>
              <w:ind w:left="200"/>
              <w:spacing w:after="0"/>
              <w:rPr>
                <w:sz w:val="20"/>
                <w:szCs w:val="20"/>
                <w:color w:val="auto"/>
              </w:rPr>
            </w:pPr>
            <w:r>
              <w:rPr>
                <w:rFonts w:ascii="Arial" w:cs="Arial" w:eastAsia="Arial" w:hAnsi="Arial"/>
                <w:sz w:val="18"/>
                <w:szCs w:val="18"/>
                <w:color w:val="auto"/>
              </w:rPr>
              <w:t>Marine transportation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429,885</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433,040</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1,269,342</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1,194,231</w:t>
            </w:r>
          </w:p>
        </w:tc>
        <w:tc>
          <w:tcPr>
            <w:tcW w:w="100" w:type="dxa"/>
            <w:vAlign w:val="bottom"/>
          </w:tcPr>
          <w:p>
            <w:pPr>
              <w:spacing w:after="0"/>
              <w:rPr>
                <w:sz w:val="20"/>
                <w:szCs w:val="20"/>
                <w:color w:val="auto"/>
              </w:rPr>
            </w:pPr>
          </w:p>
        </w:tc>
      </w:tr>
      <w:tr>
        <w:trPr>
          <w:trHeight w:val="243"/>
        </w:trPr>
        <w:tc>
          <w:tcPr>
            <w:tcW w:w="49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Distribution and services</w:t>
            </w: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334,887</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312,803</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1,023,122</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860,358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9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764,772</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745,843</w:t>
            </w:r>
          </w:p>
        </w:tc>
        <w:tc>
          <w:tcPr>
            <w:tcW w:w="2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2,292,464</w:t>
            </w:r>
          </w:p>
        </w:tc>
        <w:tc>
          <w:tcPr>
            <w:tcW w:w="26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2,054,589</w:t>
            </w:r>
          </w:p>
        </w:tc>
        <w:tc>
          <w:tcPr>
            <w:tcW w:w="100" w:type="dxa"/>
            <w:vAlign w:val="bottom"/>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 profit:</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4920" w:type="dxa"/>
            <w:vAlign w:val="bottom"/>
          </w:tcPr>
          <w:p>
            <w:pPr>
              <w:ind w:left="200"/>
              <w:spacing w:after="0"/>
              <w:rPr>
                <w:sz w:val="20"/>
                <w:szCs w:val="20"/>
                <w:color w:val="auto"/>
              </w:rPr>
            </w:pPr>
            <w:r>
              <w:rPr>
                <w:rFonts w:ascii="Arial" w:cs="Arial" w:eastAsia="Arial" w:hAnsi="Arial"/>
                <w:sz w:val="18"/>
                <w:szCs w:val="18"/>
                <w:color w:val="auto"/>
              </w:rPr>
              <w:t>Marine transportation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63,467</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41,713</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170,754</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89,465</w:t>
            </w:r>
          </w:p>
        </w:tc>
        <w:tc>
          <w:tcPr>
            <w:tcW w:w="100" w:type="dxa"/>
            <w:vAlign w:val="bottom"/>
          </w:tcPr>
          <w:p>
            <w:pPr>
              <w:spacing w:after="0"/>
              <w:rPr>
                <w:sz w:val="20"/>
                <w:szCs w:val="20"/>
                <w:color w:val="auto"/>
              </w:rPr>
            </w:pPr>
          </w:p>
        </w:tc>
      </w:tr>
      <w:tr>
        <w:trPr>
          <w:trHeight w:val="249"/>
        </w:trPr>
        <w:tc>
          <w:tcPr>
            <w:tcW w:w="4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Distribution and services</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33,194</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22,268</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85,828</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49,976</w:t>
            </w: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(14,935 )</w:t>
            </w: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(13,024 )</w:t>
            </w:r>
          </w:p>
        </w:tc>
        <w:tc>
          <w:tcPr>
            <w:tcW w:w="26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(43,906 )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(25,049 )</w:t>
            </w:r>
          </w:p>
        </w:tc>
      </w:tr>
      <w:tr>
        <w:trPr>
          <w:trHeight w:val="276"/>
        </w:trPr>
        <w:tc>
          <w:tcPr>
            <w:tcW w:w="49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81,726</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50,957</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212,676</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114,392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-992505</wp:posOffset>
            </wp:positionV>
            <wp:extent cx="76835"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-992505</wp:posOffset>
            </wp:positionV>
            <wp:extent cx="76835"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-992505</wp:posOffset>
            </wp:positionV>
            <wp:extent cx="6858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-992505</wp:posOffset>
            </wp:positionV>
            <wp:extent cx="68580"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-24765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-7620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-24765</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-7620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7" w:lineRule="exact"/>
        <w:rPr>
          <w:sz w:val="20"/>
          <w:szCs w:val="20"/>
          <w:color w:val="auto"/>
        </w:rPr>
      </w:pPr>
    </w:p>
    <w:p>
      <w:pPr>
        <w:jc w:val="center"/>
        <w:ind w:left="8360"/>
        <w:spacing w:after="0"/>
        <w:rPr>
          <w:sz w:val="20"/>
          <w:szCs w:val="20"/>
          <w:color w:val="auto"/>
        </w:rPr>
      </w:pPr>
      <w:r>
        <w:rPr>
          <w:rFonts w:ascii="Arial" w:cs="Arial" w:eastAsia="Arial" w:hAnsi="Arial"/>
          <w:sz w:val="12"/>
          <w:szCs w:val="12"/>
          <w:b w:val="1"/>
          <w:bCs w:val="1"/>
          <w:color w:val="auto"/>
        </w:rPr>
        <w:t>September 30,</w:t>
      </w:r>
    </w:p>
    <w:p>
      <w:pPr>
        <w:spacing w:after="0" w:line="2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360"/>
        <w:spacing w:after="0"/>
        <w:rPr>
          <w:sz w:val="20"/>
          <w:szCs w:val="20"/>
          <w:color w:val="auto"/>
        </w:rPr>
      </w:pPr>
      <w:r>
        <w:rPr>
          <w:rFonts w:ascii="Arial" w:cs="Arial" w:eastAsia="Arial" w:hAnsi="Arial"/>
          <w:sz w:val="12"/>
          <w:szCs w:val="12"/>
          <w:b w:val="1"/>
          <w:bCs w:val="1"/>
          <w:color w:val="auto"/>
        </w:rPr>
        <w:t>December 31,</w:t>
      </w:r>
    </w:p>
    <w:p>
      <w:pPr>
        <w:spacing w:after="0" w:line="26"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2022</w:t>
      </w:r>
    </w:p>
    <w:p>
      <w:pPr>
        <w:spacing w:after="0" w:line="8" w:lineRule="exact"/>
        <w:rPr>
          <w:sz w:val="20"/>
          <w:szCs w:val="20"/>
          <w:color w:val="auto"/>
        </w:rPr>
      </w:pPr>
    </w:p>
    <w:p>
      <w:pPr>
        <w:sectPr>
          <w:pgSz w:w="11900" w:h="16838" w:orient="portrait"/>
          <w:cols w:equalWidth="0" w:num="2">
            <w:col w:w="9320" w:space="720"/>
            <w:col w:w="1200"/>
          </w:cols>
          <w:pgMar w:left="320" w:top="516"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49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CFF0FC"/>
            </w:tcBorders>
            <w:shd w:val="clear" w:color="auto" w:fill="CFF0FC"/>
          </w:tcPr>
          <w:p>
            <w:pPr>
              <w:spacing w:after="0"/>
              <w:rPr>
                <w:sz w:val="20"/>
                <w:szCs w:val="20"/>
                <w:color w:val="auto"/>
              </w:rPr>
            </w:pPr>
          </w:p>
        </w:tc>
        <w:tc>
          <w:tcPr>
            <w:tcW w:w="112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10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36"/>
        </w:trPr>
        <w:tc>
          <w:tcPr>
            <w:tcW w:w="4920" w:type="dxa"/>
            <w:vAlign w:val="bottom"/>
          </w:tcPr>
          <w:p>
            <w:pPr>
              <w:ind w:left="200"/>
              <w:spacing w:after="0"/>
              <w:rPr>
                <w:sz w:val="20"/>
                <w:szCs w:val="20"/>
                <w:color w:val="auto"/>
              </w:rPr>
            </w:pPr>
            <w:r>
              <w:rPr>
                <w:rFonts w:ascii="Arial" w:cs="Arial" w:eastAsia="Arial" w:hAnsi="Arial"/>
                <w:sz w:val="18"/>
                <w:szCs w:val="18"/>
                <w:color w:val="auto"/>
              </w:rPr>
              <w:t>Marine transportation</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4,379,866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4,285,647</w:t>
            </w:r>
          </w:p>
        </w:tc>
        <w:tc>
          <w:tcPr>
            <w:tcW w:w="100" w:type="dxa"/>
            <w:vAlign w:val="bottom"/>
          </w:tcPr>
          <w:p>
            <w:pPr>
              <w:spacing w:after="0"/>
              <w:rPr>
                <w:sz w:val="20"/>
                <w:szCs w:val="20"/>
                <w:color w:val="auto"/>
              </w:rPr>
            </w:pPr>
          </w:p>
        </w:tc>
      </w:tr>
      <w:tr>
        <w:trPr>
          <w:trHeight w:val="249"/>
        </w:trPr>
        <w:tc>
          <w:tcPr>
            <w:tcW w:w="4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Distribution and services</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1,180,067</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1,041,841</w:t>
            </w: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122,947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227,436</w:t>
            </w:r>
          </w:p>
        </w:tc>
        <w:tc>
          <w:tcPr>
            <w:tcW w:w="100" w:type="dxa"/>
            <w:vAlign w:val="bottom"/>
          </w:tcPr>
          <w:p>
            <w:pPr>
              <w:spacing w:after="0"/>
              <w:rPr>
                <w:sz w:val="20"/>
                <w:szCs w:val="20"/>
                <w:color w:val="auto"/>
              </w:rPr>
            </w:pPr>
          </w:p>
        </w:tc>
      </w:tr>
      <w:tr>
        <w:trPr>
          <w:trHeight w:val="276"/>
        </w:trPr>
        <w:tc>
          <w:tcPr>
            <w:tcW w:w="49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5,682,880</w:t>
            </w:r>
          </w:p>
        </w:tc>
        <w:tc>
          <w:tcPr>
            <w:tcW w:w="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5,554,924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78"/>
        </w:trPr>
        <w:tc>
          <w:tcPr>
            <w:tcW w:w="6560" w:type="dxa"/>
            <w:vAlign w:val="bottom"/>
            <w:gridSpan w:val="4"/>
          </w:tcPr>
          <w:p>
            <w:pPr>
              <w:ind w:left="560"/>
              <w:spacing w:after="0"/>
              <w:rPr>
                <w:sz w:val="20"/>
                <w:szCs w:val="20"/>
                <w:color w:val="auto"/>
              </w:rPr>
            </w:pPr>
            <w:r>
              <w:rPr>
                <w:rFonts w:ascii="Arial" w:cs="Arial" w:eastAsia="Arial" w:hAnsi="Arial"/>
                <w:sz w:val="18"/>
                <w:szCs w:val="18"/>
                <w:color w:val="auto"/>
                <w:w w:val="95"/>
              </w:rPr>
              <w:t>The following table presents the details of “Other” segment loss (in thousands):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5"/>
          </w:tcPr>
          <w:p>
            <w:pPr>
              <w:jc w:val="right"/>
              <w:ind w:right="550"/>
              <w:spacing w:after="0"/>
              <w:rPr>
                <w:sz w:val="20"/>
                <w:szCs w:val="20"/>
                <w:color w:val="auto"/>
              </w:rPr>
            </w:pPr>
            <w:r>
              <w:rPr>
                <w:rFonts w:ascii="Arial" w:cs="Arial" w:eastAsia="Arial" w:hAnsi="Arial"/>
                <w:sz w:val="14"/>
                <w:szCs w:val="14"/>
                <w:b w:val="1"/>
                <w:bCs w:val="1"/>
                <w:color w:val="auto"/>
                <w:w w:val="98"/>
              </w:rPr>
              <w:t>Three Months Ended September 30,</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gridSpan w:val="6"/>
          </w:tcPr>
          <w:p>
            <w:pPr>
              <w:jc w:val="right"/>
              <w:ind w:right="42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69"/>
        </w:trPr>
        <w:tc>
          <w:tcPr>
            <w:tcW w:w="49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corporate expenses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(4,666</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(5,451</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(18,539</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4920" w:type="dxa"/>
            <w:vAlign w:val="bottom"/>
          </w:tcPr>
          <w:p>
            <w:pPr>
              <w:ind w:left="20"/>
              <w:spacing w:after="0"/>
              <w:rPr>
                <w:sz w:val="20"/>
                <w:szCs w:val="20"/>
                <w:color w:val="auto"/>
              </w:rPr>
            </w:pPr>
            <w:r>
              <w:rPr>
                <w:rFonts w:ascii="Arial" w:cs="Arial" w:eastAsia="Arial" w:hAnsi="Arial"/>
                <w:sz w:val="18"/>
                <w:szCs w:val="18"/>
                <w:color w:val="auto"/>
              </w:rPr>
              <w:t>Gain on disposition of assets</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1,528</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4,230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7,971</w:t>
            </w:r>
          </w:p>
        </w:tc>
        <w:tc>
          <w:tcPr>
            <w:tcW w:w="100" w:type="dxa"/>
            <w:vAlign w:val="bottom"/>
          </w:tcPr>
          <w:p>
            <w:pPr>
              <w:spacing w:after="0"/>
              <w:rPr>
                <w:sz w:val="20"/>
                <w:szCs w:val="20"/>
                <w:color w:val="auto"/>
              </w:rPr>
            </w:pPr>
          </w:p>
        </w:tc>
      </w:tr>
      <w:tr>
        <w:trPr>
          <w:trHeight w:val="249"/>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(13,386 )</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(11,755 )</w:t>
            </w: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4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(38,893 )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(32,598 )</w:t>
            </w:r>
          </w:p>
        </w:tc>
      </w:tr>
      <w:tr>
        <w:trPr>
          <w:trHeight w:val="236"/>
        </w:trPr>
        <w:tc>
          <w:tcPr>
            <w:tcW w:w="49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9,296</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11,853</w:t>
            </w:r>
          </w:p>
        </w:tc>
        <w:tc>
          <w:tcPr>
            <w:tcW w:w="100" w:type="dxa"/>
            <w:vAlign w:val="bottom"/>
          </w:tcPr>
          <w:p>
            <w:pPr>
              <w:spacing w:after="0"/>
              <w:rPr>
                <w:sz w:val="20"/>
                <w:szCs w:val="20"/>
                <w:color w:val="auto"/>
              </w:rPr>
            </w:pPr>
          </w:p>
        </w:tc>
      </w:tr>
      <w:tr>
        <w:trPr>
          <w:trHeight w:val="276"/>
        </w:trPr>
        <w:tc>
          <w:tcPr>
            <w:tcW w:w="49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(14,935</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(13,024</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(43,906</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(25,049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-1454785</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-1437640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-1454785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-1437640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-24765</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-7620</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-24765</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-7620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details of “Other” total assets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57"/>
              <w:spacing w:after="0"/>
              <w:rPr>
                <w:sz w:val="20"/>
                <w:szCs w:val="20"/>
                <w:color w:val="auto"/>
              </w:rPr>
            </w:pPr>
            <w:r>
              <w:rPr>
                <w:rFonts w:ascii="Arial" w:cs="Arial" w:eastAsia="Arial" w:hAnsi="Arial"/>
                <w:sz w:val="14"/>
                <w:szCs w:val="14"/>
                <w:b w:val="1"/>
                <w:bCs w:val="1"/>
                <w:color w:val="auto"/>
                <w:w w:val="96"/>
              </w:rPr>
              <w:t>September 30,</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77"/>
              <w:spacing w:after="0"/>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4"/>
                <w:szCs w:val="14"/>
                <w:color w:val="auto"/>
              </w:rPr>
            </w:pPr>
          </w:p>
        </w:tc>
      </w:tr>
      <w:tr>
        <w:trPr>
          <w:trHeight w:val="185"/>
        </w:trPr>
        <w:tc>
          <w:tcPr>
            <w:tcW w:w="36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corporate assets</w:t>
            </w:r>
          </w:p>
        </w:tc>
        <w:tc>
          <w:tcPr>
            <w:tcW w:w="44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120,620</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225,265</w:t>
            </w:r>
          </w:p>
        </w:tc>
        <w:tc>
          <w:tcPr>
            <w:tcW w:w="100" w:type="dxa"/>
            <w:vAlign w:val="bottom"/>
            <w:shd w:val="clear" w:color="auto" w:fill="CFF0FC"/>
          </w:tcPr>
          <w:p>
            <w:pPr>
              <w:spacing w:after="0"/>
              <w:rPr>
                <w:sz w:val="20"/>
                <w:szCs w:val="20"/>
                <w:color w:val="auto"/>
              </w:rPr>
            </w:pPr>
          </w:p>
        </w:tc>
      </w:tr>
      <w:tr>
        <w:trPr>
          <w:trHeight w:val="236"/>
        </w:trPr>
        <w:tc>
          <w:tcPr>
            <w:tcW w:w="3680" w:type="dxa"/>
            <w:vAlign w:val="bottom"/>
          </w:tcPr>
          <w:p>
            <w:pPr>
              <w:ind w:left="20"/>
              <w:spacing w:after="0"/>
              <w:rPr>
                <w:sz w:val="20"/>
                <w:szCs w:val="20"/>
                <w:color w:val="auto"/>
              </w:rPr>
            </w:pPr>
            <w:r>
              <w:rPr>
                <w:rFonts w:ascii="Arial" w:cs="Arial" w:eastAsia="Arial" w:hAnsi="Arial"/>
                <w:sz w:val="18"/>
                <w:szCs w:val="18"/>
                <w:color w:val="auto"/>
              </w:rPr>
              <w:t>Investment in affiliates</w:t>
            </w:r>
          </w:p>
        </w:tc>
        <w:tc>
          <w:tcPr>
            <w:tcW w:w="4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20"/>
                <w:szCs w:val="20"/>
                <w:color w:val="auto"/>
              </w:rPr>
            </w:pPr>
          </w:p>
        </w:tc>
      </w:tr>
      <w:tr>
        <w:trPr>
          <w:trHeight w:val="276"/>
        </w:trPr>
        <w:tc>
          <w:tcPr>
            <w:tcW w:w="3680" w:type="dxa"/>
            <w:vAlign w:val="bottom"/>
            <w:tcBorders>
              <w:bottom w:val="single" w:sz="8" w:color="CFF0FC"/>
            </w:tcBorders>
            <w:shd w:val="clear" w:color="auto" w:fill="CFF0FC"/>
          </w:tcPr>
          <w:p>
            <w:pPr>
              <w:spacing w:after="0"/>
              <w:rPr>
                <w:sz w:val="24"/>
                <w:szCs w:val="24"/>
                <w:color w:val="auto"/>
              </w:rPr>
            </w:pPr>
          </w:p>
        </w:tc>
        <w:tc>
          <w:tcPr>
            <w:tcW w:w="44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122,947</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227,436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53"/>
        </w:trPr>
        <w:tc>
          <w:tcPr>
            <w:tcW w:w="3680" w:type="dxa"/>
            <w:vAlign w:val="bottom"/>
          </w:tcPr>
          <w:p>
            <w:pPr>
              <w:spacing w:after="0"/>
              <w:rPr>
                <w:sz w:val="24"/>
                <w:szCs w:val="24"/>
                <w:color w:val="auto"/>
              </w:rPr>
            </w:pPr>
          </w:p>
        </w:tc>
        <w:tc>
          <w:tcPr>
            <w:tcW w:w="4480" w:type="dxa"/>
            <w:vAlign w:val="bottom"/>
          </w:tcPr>
          <w:p>
            <w:pPr>
              <w:jc w:val="right"/>
              <w:ind w:right="241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680" w:type="dxa"/>
            <w:vAlign w:val="bottom"/>
            <w:tcBorders>
              <w:bottom w:val="single" w:sz="8" w:color="9A9A9A"/>
            </w:tcBorders>
          </w:tcPr>
          <w:p>
            <w:pPr>
              <w:spacing w:after="0"/>
              <w:rPr>
                <w:sz w:val="9"/>
                <w:szCs w:val="9"/>
                <w:color w:val="auto"/>
              </w:rPr>
            </w:pPr>
          </w:p>
        </w:tc>
        <w:tc>
          <w:tcPr>
            <w:tcW w:w="44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-470535</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-453390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9" w:name="page10"/>
    <w:bookmarkEnd w:id="9"/>
    <w:p>
      <w:pPr>
        <w:ind w:left="480" w:hanging="472"/>
        <w:spacing w:after="0"/>
        <w:tabs>
          <w:tab w:leader="none" w:pos="4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88" w:lineRule="exact"/>
        <w:rPr>
          <w:sz w:val="20"/>
          <w:szCs w:val="20"/>
          <w:color w:val="auto"/>
        </w:rPr>
      </w:pPr>
    </w:p>
    <w:p>
      <w:pPr>
        <w:ind w:right="160" w:firstLine="562"/>
        <w:spacing w:after="0" w:line="277" w:lineRule="auto"/>
        <w:rPr>
          <w:sz w:val="20"/>
          <w:szCs w:val="20"/>
          <w:color w:val="auto"/>
        </w:rPr>
      </w:pPr>
      <w:r>
        <w:rPr>
          <w:rFonts w:ascii="Arial" w:cs="Arial" w:eastAsia="Arial" w:hAnsi="Arial"/>
          <w:sz w:val="18"/>
          <w:szCs w:val="18"/>
          <w:color w:val="auto"/>
        </w:rPr>
        <w:t>The following table presents the carrying value and fair value (determined using inputs characteristic of a Level 2 fair value measurement) of debt outstanding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September 30, 2023</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Carrying Value</w:t>
            </w:r>
          </w:p>
        </w:tc>
        <w:tc>
          <w:tcPr>
            <w:tcW w:w="240" w:type="dxa"/>
            <w:vAlign w:val="bottom"/>
          </w:tcPr>
          <w:p>
            <w:pPr>
              <w:spacing w:after="0"/>
              <w:rPr>
                <w:sz w:val="14"/>
                <w:szCs w:val="14"/>
                <w:color w:val="auto"/>
              </w:rPr>
            </w:pPr>
          </w:p>
        </w:tc>
        <w:tc>
          <w:tcPr>
            <w:tcW w:w="1120" w:type="dxa"/>
            <w:vAlign w:val="bottom"/>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Carrying Value</w:t>
            </w:r>
          </w:p>
        </w:tc>
        <w:tc>
          <w:tcPr>
            <w:tcW w:w="220" w:type="dxa"/>
            <w:vAlign w:val="bottom"/>
          </w:tcPr>
          <w:p>
            <w:pPr>
              <w:spacing w:after="0"/>
              <w:rPr>
                <w:sz w:val="14"/>
                <w:szCs w:val="14"/>
                <w:color w:val="auto"/>
              </w:rPr>
            </w:pPr>
          </w:p>
        </w:tc>
        <w:tc>
          <w:tcPr>
            <w:tcW w:w="1120" w:type="dxa"/>
            <w:vAlign w:val="bottom"/>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Revolving Credit Facility due July 29, 2027 (a)</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94,000</w:t>
            </w: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94,000</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36"/>
        </w:trPr>
        <w:tc>
          <w:tcPr>
            <w:tcW w:w="4920" w:type="dxa"/>
            <w:vAlign w:val="bottom"/>
          </w:tcPr>
          <w:p>
            <w:pPr>
              <w:ind w:left="20"/>
              <w:spacing w:after="0"/>
              <w:rPr>
                <w:sz w:val="20"/>
                <w:szCs w:val="20"/>
                <w:color w:val="auto"/>
              </w:rPr>
            </w:pPr>
            <w:r>
              <w:rPr>
                <w:rFonts w:ascii="Arial" w:cs="Arial" w:eastAsia="Arial" w:hAnsi="Arial"/>
                <w:sz w:val="18"/>
                <w:szCs w:val="18"/>
                <w:color w:val="auto"/>
              </w:rPr>
              <w:t>Term Loan due July 29, 2027 (a)</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170,000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170,000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170,000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170,000</w:t>
            </w:r>
          </w:p>
        </w:tc>
        <w:tc>
          <w:tcPr>
            <w:tcW w:w="100" w:type="dxa"/>
            <w:vAlign w:val="bottom"/>
          </w:tcPr>
          <w:p>
            <w:pPr>
              <w:spacing w:after="0"/>
              <w:rPr>
                <w:sz w:val="20"/>
                <w:szCs w:val="20"/>
                <w:color w:val="auto"/>
              </w:rPr>
            </w:pPr>
          </w:p>
        </w:tc>
      </w:tr>
      <w:tr>
        <w:trPr>
          <w:trHeight w:val="249"/>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3.29% senior notes due February 27, 2023</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352,275</w:t>
            </w: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Pr>
          <w:p>
            <w:pPr>
              <w:ind w:left="20"/>
              <w:spacing w:after="0"/>
              <w:rPr>
                <w:sz w:val="20"/>
                <w:szCs w:val="20"/>
                <w:color w:val="auto"/>
              </w:rPr>
            </w:pPr>
            <w:r>
              <w:rPr>
                <w:rFonts w:ascii="Arial" w:cs="Arial" w:eastAsia="Arial" w:hAnsi="Arial"/>
                <w:sz w:val="18"/>
                <w:szCs w:val="18"/>
                <w:color w:val="auto"/>
              </w:rPr>
              <w:t>4.2% senior notes due March 1, 2028</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500,000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451,293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500,000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477,660</w:t>
            </w:r>
          </w:p>
        </w:tc>
        <w:tc>
          <w:tcPr>
            <w:tcW w:w="100" w:type="dxa"/>
            <w:vAlign w:val="bottom"/>
          </w:tcPr>
          <w:p>
            <w:pPr>
              <w:spacing w:after="0"/>
              <w:rPr>
                <w:sz w:val="20"/>
                <w:szCs w:val="20"/>
                <w:color w:val="auto"/>
              </w:rPr>
            </w:pPr>
          </w:p>
        </w:tc>
      </w:tr>
      <w:tr>
        <w:trPr>
          <w:trHeight w:val="249"/>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3.46% senior notes due January 19, 2033</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45,631</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42,647</w:t>
            </w: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Pr>
          <w:p>
            <w:pPr>
              <w:ind w:left="20"/>
              <w:spacing w:after="0"/>
              <w:rPr>
                <w:sz w:val="20"/>
                <w:szCs w:val="20"/>
                <w:color w:val="auto"/>
              </w:rPr>
            </w:pPr>
            <w:r>
              <w:rPr>
                <w:rFonts w:ascii="Arial" w:cs="Arial" w:eastAsia="Arial" w:hAnsi="Arial"/>
                <w:sz w:val="18"/>
                <w:szCs w:val="18"/>
                <w:color w:val="auto"/>
              </w:rPr>
              <w:t>3.51% senior notes due January 19, 2033</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240,000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183,351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Credit line due June 30, 2024</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Pr>
          <w:p>
            <w:pPr>
              <w:ind w:left="20"/>
              <w:spacing w:after="0"/>
              <w:rPr>
                <w:sz w:val="20"/>
                <w:szCs w:val="20"/>
                <w:color w:val="auto"/>
              </w:rPr>
            </w:pPr>
            <w:r>
              <w:rPr>
                <w:rFonts w:ascii="Arial" w:cs="Arial" w:eastAsia="Arial" w:hAnsi="Arial"/>
                <w:sz w:val="18"/>
                <w:szCs w:val="18"/>
                <w:color w:val="auto"/>
              </w:rPr>
              <w:t>Bank notes payable</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9,608</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9,608</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w:t>
            </w:r>
          </w:p>
        </w:tc>
        <w:tc>
          <w:tcPr>
            <w:tcW w:w="100" w:type="dxa"/>
            <w:vAlign w:val="bottom"/>
          </w:tcPr>
          <w:p>
            <w:pPr>
              <w:spacing w:after="0"/>
              <w:rPr>
                <w:sz w:val="20"/>
                <w:szCs w:val="20"/>
                <w:color w:val="auto"/>
              </w:rPr>
            </w:pPr>
          </w:p>
        </w:tc>
      </w:tr>
      <w:tr>
        <w:trPr>
          <w:trHeight w:val="242"/>
        </w:trPr>
        <w:tc>
          <w:tcPr>
            <w:tcW w:w="4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1,073,608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953,883</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1,083,292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1,045,874</w:t>
            </w: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Pr>
          <w:p>
            <w:pPr>
              <w:ind w:left="20"/>
              <w:spacing w:after="0"/>
              <w:rPr>
                <w:sz w:val="20"/>
                <w:szCs w:val="20"/>
                <w:color w:val="auto"/>
              </w:rPr>
            </w:pPr>
            <w:r>
              <w:rPr>
                <w:rFonts w:ascii="Arial" w:cs="Arial" w:eastAsia="Arial" w:hAnsi="Arial"/>
                <w:sz w:val="18"/>
                <w:szCs w:val="18"/>
                <w:color w:val="auto"/>
              </w:rPr>
              <w:t>Unamortized debt discounts and issuance costs (b)</w:t>
            </w:r>
          </w:p>
        </w:tc>
        <w:tc>
          <w:tcPr>
            <w:tcW w:w="1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(5,752 )</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(3,674 )</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76"/>
        </w:trPr>
        <w:tc>
          <w:tcPr>
            <w:tcW w:w="49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1,067,856</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953,883</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1,079,618</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1,045,874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-24765</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-7620</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-24765</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-7620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ind w:left="940" w:hanging="371"/>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Variable interest rate of 6.8% at September 30, 2023.</w:t>
      </w:r>
    </w:p>
    <w:p>
      <w:pPr>
        <w:spacing w:after="0" w:line="23" w:lineRule="exact"/>
        <w:rPr>
          <w:rFonts w:ascii="Arial" w:cs="Arial" w:eastAsia="Arial" w:hAnsi="Arial"/>
          <w:sz w:val="18"/>
          <w:szCs w:val="18"/>
          <w:color w:val="auto"/>
        </w:rPr>
      </w:pPr>
    </w:p>
    <w:p>
      <w:pPr>
        <w:ind w:left="940" w:hanging="371"/>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$1.8 million attributable to the 2027 Revolving Credit Facility included in other assets at December 31, 2022.</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borrowings and payments under the bank credit facilities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69"/>
        </w:trPr>
        <w:tc>
          <w:tcPr>
            <w:tcW w:w="81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Borrowings on bank credit facilities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379,760</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171,884</w:t>
            </w:r>
          </w:p>
        </w:tc>
        <w:tc>
          <w:tcPr>
            <w:tcW w:w="100" w:type="dxa"/>
            <w:vAlign w:val="bottom"/>
            <w:shd w:val="clear" w:color="auto" w:fill="CFF0FC"/>
          </w:tcPr>
          <w:p>
            <w:pPr>
              <w:spacing w:after="0"/>
              <w:rPr>
                <w:sz w:val="20"/>
                <w:szCs w:val="20"/>
                <w:color w:val="auto"/>
              </w:rPr>
            </w:pPr>
          </w:p>
        </w:tc>
      </w:tr>
      <w:tr>
        <w:trPr>
          <w:trHeight w:val="236"/>
        </w:trPr>
        <w:tc>
          <w:tcPr>
            <w:tcW w:w="8160" w:type="dxa"/>
            <w:vAlign w:val="bottom"/>
          </w:tcPr>
          <w:p>
            <w:pPr>
              <w:ind w:left="20"/>
              <w:spacing w:after="0"/>
              <w:rPr>
                <w:sz w:val="20"/>
                <w:szCs w:val="20"/>
                <w:color w:val="auto"/>
              </w:rPr>
            </w:pPr>
            <w:r>
              <w:rPr>
                <w:rFonts w:ascii="Arial" w:cs="Arial" w:eastAsia="Arial" w:hAnsi="Arial"/>
                <w:sz w:val="18"/>
                <w:szCs w:val="18"/>
                <w:color w:val="auto"/>
              </w:rPr>
              <w:t>Payments on bank credit facilities</w:t>
            </w:r>
          </w:p>
        </w:tc>
        <w:tc>
          <w:tcPr>
            <w:tcW w:w="2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(279,444 )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(150,220 )</w:t>
            </w:r>
          </w:p>
        </w:tc>
      </w:tr>
      <w:tr>
        <w:trPr>
          <w:trHeight w:val="276"/>
        </w:trPr>
        <w:tc>
          <w:tcPr>
            <w:tcW w:w="8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100,316</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21,664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-24765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-7620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At the beginning of 2022, the Company had an amended and restated credit agreement (the “2024 Credit Agreement”) with a group of commercial banks, with JPMorgan Chase Bank, N.A. as the administrative agent bank, that allowed for an $850 million unsecured revolving credit facility (the “2024 Revolving Credit Facility”) and an unsecured term loan (the “2024 Term Loan”) with a maturity date of March 27, 2024. The 2024 Term Loan was prepayable, in whole or in part, without penalty.</w:t>
      </w:r>
    </w:p>
    <w:p>
      <w:pPr>
        <w:spacing w:after="0" w:line="158"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On July 29, 2022, the Company entered into a new credit agreement (the “2027 Credit Agreement”) with a group of commercial banks, with JPMorgan Chase Bank, N.A. as the administrative agent bank that allows for a $500 million unsecured revolving credit facility (the “2027 Revolving Credit Facility”) and a $250 million unsecured term loan (the “2027 Term Loan”) with a maturity date of July 29, 2027. The 2027 Credit Agreement replaced the 2024 Credit Agreement. In conjunction with entering into the 2027 Credit Agreement, on July 29, 2022, the Company borrowed $35 million under the 2027 Revolving Credit Facility and $250 million under the 2027 Term Loan to repay borrowings under the 2024 Term Loan. In the fourth quarter of 2022, the Company repaid $80.0 million under the 2027 Term Loan prior to scheduled maturities. As a result, no repayments are required until June 30, 2025. Outstanding letters of credit under the 2027 Revolving Credit Facility were $0.1 million and available borrowing capacity was $405.9 million as of September 30, 2023.</w:t>
      </w:r>
    </w:p>
    <w:p>
      <w:pPr>
        <w:spacing w:after="0" w:line="156" w:lineRule="exact"/>
        <w:rPr>
          <w:sz w:val="20"/>
          <w:szCs w:val="20"/>
          <w:color w:val="auto"/>
        </w:rPr>
      </w:pPr>
    </w:p>
    <w:p>
      <w:pPr>
        <w:jc w:val="both"/>
        <w:ind w:firstLine="562"/>
        <w:spacing w:after="0" w:line="268" w:lineRule="auto"/>
        <w:rPr>
          <w:sz w:val="20"/>
          <w:szCs w:val="20"/>
          <w:color w:val="auto"/>
        </w:rPr>
      </w:pPr>
      <w:r>
        <w:rPr>
          <w:rFonts w:ascii="Arial" w:cs="Arial" w:eastAsia="Arial" w:hAnsi="Arial"/>
          <w:sz w:val="17"/>
          <w:szCs w:val="17"/>
          <w:color w:val="auto"/>
        </w:rPr>
        <w:t>The 2027 Term Loan is repayable in quarterly installments, with no repayments until June 30, 2025, in increasing percentages of the original principal amount of the loan, with the remaining unpaid balance of approximately $43.8 million payable upon maturity, assuming no prepayment. The 2027 Term Loan is prepayable, in whole or in part, without penalty. The 2027 Credit Agreement provides for a variable interest rate based on the Secured Overnight Financing Rate (“SOFR”) or a base rate calculated with reference to the prime rate quoted by The Wall Street Journal, the Federal Reserve Bank of New York Rate plus 0.5%, or the adjusted SOFR rate for a one month interest period plus 1.0%, among other factors (the “Alternate Base Rate”). The interest rate varies with the Company’s credit rating and is currently 137.5 basis points over SOFR or 37.5 basis points over the Alternate Base Rate. The 2027 Credit Agreement contains certain financial covenants including an interest coverage ratio and debt-to-capitalization ratio. In addition to financial covenants, the 2027 Credit Agreement contains covenants that, subject to exceptions, restrict debt incurrence, mergers and acquisitions, sales of assets, dividends and investments, liquidations and dissolutions, capital leases, transactions with affiliates, and changes in lines of business. The 2027 Credit Agreement specifies certain events of default, upon the occurrence of which the maturity of the outstanding loans may be accelerated, including the failure to pay principal or interest, violation of covenants and default on other indebtedness, among other events. Borrowings under the 2027 Credit Agreement may be used for general corporate purposes including acquisitions. The 2027 Revolving Credit Facility includes a $25 million commitment which may be used for standby letters of credit.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both"/>
        <w:ind w:right="60" w:firstLine="569"/>
        <w:spacing w:after="0" w:line="269" w:lineRule="auto"/>
        <w:rPr>
          <w:sz w:val="20"/>
          <w:szCs w:val="20"/>
          <w:color w:val="auto"/>
        </w:rPr>
      </w:pPr>
      <w:r>
        <w:rPr>
          <w:rFonts w:ascii="Arial" w:cs="Arial" w:eastAsia="Arial" w:hAnsi="Arial"/>
          <w:sz w:val="17"/>
          <w:szCs w:val="17"/>
          <w:color w:val="auto"/>
        </w:rPr>
        <w:t>On February 3, 2022, the Company entered into a note purchase agreement for the issuance of $300 million of unsecured senior notes with a group of institutional investors, consisting of $60 million of 3.46% series A notes (“Series A Notes”) and $240 million of 3.51% series B notes (“Series B Notes”), each due January 19, 2033 (collectively, the “2033 Notes”). The Series A Notes were issued on October 20, 2022, and the Series B Notes were issued on January 19, 2023. No principal payments will be required until maturity. Beginning in 2023, interest payments of $5.3 million will be due semi-annually on January 19 and July 19 of each year, with the exception of the first payment on January 19, 2023, which was $0.5 million. The 2033 Notes are unsecured and rank equally in right of payment with the Company's other unsecured senior indebtedness. The 2033 Notes contain certain covenants on the part of the Company, including an interest coverage covenant, a debt-to-capitalization covenant, and covenants relating to liens, asset sales and mergers, among others. The 2033 Notes also specify certain events of default, upon the occurrence of which the maturity of the notes may be accelerated, including failure to pay principal and interest, violation of covenants or default on other indebtedness, among others. The 3.29% unsecured senior notes due February 27, 2023 (the “2023 Notes”) were repaid using a combination of the proceeds from the issuance of the 2033 Notes and availability under the 2027 Revolving Credit Facility.</w:t>
      </w:r>
    </w:p>
    <w:p>
      <w:pPr>
        <w:spacing w:after="0" w:line="152" w:lineRule="exact"/>
        <w:rPr>
          <w:sz w:val="20"/>
          <w:szCs w:val="20"/>
          <w:color w:val="auto"/>
        </w:rPr>
      </w:pPr>
    </w:p>
    <w:p>
      <w:pPr>
        <w:jc w:val="both"/>
        <w:ind w:right="60" w:firstLine="562"/>
        <w:spacing w:after="0" w:line="263" w:lineRule="auto"/>
        <w:rPr>
          <w:sz w:val="20"/>
          <w:szCs w:val="20"/>
          <w:color w:val="auto"/>
        </w:rPr>
      </w:pPr>
      <w:r>
        <w:rPr>
          <w:rFonts w:ascii="Arial" w:cs="Arial" w:eastAsia="Arial" w:hAnsi="Arial"/>
          <w:sz w:val="18"/>
          <w:szCs w:val="18"/>
          <w:color w:val="auto"/>
        </w:rPr>
        <w:t>The Company has a $10 million line of credit (“Credit Line”) with Bank of America, N.A. (“Bank of America”) for short-term liquidity needs and letters of credit, with a maturity date of June 30, 2024. Outstanding letters of credit under the $10 million credit line were $7.3 million and available borrowing capacity was $2.7 million as of September 30, 2023.</w:t>
      </w:r>
    </w:p>
    <w:p>
      <w:pPr>
        <w:spacing w:after="0" w:line="179"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right="60" w:firstLine="562"/>
        <w:spacing w:after="0" w:line="254" w:lineRule="auto"/>
        <w:rPr>
          <w:sz w:val="20"/>
          <w:szCs w:val="20"/>
          <w:color w:val="auto"/>
        </w:rPr>
      </w:pPr>
      <w:r>
        <w:rPr>
          <w:rFonts w:ascii="Arial" w:cs="Arial" w:eastAsia="Arial" w:hAnsi="Arial"/>
          <w:sz w:val="18"/>
          <w:szCs w:val="18"/>
          <w:color w:val="auto"/>
        </w:rPr>
        <w:t>The Company currently leases various facilities and equipment under cancelable and noncancelable operating leases. The accounting for the Company’s leases may require judgments, which include determining whether a contract contains a lease, allocating the consideration between lease and non-lease components, and determining the incremental borrowing rates. Leases with an initial noncancelable term of 12 months or less are not recorded on the balance sheet and related lease expense is recognized on a straight-line basis over the lease term. The Company has also elected to combine lease and non-lease components on all classes of leased assets, except for leased towing vessels, for which the Company estimates approximately 70% of the costs relate to service costs and other non-lease components. Variable lease costs relate primarily to real estate executory costs (i.e. taxes, insurance and maintenance).</w:t>
      </w:r>
    </w:p>
    <w:p>
      <w:pPr>
        <w:spacing w:after="0" w:line="152" w:lineRule="exact"/>
        <w:rPr>
          <w:sz w:val="20"/>
          <w:szCs w:val="20"/>
          <w:color w:val="auto"/>
        </w:rPr>
      </w:pPr>
    </w:p>
    <w:p>
      <w:pPr>
        <w:jc w:val="both"/>
        <w:ind w:right="60" w:firstLine="562"/>
        <w:spacing w:after="0" w:line="277" w:lineRule="auto"/>
        <w:rPr>
          <w:sz w:val="20"/>
          <w:szCs w:val="20"/>
          <w:color w:val="auto"/>
        </w:rPr>
      </w:pPr>
      <w:r>
        <w:rPr>
          <w:rFonts w:ascii="Arial" w:cs="Arial" w:eastAsia="Arial" w:hAnsi="Arial"/>
          <w:sz w:val="18"/>
          <w:szCs w:val="18"/>
          <w:color w:val="auto"/>
        </w:rPr>
        <w:t>Future minimum lease payments under operating leases that have initial noncancelable lease terms in excess of one year were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jc w:val="center"/>
              <w:ind w:right="31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4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2023</w:t>
            </w:r>
          </w:p>
        </w:tc>
        <w:tc>
          <w:tcPr>
            <w:tcW w:w="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6"/>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8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9,909</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41,227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4940" w:type="dxa"/>
            <w:vAlign w:val="bottom"/>
          </w:tcPr>
          <w:p>
            <w:pPr>
              <w:ind w:left="20"/>
              <w:spacing w:after="0"/>
              <w:rPr>
                <w:sz w:val="20"/>
                <w:szCs w:val="20"/>
                <w:color w:val="auto"/>
              </w:rPr>
            </w:pPr>
            <w:r>
              <w:rPr>
                <w:rFonts w:ascii="Arial" w:cs="Arial" w:eastAsia="Arial" w:hAnsi="Arial"/>
                <w:sz w:val="18"/>
                <w:szCs w:val="18"/>
                <w:color w:val="auto"/>
              </w:rPr>
              <w:t>2024</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35,206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32,716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8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26,222</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4940" w:type="dxa"/>
            <w:vAlign w:val="bottom"/>
          </w:tcPr>
          <w:p>
            <w:pPr>
              <w:ind w:left="20"/>
              <w:spacing w:after="0"/>
              <w:rPr>
                <w:sz w:val="20"/>
                <w:szCs w:val="20"/>
                <w:color w:val="auto"/>
              </w:rPr>
            </w:pPr>
            <w:r>
              <w:rPr>
                <w:rFonts w:ascii="Arial" w:cs="Arial" w:eastAsia="Arial" w:hAnsi="Arial"/>
                <w:sz w:val="18"/>
                <w:szCs w:val="18"/>
                <w:color w:val="auto"/>
              </w:rPr>
              <w:t>2026</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24,556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21,467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8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22,453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49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97,780</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95,582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4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lease payments</w:t>
            </w:r>
          </w:p>
        </w:tc>
        <w:tc>
          <w:tcPr>
            <w:tcW w:w="8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216,126</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235,052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49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3"/>
          </w:tcPr>
          <w:p>
            <w:pPr>
              <w:jc w:val="right"/>
              <w:ind w:right="70"/>
              <w:spacing w:after="0"/>
              <w:rPr>
                <w:sz w:val="20"/>
                <w:szCs w:val="20"/>
                <w:color w:val="auto"/>
              </w:rPr>
            </w:pPr>
            <w:r>
              <w:rPr>
                <w:rFonts w:ascii="Arial" w:cs="Arial" w:eastAsia="Arial" w:hAnsi="Arial"/>
                <w:sz w:val="18"/>
                <w:szCs w:val="18"/>
                <w:color w:val="auto"/>
              </w:rPr>
              <w:t>(41,719 )</w:t>
            </w:r>
          </w:p>
        </w:tc>
        <w:tc>
          <w:tcPr>
            <w:tcW w:w="1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(56,468 )</w:t>
            </w:r>
          </w:p>
        </w:tc>
        <w:tc>
          <w:tcPr>
            <w:tcW w:w="60" w:type="dxa"/>
            <w:vAlign w:val="bottom"/>
          </w:tcPr>
          <w:p>
            <w:pPr>
              <w:spacing w:after="0"/>
              <w:rPr>
                <w:sz w:val="20"/>
                <w:szCs w:val="20"/>
                <w:color w:val="auto"/>
              </w:rPr>
            </w:pPr>
          </w:p>
        </w:tc>
      </w:tr>
      <w:tr>
        <w:trPr>
          <w:trHeight w:val="276"/>
        </w:trPr>
        <w:tc>
          <w:tcPr>
            <w:tcW w:w="4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Operating lease liabilities</w:t>
            </w:r>
          </w:p>
        </w:tc>
        <w:tc>
          <w:tcPr>
            <w:tcW w:w="8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174,407</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178,584</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4940" w:type="dxa"/>
            <w:vAlign w:val="bottom"/>
          </w:tcPr>
          <w:p>
            <w:pPr>
              <w:ind w:left="580"/>
              <w:spacing w:after="0"/>
              <w:rPr>
                <w:sz w:val="20"/>
                <w:szCs w:val="20"/>
                <w:color w:val="auto"/>
              </w:rPr>
            </w:pPr>
            <w:r>
              <w:rPr>
                <w:rFonts w:ascii="Arial" w:cs="Arial" w:eastAsia="Arial" w:hAnsi="Arial"/>
                <w:sz w:val="18"/>
                <w:szCs w:val="18"/>
                <w:color w:val="auto"/>
                <w:w w:val="92"/>
              </w:rPr>
              <w:t>The following table summarizes lease costs (in thousands):</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4940" w:type="dxa"/>
            <w:vAlign w:val="bottom"/>
          </w:tcPr>
          <w:p>
            <w:pPr>
              <w:spacing w:after="0"/>
              <w:rPr>
                <w:sz w:val="24"/>
                <w:szCs w:val="24"/>
                <w:color w:val="auto"/>
              </w:rPr>
            </w:pPr>
          </w:p>
        </w:tc>
        <w:tc>
          <w:tcPr>
            <w:tcW w:w="32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 September 30,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6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494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2023</w:t>
            </w:r>
          </w:p>
        </w:tc>
        <w:tc>
          <w:tcPr>
            <w:tcW w:w="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860" w:type="dxa"/>
            <w:vAlign w:val="bottom"/>
            <w:shd w:val="clear" w:color="auto" w:fill="CFF0FC"/>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10,481</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10,058</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31,711</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31,512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494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388</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lease cost</w:t>
            </w:r>
          </w:p>
        </w:tc>
        <w:tc>
          <w:tcPr>
            <w:tcW w:w="8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8,167</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7,567</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23,597</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494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8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(791 )</w:t>
            </w:r>
          </w:p>
        </w:tc>
        <w:tc>
          <w:tcPr>
            <w:tcW w:w="3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(69 )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3"/>
          </w:tcPr>
          <w:p>
            <w:pPr>
              <w:jc w:val="right"/>
              <w:ind w:right="90"/>
              <w:spacing w:after="0"/>
              <w:rPr>
                <w:sz w:val="20"/>
                <w:szCs w:val="20"/>
                <w:color w:val="auto"/>
              </w:rPr>
            </w:pPr>
            <w:r>
              <w:rPr>
                <w:rFonts w:ascii="Arial" w:cs="Arial" w:eastAsia="Arial" w:hAnsi="Arial"/>
                <w:sz w:val="18"/>
                <w:szCs w:val="18"/>
                <w:color w:val="auto"/>
              </w:rPr>
              <w:t>(2,432 )</w:t>
            </w:r>
          </w:p>
        </w:tc>
        <w:tc>
          <w:tcPr>
            <w:tcW w:w="1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(206 )</w:t>
            </w:r>
          </w:p>
        </w:tc>
        <w:tc>
          <w:tcPr>
            <w:tcW w:w="60" w:type="dxa"/>
            <w:vAlign w:val="bottom"/>
          </w:tcPr>
          <w:p>
            <w:pPr>
              <w:spacing w:after="0"/>
              <w:rPr>
                <w:sz w:val="20"/>
                <w:szCs w:val="20"/>
                <w:color w:val="auto"/>
              </w:rPr>
            </w:pPr>
          </w:p>
        </w:tc>
      </w:tr>
      <w:tr>
        <w:trPr>
          <w:trHeight w:val="276"/>
        </w:trPr>
        <w:tc>
          <w:tcPr>
            <w:tcW w:w="49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top w:val="single" w:sz="8" w:color="auto"/>
              <w:bottom w:val="single" w:sz="8" w:color="auto"/>
            </w:tcBorders>
            <w:shd w:val="clear" w:color="auto" w:fill="CFF0FC"/>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18,245</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18,018</w:t>
            </w:r>
          </w:p>
        </w:tc>
        <w:tc>
          <w:tcPr>
            <w:tcW w:w="24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54,712</w:t>
            </w: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50,929</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8160" w:type="dxa"/>
            <w:vAlign w:val="bottom"/>
            <w:gridSpan w:val="7"/>
          </w:tcPr>
          <w:p>
            <w:pPr>
              <w:ind w:left="580"/>
              <w:spacing w:after="0"/>
              <w:rPr>
                <w:sz w:val="20"/>
                <w:szCs w:val="20"/>
                <w:color w:val="auto"/>
              </w:rPr>
            </w:pPr>
            <w:r>
              <w:rPr>
                <w:rFonts w:ascii="Arial" w:cs="Arial" w:eastAsia="Arial" w:hAnsi="Arial"/>
                <w:sz w:val="18"/>
                <w:szCs w:val="18"/>
                <w:color w:val="auto"/>
                <w:w w:val="92"/>
              </w:rPr>
              <w:t>The following table summarizes other supplemental information about the Company’s operating leases: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7"/>
        </w:trPr>
        <w:tc>
          <w:tcPr>
            <w:tcW w:w="4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jc w:val="center"/>
              <w:ind w:right="31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24"/>
                <w:szCs w:val="2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4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2023</w:t>
            </w:r>
          </w:p>
        </w:tc>
        <w:tc>
          <w:tcPr>
            <w:tcW w:w="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4"/>
        </w:trPr>
        <w:tc>
          <w:tcPr>
            <w:tcW w:w="49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4940" w:type="dxa"/>
            <w:vAlign w:val="bottom"/>
          </w:tcPr>
          <w:p>
            <w:pPr>
              <w:ind w:left="20"/>
              <w:spacing w:after="0"/>
              <w:rPr>
                <w:sz w:val="20"/>
                <w:szCs w:val="20"/>
                <w:color w:val="auto"/>
              </w:rPr>
            </w:pPr>
            <w:r>
              <w:rPr>
                <w:rFonts w:ascii="Arial" w:cs="Arial" w:eastAsia="Arial" w:hAnsi="Arial"/>
                <w:sz w:val="18"/>
                <w:szCs w:val="18"/>
                <w:color w:val="auto"/>
              </w:rPr>
              <w:t>Weighted average remaining lease term</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3"/>
          </w:tcPr>
          <w:p>
            <w:pPr>
              <w:jc w:val="right"/>
              <w:ind w:right="170"/>
              <w:spacing w:after="0"/>
              <w:rPr>
                <w:sz w:val="20"/>
                <w:szCs w:val="20"/>
                <w:color w:val="auto"/>
              </w:rPr>
            </w:pPr>
            <w:r>
              <w:rPr>
                <w:rFonts w:ascii="Arial" w:cs="Arial" w:eastAsia="Arial" w:hAnsi="Arial"/>
                <w:sz w:val="18"/>
                <w:szCs w:val="18"/>
                <w:color w:val="auto"/>
              </w:rPr>
              <w:t>9 years</w:t>
            </w:r>
          </w:p>
        </w:tc>
        <w:tc>
          <w:tcPr>
            <w:tcW w:w="180" w:type="dxa"/>
            <w:vAlign w:val="bottom"/>
          </w:tcPr>
          <w:p>
            <w:pPr>
              <w:spacing w:after="0"/>
              <w:rPr>
                <w:sz w:val="21"/>
                <w:szCs w:val="21"/>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9 years</w:t>
            </w:r>
          </w:p>
        </w:tc>
      </w:tr>
      <w:tr>
        <w:trPr>
          <w:trHeight w:val="796"/>
        </w:trPr>
        <w:tc>
          <w:tcPr>
            <w:tcW w:w="49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9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6058535</wp:posOffset>
            </wp:positionH>
            <wp:positionV relativeFrom="paragraph">
              <wp:posOffset>-2867660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-2850515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-2867660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-2850515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-1480820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-1463675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-1480820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-1463675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-1480820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-1463675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-1480820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-1463675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-889635</wp:posOffset>
            </wp:positionV>
            <wp:extent cx="7132320"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516" w:right="279" w:bottom="1440" w:gutter="0" w:footer="0" w:header="0"/>
        </w:sectPr>
      </w:pPr>
    </w:p>
    <w:bookmarkStart w:id="11" w:name="page12"/>
    <w:bookmarkEnd w:id="11"/>
    <w:p>
      <w:pPr>
        <w:ind w:left="480" w:hanging="472"/>
        <w:spacing w:after="0"/>
        <w:tabs>
          <w:tab w:leader="none" w:pos="4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 Award Plans</w:t>
      </w:r>
    </w:p>
    <w:p>
      <w:pPr>
        <w:spacing w:after="0" w:line="188"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The compensation cost that has been charged against earnings for the Company’s stock award plans and the income tax benefit recognized in the statement of earnings for stock awards were as follows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3000" w:type="dxa"/>
            <w:vAlign w:val="bottom"/>
            <w:tcBorders>
              <w:bottom w:val="single" w:sz="8" w:color="auto"/>
            </w:tcBorders>
            <w:gridSpan w:val="5"/>
          </w:tcPr>
          <w:p>
            <w:pPr>
              <w:jc w:val="right"/>
              <w:ind w:right="316"/>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w w:val="98"/>
              </w:rPr>
              <w:t>Nine Months Ended September 30,</w:t>
            </w:r>
          </w:p>
        </w:tc>
        <w:tc>
          <w:tcPr>
            <w:tcW w:w="10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Compensation cost</w:t>
            </w:r>
          </w:p>
        </w:tc>
        <w:tc>
          <w:tcPr>
            <w:tcW w:w="88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3,398</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12,310</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11,448</w:t>
            </w:r>
          </w:p>
        </w:tc>
        <w:tc>
          <w:tcPr>
            <w:tcW w:w="100" w:type="dxa"/>
            <w:vAlign w:val="bottom"/>
            <w:shd w:val="clear" w:color="auto" w:fill="CFF0FC"/>
          </w:tcPr>
          <w:p>
            <w:pPr>
              <w:spacing w:after="0"/>
              <w:rPr>
                <w:sz w:val="20"/>
                <w:szCs w:val="20"/>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747</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581</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2,994</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7"/>
          <w:szCs w:val="17"/>
          <w:color w:val="auto"/>
        </w:rPr>
        <w:t>During the nine months ended September 30, 2023, the Company granted 184,375 restricted stock units (“RSUs”) to selected officers and other key employees under the employee stock award plan, the majority of which vest ratably over five years and 31,526 shares of restricted stock to nonemployees directors of the Company under the director stock plan, the majority of which vest six months after the date of grant.</w:t>
      </w:r>
    </w:p>
    <w:p>
      <w:pPr>
        <w:spacing w:after="0" w:line="133" w:lineRule="exact"/>
        <w:rPr>
          <w:sz w:val="20"/>
          <w:szCs w:val="20"/>
          <w:color w:val="auto"/>
        </w:rPr>
      </w:pPr>
    </w:p>
    <w:p>
      <w:pPr>
        <w:ind w:left="480" w:hanging="472"/>
        <w:spacing w:after="0"/>
        <w:tabs>
          <w:tab w:leader="none" w:pos="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Taxes on Income</w:t>
      </w:r>
    </w:p>
    <w:p>
      <w:pPr>
        <w:spacing w:after="0" w:line="188" w:lineRule="exact"/>
        <w:rPr>
          <w:sz w:val="20"/>
          <w:szCs w:val="20"/>
          <w:color w:val="auto"/>
        </w:rPr>
      </w:pPr>
    </w:p>
    <w:p>
      <w:pPr>
        <w:jc w:val="both"/>
        <w:ind w:firstLine="569"/>
        <w:spacing w:after="0" w:line="259" w:lineRule="auto"/>
        <w:rPr>
          <w:sz w:val="20"/>
          <w:szCs w:val="20"/>
          <w:color w:val="auto"/>
        </w:rPr>
      </w:pPr>
      <w:r>
        <w:rPr>
          <w:rFonts w:ascii="Arial" w:cs="Arial" w:eastAsia="Arial" w:hAnsi="Arial"/>
          <w:sz w:val="18"/>
          <w:szCs w:val="18"/>
          <w:color w:val="auto"/>
        </w:rPr>
        <w:t>At December 31, 2022, the Company had a federal income tax receivable of $70.4 million included in Accounts Receivable – Other on the balance sheet. During the first quarter of 2023, the Internal Revenue Service (“IRS”) communicated to the Company that it had completed its examination of the Company’s federal income tax returns for the years 2013 through 2020. In April 2023, the Company received its tax refund of $70.4 million plus accrued interest.</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Earnings (loss) before taxes on income and details of the provision (benefit) for taxes on income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32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w w:val="98"/>
              </w:rPr>
              <w:t>Nine Months Ended September 30,</w:t>
            </w:r>
          </w:p>
        </w:tc>
        <w:tc>
          <w:tcPr>
            <w:tcW w:w="10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(loss) before taxes on income:</w:t>
            </w:r>
          </w:p>
        </w:tc>
        <w:tc>
          <w:tcPr>
            <w:tcW w:w="8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492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840" w:type="dxa"/>
            <w:vAlign w:val="bottom"/>
          </w:tcPr>
          <w:p>
            <w:pPr>
              <w:jc w:val="right"/>
              <w:ind w:right="655"/>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81,989</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50,906</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212,014</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114,167</w:t>
            </w:r>
          </w:p>
        </w:tc>
        <w:tc>
          <w:tcPr>
            <w:tcW w:w="100" w:type="dxa"/>
            <w:vAlign w:val="bottom"/>
          </w:tcPr>
          <w:p>
            <w:pPr>
              <w:spacing w:after="0"/>
              <w:rPr>
                <w:sz w:val="20"/>
                <w:szCs w:val="20"/>
                <w:color w:val="auto"/>
              </w:rPr>
            </w:pPr>
          </w:p>
        </w:tc>
      </w:tr>
      <w:tr>
        <w:trPr>
          <w:trHeight w:val="243"/>
        </w:trPr>
        <w:tc>
          <w:tcPr>
            <w:tcW w:w="4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w:t>
            </w:r>
          </w:p>
        </w:tc>
        <w:tc>
          <w:tcPr>
            <w:tcW w:w="8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(263 )</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Borders>
              <w:top w:val="single" w:sz="8" w:color="CFF0FC"/>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81,726</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50,957</w:t>
            </w:r>
          </w:p>
        </w:tc>
        <w:tc>
          <w:tcPr>
            <w:tcW w:w="28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212,676</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114,392</w:t>
            </w:r>
          </w:p>
        </w:tc>
        <w:tc>
          <w:tcPr>
            <w:tcW w:w="100" w:type="dxa"/>
            <w:vAlign w:val="bottom"/>
            <w:tcBorders>
              <w:top w:val="single" w:sz="8" w:color="CFF0FC"/>
            </w:tcBorders>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(benefit) for taxes on income:</w:t>
            </w:r>
          </w:p>
        </w:tc>
        <w:tc>
          <w:tcPr>
            <w:tcW w:w="8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4920" w:type="dxa"/>
            <w:vAlign w:val="bottom"/>
          </w:tcPr>
          <w:p>
            <w:pPr>
              <w:ind w:left="200"/>
              <w:spacing w:after="0"/>
              <w:rPr>
                <w:sz w:val="20"/>
                <w:szCs w:val="20"/>
                <w:color w:val="auto"/>
              </w:rPr>
            </w:pPr>
            <w:r>
              <w:rPr>
                <w:rFonts w:ascii="Arial" w:cs="Arial" w:eastAsia="Arial" w:hAnsi="Arial"/>
                <w:sz w:val="18"/>
                <w:szCs w:val="18"/>
                <w:color w:val="auto"/>
              </w:rPr>
              <w:t>Federal:</w:t>
            </w: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Current</w:t>
            </w:r>
          </w:p>
        </w:tc>
        <w:tc>
          <w:tcPr>
            <w:tcW w:w="840" w:type="dxa"/>
            <w:vAlign w:val="bottom"/>
            <w:shd w:val="clear" w:color="auto" w:fill="CFF0FC"/>
          </w:tcPr>
          <w:p>
            <w:pPr>
              <w:jc w:val="right"/>
              <w:ind w:right="655"/>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Pr>
          <w:p>
            <w:pPr>
              <w:ind w:left="380"/>
              <w:spacing w:after="0"/>
              <w:rPr>
                <w:sz w:val="20"/>
                <w:szCs w:val="20"/>
                <w:color w:val="auto"/>
              </w:rPr>
            </w:pPr>
            <w:r>
              <w:rPr>
                <w:rFonts w:ascii="Arial" w:cs="Arial" w:eastAsia="Arial" w:hAnsi="Arial"/>
                <w:sz w:val="18"/>
                <w:szCs w:val="18"/>
                <w:color w:val="auto"/>
              </w:rPr>
              <w:t>Deferred</w:t>
            </w: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16,083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10,043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44,282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23,764</w:t>
            </w:r>
          </w:p>
        </w:tc>
        <w:tc>
          <w:tcPr>
            <w:tcW w:w="100" w:type="dxa"/>
            <w:vAlign w:val="bottom"/>
          </w:tcPr>
          <w:p>
            <w:pPr>
              <w:spacing w:after="0"/>
              <w:rPr>
                <w:sz w:val="20"/>
                <w:szCs w:val="20"/>
                <w:color w:val="auto"/>
              </w:rPr>
            </w:pPr>
          </w:p>
        </w:tc>
      </w:tr>
      <w:tr>
        <w:trPr>
          <w:trHeight w:val="249"/>
        </w:trPr>
        <w:tc>
          <w:tcPr>
            <w:tcW w:w="4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State and local:</w:t>
            </w: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Pr>
          <w:p>
            <w:pPr>
              <w:ind w:left="380"/>
              <w:spacing w:after="0"/>
              <w:rPr>
                <w:sz w:val="20"/>
                <w:szCs w:val="20"/>
                <w:color w:val="auto"/>
              </w:rPr>
            </w:pPr>
            <w:r>
              <w:rPr>
                <w:rFonts w:ascii="Arial" w:cs="Arial" w:eastAsia="Arial" w:hAnsi="Arial"/>
                <w:sz w:val="18"/>
                <w:szCs w:val="18"/>
                <w:color w:val="auto"/>
              </w:rPr>
              <w:t>Current</w:t>
            </w: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2,479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5,056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2,313</w:t>
            </w:r>
          </w:p>
        </w:tc>
        <w:tc>
          <w:tcPr>
            <w:tcW w:w="100" w:type="dxa"/>
            <w:vAlign w:val="bottom"/>
          </w:tcPr>
          <w:p>
            <w:pPr>
              <w:spacing w:after="0"/>
              <w:rPr>
                <w:sz w:val="20"/>
                <w:szCs w:val="20"/>
                <w:color w:val="auto"/>
              </w:rPr>
            </w:pPr>
          </w:p>
        </w:tc>
      </w:tr>
      <w:tr>
        <w:trPr>
          <w:trHeight w:val="249"/>
        </w:trPr>
        <w:tc>
          <w:tcPr>
            <w:tcW w:w="4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w:t>
            </w: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2,222</w:t>
            </w: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Pr>
          <w:p>
            <w:pPr>
              <w:ind w:left="200"/>
              <w:spacing w:after="0"/>
              <w:rPr>
                <w:sz w:val="20"/>
                <w:szCs w:val="20"/>
                <w:color w:val="auto"/>
              </w:rPr>
            </w:pPr>
            <w:r>
              <w:rPr>
                <w:rFonts w:ascii="Arial" w:cs="Arial" w:eastAsia="Arial" w:hAnsi="Arial"/>
                <w:sz w:val="18"/>
                <w:szCs w:val="18"/>
                <w:color w:val="auto"/>
              </w:rPr>
              <w:t>Foreign - current</w:t>
            </w: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r>
      <w:tr>
        <w:trPr>
          <w:trHeight w:val="276"/>
        </w:trPr>
        <w:tc>
          <w:tcPr>
            <w:tcW w:w="49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5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18,722</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11,713</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51,733</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28,956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67"/>
        </w:trPr>
        <w:tc>
          <w:tcPr>
            <w:tcW w:w="49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9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-2063115</wp:posOffset>
            </wp:positionV>
            <wp:extent cx="76835" cy="1885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-2063115</wp:posOffset>
            </wp:positionV>
            <wp:extent cx="76835"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-2063115</wp:posOffset>
            </wp:positionV>
            <wp:extent cx="68580"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-2063115</wp:posOffset>
            </wp:positionV>
            <wp:extent cx="68580"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-478790</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-461645</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-478790</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-461645</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-478790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-461645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-461645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tabs>
          <w:tab w:leader="none" w:pos="38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Earnings Per Share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components of basic and diluted earnings per share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32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69"/>
        </w:trPr>
        <w:tc>
          <w:tcPr>
            <w:tcW w:w="492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 attributable to Kirby</w:t>
            </w:r>
          </w:p>
        </w:tc>
        <w:tc>
          <w:tcPr>
            <w:tcW w:w="84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62,964</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39,091</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161,029</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84,982</w:t>
            </w:r>
          </w:p>
        </w:tc>
        <w:tc>
          <w:tcPr>
            <w:tcW w:w="100" w:type="dxa"/>
            <w:vAlign w:val="bottom"/>
            <w:shd w:val="clear" w:color="auto" w:fill="CFF0FC"/>
          </w:tcPr>
          <w:p>
            <w:pPr>
              <w:spacing w:after="0"/>
              <w:rPr>
                <w:sz w:val="20"/>
                <w:szCs w:val="20"/>
                <w:color w:val="auto"/>
              </w:rPr>
            </w:pPr>
          </w:p>
        </w:tc>
      </w:tr>
      <w:tr>
        <w:trPr>
          <w:trHeight w:val="236"/>
        </w:trPr>
        <w:tc>
          <w:tcPr>
            <w:tcW w:w="4920" w:type="dxa"/>
            <w:vAlign w:val="bottom"/>
          </w:tcPr>
          <w:p>
            <w:pPr>
              <w:ind w:left="20"/>
              <w:spacing w:after="0"/>
              <w:rPr>
                <w:sz w:val="20"/>
                <w:szCs w:val="20"/>
                <w:color w:val="auto"/>
              </w:rPr>
            </w:pPr>
            <w:r>
              <w:rPr>
                <w:rFonts w:ascii="Arial" w:cs="Arial" w:eastAsia="Arial" w:hAnsi="Arial"/>
                <w:sz w:val="18"/>
                <w:szCs w:val="18"/>
                <w:color w:val="auto"/>
              </w:rPr>
              <w:t>Undistributed earnings allocated to restricted shares</w:t>
            </w:r>
          </w:p>
        </w:tc>
        <w:tc>
          <w:tcPr>
            <w:tcW w:w="8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(31 )</w:t>
            </w: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(18 )</w:t>
            </w:r>
          </w:p>
        </w:tc>
        <w:tc>
          <w:tcPr>
            <w:tcW w:w="26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(50 )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(27 )</w:t>
            </w:r>
          </w:p>
        </w:tc>
      </w:tr>
      <w:tr>
        <w:trPr>
          <w:trHeight w:val="242"/>
        </w:trPr>
        <w:tc>
          <w:tcPr>
            <w:tcW w:w="4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Earnings available to Kirby common stockholders – basic</w:t>
            </w:r>
          </w:p>
        </w:tc>
        <w:tc>
          <w:tcPr>
            <w:tcW w:w="84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62,933</w:t>
            </w:r>
          </w:p>
        </w:tc>
        <w:tc>
          <w:tcPr>
            <w:tcW w:w="28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39,073</w:t>
            </w:r>
          </w:p>
        </w:tc>
        <w:tc>
          <w:tcPr>
            <w:tcW w:w="28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160,979</w:t>
            </w:r>
          </w:p>
        </w:tc>
        <w:tc>
          <w:tcPr>
            <w:tcW w:w="26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84,955</w:t>
            </w: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Pr>
          <w:p>
            <w:pPr>
              <w:ind w:left="20"/>
              <w:spacing w:after="0"/>
              <w:rPr>
                <w:sz w:val="20"/>
                <w:szCs w:val="20"/>
                <w:color w:val="auto"/>
              </w:rPr>
            </w:pPr>
            <w:r>
              <w:rPr>
                <w:rFonts w:ascii="Arial" w:cs="Arial" w:eastAsia="Arial" w:hAnsi="Arial"/>
                <w:sz w:val="18"/>
                <w:szCs w:val="18"/>
                <w:color w:val="auto"/>
              </w:rPr>
              <w:t>Undistributed earnings allocated to restricted shares</w:t>
            </w: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r>
      <w:tr>
        <w:trPr>
          <w:trHeight w:val="243"/>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Undistributed earnings reallocated to restricted shares</w:t>
            </w:r>
          </w:p>
        </w:tc>
        <w:tc>
          <w:tcPr>
            <w:tcW w:w="8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(31 )</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(18 )</w:t>
            </w:r>
          </w:p>
        </w:tc>
        <w:tc>
          <w:tcPr>
            <w:tcW w:w="2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(27 )</w:t>
            </w:r>
          </w:p>
        </w:tc>
      </w:tr>
      <w:tr>
        <w:trPr>
          <w:trHeight w:val="236"/>
        </w:trPr>
        <w:tc>
          <w:tcPr>
            <w:tcW w:w="492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Earnings available to Kirby common stockholders – diluted</w:t>
            </w: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62,933</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39,073</w:t>
            </w:r>
          </w:p>
        </w:tc>
        <w:tc>
          <w:tcPr>
            <w:tcW w:w="28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160,979</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84,955</w:t>
            </w:r>
          </w:p>
        </w:tc>
        <w:tc>
          <w:tcPr>
            <w:tcW w:w="100" w:type="dxa"/>
            <w:vAlign w:val="bottom"/>
            <w:tcBorders>
              <w:top w:val="single" w:sz="8" w:color="CFF0FC"/>
            </w:tcBorders>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9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4920" w:type="dxa"/>
            <w:vAlign w:val="bottom"/>
          </w:tcPr>
          <w:p>
            <w:pPr>
              <w:ind w:left="20"/>
              <w:spacing w:after="0"/>
              <w:rPr>
                <w:sz w:val="20"/>
                <w:szCs w:val="20"/>
                <w:color w:val="auto"/>
              </w:rPr>
            </w:pPr>
            <w:r>
              <w:rPr>
                <w:rFonts w:ascii="Arial" w:cs="Arial" w:eastAsia="Arial" w:hAnsi="Arial"/>
                <w:sz w:val="18"/>
                <w:szCs w:val="18"/>
                <w:color w:val="auto"/>
              </w:rPr>
              <w:t>Shares outstanding:</w:t>
            </w: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common stock issued and outstanding</w:t>
            </w: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59,413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59,923</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59,739</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60,107</w:t>
            </w: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Pr>
          <w:p>
            <w:pPr>
              <w:ind w:left="20"/>
              <w:spacing w:after="0"/>
              <w:rPr>
                <w:sz w:val="20"/>
                <w:szCs w:val="20"/>
                <w:color w:val="auto"/>
              </w:rPr>
            </w:pPr>
            <w:r>
              <w:rPr>
                <w:rFonts w:ascii="Arial" w:cs="Arial" w:eastAsia="Arial" w:hAnsi="Arial"/>
                <w:sz w:val="18"/>
                <w:szCs w:val="18"/>
                <w:color w:val="auto"/>
              </w:rPr>
              <w:t>Weighted average unvested restricted stock</w:t>
            </w:r>
          </w:p>
        </w:tc>
        <w:tc>
          <w:tcPr>
            <w:tcW w:w="8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(30 )</w:t>
            </w: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(27 )</w:t>
            </w:r>
          </w:p>
        </w:tc>
        <w:tc>
          <w:tcPr>
            <w:tcW w:w="26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(18 )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(19 )</w:t>
            </w:r>
          </w:p>
        </w:tc>
      </w:tr>
      <w:tr>
        <w:trPr>
          <w:trHeight w:val="242"/>
        </w:trPr>
        <w:tc>
          <w:tcPr>
            <w:tcW w:w="4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Weighted average common stock outstanding – basic</w:t>
            </w:r>
          </w:p>
        </w:tc>
        <w:tc>
          <w:tcPr>
            <w:tcW w:w="84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59,383</w:t>
            </w:r>
          </w:p>
        </w:tc>
        <w:tc>
          <w:tcPr>
            <w:tcW w:w="28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59,896</w:t>
            </w:r>
          </w:p>
        </w:tc>
        <w:tc>
          <w:tcPr>
            <w:tcW w:w="28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59,721</w:t>
            </w:r>
          </w:p>
        </w:tc>
        <w:tc>
          <w:tcPr>
            <w:tcW w:w="26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60,088</w:t>
            </w: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Pr>
          <w:p>
            <w:pPr>
              <w:ind w:left="20"/>
              <w:spacing w:after="0"/>
              <w:rPr>
                <w:sz w:val="20"/>
                <w:szCs w:val="20"/>
                <w:color w:val="auto"/>
              </w:rPr>
            </w:pPr>
            <w:r>
              <w:rPr>
                <w:rFonts w:ascii="Arial" w:cs="Arial" w:eastAsia="Arial" w:hAnsi="Arial"/>
                <w:sz w:val="18"/>
                <w:szCs w:val="18"/>
                <w:color w:val="auto"/>
              </w:rPr>
              <w:t>Dilutive effect of stock options and restricted stock units</w:t>
            </w: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0"/>
                <w:szCs w:val="20"/>
                <w:color w:val="auto"/>
              </w:rPr>
            </w:pPr>
          </w:p>
        </w:tc>
      </w:tr>
      <w:tr>
        <w:trPr>
          <w:trHeight w:val="276"/>
        </w:trPr>
        <w:tc>
          <w:tcPr>
            <w:tcW w:w="49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Weighted average common stock outstanding – diluted</w:t>
            </w:r>
          </w:p>
        </w:tc>
        <w:tc>
          <w:tcPr>
            <w:tcW w:w="84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59,746</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60,182</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60,033</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60,369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9"/>
        </w:trPr>
        <w:tc>
          <w:tcPr>
            <w:tcW w:w="4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 per share attributable to Kirby common</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w:t>
            </w: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Pr>
          <w:p>
            <w:pPr>
              <w:ind w:left="200"/>
              <w:spacing w:after="0"/>
              <w:rPr>
                <w:sz w:val="20"/>
                <w:szCs w:val="20"/>
                <w:color w:val="auto"/>
              </w:rPr>
            </w:pPr>
            <w:r>
              <w:rPr>
                <w:rFonts w:ascii="Arial" w:cs="Arial" w:eastAsia="Arial" w:hAnsi="Arial"/>
                <w:sz w:val="18"/>
                <w:szCs w:val="18"/>
                <w:color w:val="auto"/>
              </w:rPr>
              <w:t>Basic</w:t>
            </w:r>
          </w:p>
        </w:tc>
        <w:tc>
          <w:tcPr>
            <w:tcW w:w="84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2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6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49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840" w:type="dxa"/>
            <w:vAlign w:val="bottom"/>
            <w:tcBorders>
              <w:bottom w:val="single" w:sz="8" w:color="auto"/>
            </w:tcBorders>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2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-2114550</wp:posOffset>
            </wp:positionV>
            <wp:extent cx="76835"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-2114550</wp:posOffset>
            </wp:positionV>
            <wp:extent cx="76835"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-2114550</wp:posOffset>
            </wp:positionV>
            <wp:extent cx="68580"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-2114550</wp:posOffset>
            </wp:positionV>
            <wp:extent cx="68580" cy="1885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-829945</wp:posOffset>
            </wp:positionV>
            <wp:extent cx="3150870" cy="1797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150870" cy="17970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-24765</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-7620</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-24765</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-7620</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7"/>
          <w:szCs w:val="17"/>
          <w:color w:val="auto"/>
        </w:rPr>
        <w:t>Certain outstanding options to purchase approximately 33,000 and 396,000 shares of common stock were excluded in the computation of diluted earnings per share as of September 30, 2023 and 2022, respectively, as such stock options would have been antidilutive. Certain outstanding RSUs to convert to 11,000 shares of common stock were also excluded in the computation of diluted earnings per share as of September 30, 2022 as such RSUs would have been antidilutive. There were no antidilutive RSUs as of September 30, 2023.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Arial" w:cs="Arial" w:eastAsia="Arial" w:hAnsi="Arial"/>
                <w:sz w:val="18"/>
                <w:szCs w:val="18"/>
                <w:b w:val="1"/>
                <w:bCs w:val="1"/>
                <w:color w:val="auto"/>
              </w:rPr>
              <w:t>(10)</w:t>
            </w:r>
          </w:p>
        </w:tc>
        <w:tc>
          <w:tcPr>
            <w:tcW w:w="7740" w:type="dxa"/>
            <w:vAlign w:val="bottom"/>
          </w:tcPr>
          <w:p>
            <w:pPr>
              <w:ind w:left="60"/>
              <w:spacing w:after="0"/>
              <w:rPr>
                <w:sz w:val="20"/>
                <w:szCs w:val="20"/>
                <w:color w:val="auto"/>
              </w:rPr>
            </w:pPr>
            <w:r>
              <w:rPr>
                <w:rFonts w:ascii="Arial" w:cs="Arial" w:eastAsia="Arial" w:hAnsi="Arial"/>
                <w:sz w:val="18"/>
                <w:szCs w:val="18"/>
                <w:b w:val="1"/>
                <w:bCs w:val="1"/>
                <w:color w:val="auto"/>
              </w:rPr>
              <w:t>Inventories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420" w:type="dxa"/>
            <w:vAlign w:val="bottom"/>
          </w:tcPr>
          <w:p>
            <w:pPr>
              <w:spacing w:after="0"/>
              <w:rPr>
                <w:sz w:val="24"/>
                <w:szCs w:val="24"/>
                <w:color w:val="auto"/>
              </w:rPr>
            </w:pPr>
          </w:p>
        </w:tc>
        <w:tc>
          <w:tcPr>
            <w:tcW w:w="7740" w:type="dxa"/>
            <w:vAlign w:val="bottom"/>
          </w:tcPr>
          <w:p>
            <w:pPr>
              <w:ind w:left="140"/>
              <w:spacing w:after="0"/>
              <w:rPr>
                <w:sz w:val="20"/>
                <w:szCs w:val="20"/>
                <w:color w:val="auto"/>
              </w:rPr>
            </w:pPr>
            <w:r>
              <w:rPr>
                <w:rFonts w:ascii="Arial" w:cs="Arial" w:eastAsia="Arial" w:hAnsi="Arial"/>
                <w:sz w:val="18"/>
                <w:szCs w:val="18"/>
                <w:color w:val="auto"/>
              </w:rPr>
              <w:t>The following table presents the details of inventories – net (in thousands):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5"/>
        </w:trPr>
        <w:tc>
          <w:tcPr>
            <w:tcW w:w="4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57"/>
              <w:spacing w:after="0"/>
              <w:rPr>
                <w:sz w:val="20"/>
                <w:szCs w:val="20"/>
                <w:color w:val="auto"/>
              </w:rPr>
            </w:pPr>
            <w:r>
              <w:rPr>
                <w:rFonts w:ascii="Arial" w:cs="Arial" w:eastAsia="Arial" w:hAnsi="Arial"/>
                <w:sz w:val="14"/>
                <w:szCs w:val="14"/>
                <w:b w:val="1"/>
                <w:bCs w:val="1"/>
                <w:color w:val="auto"/>
                <w:w w:val="96"/>
              </w:rPr>
              <w:t>September 30,</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77"/>
              <w:spacing w:after="0"/>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24"/>
                <w:szCs w:val="24"/>
                <w:color w:val="auto"/>
              </w:rPr>
            </w:pPr>
          </w:p>
        </w:tc>
      </w:tr>
      <w:tr>
        <w:trPr>
          <w:trHeight w:val="185"/>
        </w:trPr>
        <w:tc>
          <w:tcPr>
            <w:tcW w:w="42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8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386,353</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358,702</w:t>
            </w:r>
          </w:p>
        </w:tc>
        <w:tc>
          <w:tcPr>
            <w:tcW w:w="100" w:type="dxa"/>
            <w:vAlign w:val="bottom"/>
            <w:shd w:val="clear" w:color="auto" w:fill="CFF0FC"/>
          </w:tcPr>
          <w:p>
            <w:pPr>
              <w:spacing w:after="0"/>
              <w:rPr>
                <w:sz w:val="20"/>
                <w:szCs w:val="20"/>
                <w:color w:val="auto"/>
              </w:rPr>
            </w:pPr>
          </w:p>
        </w:tc>
      </w:tr>
      <w:tr>
        <w:trPr>
          <w:trHeight w:val="236"/>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119,153</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103,146</w:t>
            </w:r>
          </w:p>
        </w:tc>
        <w:tc>
          <w:tcPr>
            <w:tcW w:w="100" w:type="dxa"/>
            <w:vAlign w:val="bottom"/>
          </w:tcPr>
          <w:p>
            <w:pPr>
              <w:spacing w:after="0"/>
              <w:rPr>
                <w:sz w:val="20"/>
                <w:szCs w:val="20"/>
                <w:color w:val="auto"/>
              </w:rPr>
            </w:pPr>
          </w:p>
        </w:tc>
      </w:tr>
      <w:tr>
        <w:trPr>
          <w:trHeight w:val="276"/>
        </w:trPr>
        <w:tc>
          <w:tcPr>
            <w:tcW w:w="420" w:type="dxa"/>
            <w:vAlign w:val="bottom"/>
            <w:tcBorders>
              <w:bottom w:val="single" w:sz="8" w:color="CFF0FC"/>
            </w:tcBorders>
            <w:shd w:val="clear" w:color="auto" w:fill="CFF0FC"/>
          </w:tcPr>
          <w:p>
            <w:pPr>
              <w:spacing w:after="0"/>
              <w:rPr>
                <w:sz w:val="24"/>
                <w:szCs w:val="24"/>
                <w:color w:val="auto"/>
              </w:rPr>
            </w:pPr>
          </w:p>
        </w:tc>
        <w:tc>
          <w:tcPr>
            <w:tcW w:w="77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505,506</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461,848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8"/>
        </w:trPr>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99"/>
              </w:rPr>
              <w:t>(11)</w:t>
            </w:r>
          </w:p>
        </w:tc>
        <w:tc>
          <w:tcPr>
            <w:tcW w:w="7740" w:type="dxa"/>
            <w:vAlign w:val="bottom"/>
          </w:tcPr>
          <w:p>
            <w:pPr>
              <w:ind w:left="100"/>
              <w:spacing w:after="0"/>
              <w:rPr>
                <w:sz w:val="20"/>
                <w:szCs w:val="20"/>
                <w:color w:val="auto"/>
              </w:rPr>
            </w:pPr>
            <w:r>
              <w:rPr>
                <w:rFonts w:ascii="Arial" w:cs="Arial" w:eastAsia="Arial" w:hAnsi="Arial"/>
                <w:sz w:val="18"/>
                <w:szCs w:val="18"/>
                <w:b w:val="1"/>
                <w:bCs w:val="1"/>
                <w:color w:val="auto"/>
              </w:rPr>
              <w:t>Retirement Plans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-299085</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-281940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The Company sponsors a defined benefit plan for certain of its inland vessel personnel and shore based tankermen. The plan benefits are based on an employee’s years of service and compensation. The plan assets consist primarily of equity and fixed income securities.</w:t>
      </w:r>
    </w:p>
    <w:p>
      <w:pPr>
        <w:spacing w:after="0" w:line="142"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w:t>
      </w:r>
    </w:p>
    <w:p>
      <w:pPr>
        <w:spacing w:after="0" w:line="145" w:lineRule="exact"/>
        <w:rPr>
          <w:sz w:val="20"/>
          <w:szCs w:val="20"/>
          <w:color w:val="auto"/>
        </w:rPr>
      </w:pPr>
    </w:p>
    <w:p>
      <w:pPr>
        <w:jc w:val="both"/>
        <w:ind w:firstLine="569"/>
        <w:spacing w:after="0" w:line="256" w:lineRule="auto"/>
        <w:rPr>
          <w:sz w:val="20"/>
          <w:szCs w:val="20"/>
          <w:color w:val="auto"/>
        </w:rPr>
      </w:pPr>
      <w:r>
        <w:rPr>
          <w:rFonts w:ascii="Arial" w:cs="Arial" w:eastAsia="Arial" w:hAnsi="Arial"/>
          <w:sz w:val="18"/>
          <w:szCs w:val="18"/>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Based on current pension plan assets and market conditions, the Company does not expect to make a contribution to the Kirby pension plan during 2023.</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both"/>
        <w:ind w:firstLine="562"/>
        <w:spacing w:after="0" w:line="256" w:lineRule="auto"/>
        <w:rPr>
          <w:sz w:val="20"/>
          <w:szCs w:val="20"/>
          <w:color w:val="auto"/>
        </w:rPr>
      </w:pPr>
      <w:r>
        <w:rPr>
          <w:rFonts w:ascii="Arial" w:cs="Arial" w:eastAsia="Arial" w:hAnsi="Arial"/>
          <w:sz w:val="18"/>
          <w:szCs w:val="18"/>
          <w:color w:val="auto"/>
        </w:rPr>
        <w:t>On February 14, 2018, with the acquisition of Higman Marine, Inc. and its affiliated companies (“Higman”), the Company assumed Higman’s pension plan for its inland vessel personnel and office staff. On March 27, 2018, the Company amended the Higman pension plan to close it to all new entrants and cease all benefit accruals for periods after May 15, 2018 for all participants. The Company made contributions of $8.0 million to the Higman pension plan during the nine months ended September 30, 2023. The Company expects to make additional contributions of $0.2 million during the remainder of 2023.</w:t>
      </w:r>
    </w:p>
    <w:p>
      <w:pPr>
        <w:spacing w:after="0" w:line="164"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7"/>
          <w:szCs w:val="17"/>
          <w:color w:val="auto"/>
        </w:rPr>
        <w:t>The Company sponsors an unfunded defined benefit health care plan that provides limited postretirement medical benefits to employees who meet minimum age and service requirements, and to eligible dependents.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net periodic benefit cost for the Company’s defined benefit plans were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4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left="617"/>
              <w:spacing w:after="0"/>
              <w:rPr>
                <w:sz w:val="20"/>
                <w:szCs w:val="20"/>
                <w:color w:val="auto"/>
              </w:rPr>
            </w:pPr>
            <w:r>
              <w:rPr>
                <w:rFonts w:ascii="Arial" w:cs="Arial" w:eastAsia="Arial" w:hAnsi="Arial"/>
                <w:sz w:val="14"/>
                <w:szCs w:val="14"/>
                <w:b w:val="1"/>
                <w:bCs w:val="1"/>
                <w:color w:val="auto"/>
                <w:w w:val="87"/>
              </w:rPr>
              <w:t>Pension Plans</w:t>
            </w:r>
          </w:p>
        </w:tc>
        <w:tc>
          <w:tcPr>
            <w:tcW w:w="9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left="597"/>
              <w:spacing w:after="0"/>
              <w:rPr>
                <w:sz w:val="20"/>
                <w:szCs w:val="20"/>
                <w:color w:val="auto"/>
              </w:rPr>
            </w:pPr>
            <w:r>
              <w:rPr>
                <w:rFonts w:ascii="Arial" w:cs="Arial" w:eastAsia="Arial" w:hAnsi="Arial"/>
                <w:sz w:val="14"/>
                <w:szCs w:val="14"/>
                <w:b w:val="1"/>
                <w:bCs w:val="1"/>
                <w:color w:val="auto"/>
                <w:w w:val="99"/>
              </w:rPr>
              <w:t>SERP</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center"/>
              <w:ind w:right="175"/>
              <w:spacing w:after="0"/>
              <w:rPr>
                <w:sz w:val="20"/>
                <w:szCs w:val="20"/>
                <w:color w:val="auto"/>
              </w:rPr>
            </w:pPr>
            <w:r>
              <w:rPr>
                <w:rFonts w:ascii="Arial" w:cs="Arial" w:eastAsia="Arial" w:hAnsi="Arial"/>
                <w:sz w:val="14"/>
                <w:szCs w:val="14"/>
                <w:b w:val="1"/>
                <w:bCs w:val="1"/>
                <w:color w:val="auto"/>
                <w:w w:val="93"/>
              </w:rPr>
              <w:t>Three Months Ended September 30,</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center"/>
              <w:ind w:right="253"/>
              <w:spacing w:after="0"/>
              <w:rPr>
                <w:sz w:val="20"/>
                <w:szCs w:val="20"/>
                <w:color w:val="auto"/>
              </w:rPr>
            </w:pPr>
            <w:r>
              <w:rPr>
                <w:rFonts w:ascii="Arial" w:cs="Arial" w:eastAsia="Arial" w:hAnsi="Arial"/>
                <w:sz w:val="14"/>
                <w:szCs w:val="14"/>
                <w:b w:val="1"/>
                <w:bCs w:val="1"/>
                <w:color w:val="auto"/>
                <w:w w:val="93"/>
              </w:rPr>
              <w:t>Three Months Ended September 30,</w:t>
            </w:r>
          </w:p>
        </w:tc>
        <w:tc>
          <w:tcPr>
            <w:tcW w:w="10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492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924</w:t>
            </w:r>
          </w:p>
        </w:tc>
        <w:tc>
          <w:tcPr>
            <w:tcW w:w="2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1,634</w:t>
            </w:r>
          </w:p>
        </w:tc>
        <w:tc>
          <w:tcPr>
            <w:tcW w:w="2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4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4,589</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3,694</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Pr>
          <w:p>
            <w:pPr>
              <w:ind w:left="20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(5,727 )</w:t>
            </w:r>
          </w:p>
        </w:tc>
        <w:tc>
          <w:tcPr>
            <w:tcW w:w="4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(7,099 )</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3"/>
        </w:trPr>
        <w:tc>
          <w:tcPr>
            <w:tcW w:w="49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Amortization of actuarial loss</w:t>
            </w: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920" w:type="dxa"/>
            <w:vAlign w:val="bottom"/>
          </w:tcPr>
          <w:p>
            <w:pPr>
              <w:ind w:left="380"/>
              <w:spacing w:after="0"/>
              <w:rPr>
                <w:sz w:val="20"/>
                <w:szCs w:val="20"/>
                <w:color w:val="auto"/>
              </w:rPr>
            </w:pPr>
            <w:r>
              <w:rPr>
                <w:rFonts w:ascii="Arial" w:cs="Arial" w:eastAsia="Arial" w:hAnsi="Arial"/>
                <w:sz w:val="18"/>
                <w:szCs w:val="18"/>
                <w:color w:val="auto"/>
              </w:rPr>
              <w:t>Net periodic benefit cost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(214 )</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(1,765 )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8"/>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left="617"/>
              <w:spacing w:after="0"/>
              <w:rPr>
                <w:sz w:val="20"/>
                <w:szCs w:val="20"/>
                <w:color w:val="auto"/>
              </w:rPr>
            </w:pPr>
            <w:r>
              <w:rPr>
                <w:rFonts w:ascii="Arial" w:cs="Arial" w:eastAsia="Arial" w:hAnsi="Arial"/>
                <w:sz w:val="14"/>
                <w:szCs w:val="14"/>
                <w:b w:val="1"/>
                <w:bCs w:val="1"/>
                <w:color w:val="auto"/>
                <w:w w:val="87"/>
              </w:rPr>
              <w:t>Pension Plans</w:t>
            </w:r>
          </w:p>
        </w:tc>
        <w:tc>
          <w:tcPr>
            <w:tcW w:w="9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left="597"/>
              <w:spacing w:after="0"/>
              <w:rPr>
                <w:sz w:val="20"/>
                <w:szCs w:val="20"/>
                <w:color w:val="auto"/>
              </w:rPr>
            </w:pPr>
            <w:r>
              <w:rPr>
                <w:rFonts w:ascii="Arial" w:cs="Arial" w:eastAsia="Arial" w:hAnsi="Arial"/>
                <w:sz w:val="14"/>
                <w:szCs w:val="14"/>
                <w:b w:val="1"/>
                <w:bCs w:val="1"/>
                <w:color w:val="auto"/>
                <w:w w:val="99"/>
              </w:rPr>
              <w:t>SERP</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center"/>
              <w:ind w:right="155"/>
              <w:spacing w:after="0"/>
              <w:rPr>
                <w:sz w:val="20"/>
                <w:szCs w:val="20"/>
                <w:color w:val="auto"/>
              </w:rPr>
            </w:pPr>
            <w:r>
              <w:rPr>
                <w:rFonts w:ascii="Arial" w:cs="Arial" w:eastAsia="Arial" w:hAnsi="Arial"/>
                <w:sz w:val="14"/>
                <w:szCs w:val="14"/>
                <w:b w:val="1"/>
                <w:bCs w:val="1"/>
                <w:color w:val="auto"/>
                <w:w w:val="93"/>
              </w:rPr>
              <w:t>Nine Months Ended September 30,</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center"/>
              <w:ind w:right="253"/>
              <w:spacing w:after="0"/>
              <w:rPr>
                <w:sz w:val="20"/>
                <w:szCs w:val="20"/>
                <w:color w:val="auto"/>
              </w:rPr>
            </w:pPr>
            <w:r>
              <w:rPr>
                <w:rFonts w:ascii="Arial" w:cs="Arial" w:eastAsia="Arial" w:hAnsi="Arial"/>
                <w:sz w:val="14"/>
                <w:szCs w:val="14"/>
                <w:b w:val="1"/>
                <w:bCs w:val="1"/>
                <w:color w:val="auto"/>
                <w:w w:val="92"/>
              </w:rPr>
              <w:t>Nine Months Ended September 30,</w:t>
            </w:r>
          </w:p>
        </w:tc>
        <w:tc>
          <w:tcPr>
            <w:tcW w:w="10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492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2,772</w:t>
            </w:r>
          </w:p>
        </w:tc>
        <w:tc>
          <w:tcPr>
            <w:tcW w:w="2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4,903</w:t>
            </w:r>
          </w:p>
        </w:tc>
        <w:tc>
          <w:tcPr>
            <w:tcW w:w="2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4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13,767</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11,056</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Pr>
          <w:p>
            <w:pPr>
              <w:ind w:left="20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(17,182 )</w:t>
            </w:r>
          </w:p>
        </w:tc>
        <w:tc>
          <w:tcPr>
            <w:tcW w:w="4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(21,395 )</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3"/>
        </w:trPr>
        <w:tc>
          <w:tcPr>
            <w:tcW w:w="49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Amortization of actuarial loss</w:t>
            </w: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920" w:type="dxa"/>
            <w:vAlign w:val="bottom"/>
          </w:tcPr>
          <w:p>
            <w:pPr>
              <w:ind w:left="380"/>
              <w:spacing w:after="0"/>
              <w:rPr>
                <w:sz w:val="20"/>
                <w:szCs w:val="20"/>
                <w:color w:val="auto"/>
              </w:rPr>
            </w:pPr>
            <w:r>
              <w:rPr>
                <w:rFonts w:ascii="Arial" w:cs="Arial" w:eastAsia="Arial" w:hAnsi="Arial"/>
                <w:sz w:val="18"/>
                <w:szCs w:val="18"/>
                <w:color w:val="auto"/>
              </w:rPr>
              <w:t>Net periodic benefit cost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(643 )</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(5,188 )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-1763395</wp:posOffset>
            </wp:positionV>
            <wp:extent cx="76835" cy="188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-1763395</wp:posOffset>
            </wp:positionV>
            <wp:extent cx="76835"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-1763395</wp:posOffset>
            </wp:positionV>
            <wp:extent cx="68580"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-1763395</wp:posOffset>
            </wp:positionV>
            <wp:extent cx="68580" cy="1885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-187960</wp:posOffset>
            </wp:positionV>
            <wp:extent cx="76835" cy="1885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-187960</wp:posOffset>
            </wp:positionV>
            <wp:extent cx="76835" cy="1885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-187960</wp:posOffset>
            </wp:positionV>
            <wp:extent cx="68580" cy="1885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net periodic benefit cost for the Company’s postretirement benefit plan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9"/>
              </w:rPr>
              <w:t>Other Postretirement Benefits</w:t>
            </w:r>
          </w:p>
        </w:tc>
        <w:tc>
          <w:tcPr>
            <w:tcW w:w="4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rPr>
              <w:t>Postretirement Welfare Plan</w:t>
            </w: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268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tcBorders>
              <w:bottom w:val="single" w:sz="8" w:color="auto"/>
            </w:tcBorders>
            <w:gridSpan w:val="5"/>
          </w:tcPr>
          <w:p>
            <w:pPr>
              <w:jc w:val="right"/>
              <w:ind w:right="315"/>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9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4920" w:type="dxa"/>
            <w:vAlign w:val="bottom"/>
          </w:tcPr>
          <w:p>
            <w:pPr>
              <w:ind w:left="200"/>
              <w:spacing w:after="0"/>
              <w:rPr>
                <w:sz w:val="20"/>
                <w:szCs w:val="20"/>
                <w:color w:val="auto"/>
              </w:rPr>
            </w:pPr>
            <w:r>
              <w:rPr>
                <w:rFonts w:ascii="Arial" w:cs="Arial" w:eastAsia="Arial" w:hAnsi="Arial"/>
                <w:sz w:val="18"/>
                <w:szCs w:val="18"/>
                <w:color w:val="auto"/>
              </w:rPr>
              <w:t>Interest cost</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1040" w:type="dxa"/>
            <w:vAlign w:val="bottom"/>
          </w:tcPr>
          <w:p>
            <w:pPr>
              <w:jc w:val="right"/>
              <w:ind w:right="861"/>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r>
      <w:tr>
        <w:trPr>
          <w:trHeight w:val="243"/>
        </w:trPr>
        <w:tc>
          <w:tcPr>
            <w:tcW w:w="4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actuarial gain</w:t>
            </w:r>
          </w:p>
        </w:tc>
        <w:tc>
          <w:tcPr>
            <w:tcW w:w="96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(86 )</w:t>
            </w:r>
          </w:p>
        </w:tc>
        <w:tc>
          <w:tcPr>
            <w:tcW w:w="104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(98 )</w:t>
            </w:r>
          </w:p>
        </w:tc>
        <w:tc>
          <w:tcPr>
            <w:tcW w:w="9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(258 )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(295 )</w:t>
            </w:r>
          </w:p>
        </w:tc>
      </w:tr>
      <w:tr>
        <w:trPr>
          <w:trHeight w:val="20"/>
        </w:trPr>
        <w:tc>
          <w:tcPr>
            <w:tcW w:w="49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920" w:type="dxa"/>
            <w:vAlign w:val="bottom"/>
          </w:tcPr>
          <w:p>
            <w:pPr>
              <w:ind w:left="380"/>
              <w:spacing w:after="0"/>
              <w:rPr>
                <w:sz w:val="20"/>
                <w:szCs w:val="20"/>
                <w:color w:val="auto"/>
              </w:rPr>
            </w:pPr>
            <w:r>
              <w:rPr>
                <w:rFonts w:ascii="Arial" w:cs="Arial" w:eastAsia="Arial" w:hAnsi="Arial"/>
                <w:sz w:val="18"/>
                <w:szCs w:val="18"/>
                <w:color w:val="auto"/>
              </w:rPr>
              <w:t>Net periodic benefit cost</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(80 )</w:t>
            </w:r>
          </w:p>
        </w:tc>
        <w:tc>
          <w:tcPr>
            <w:tcW w:w="1040" w:type="dxa"/>
            <w:vAlign w:val="bottom"/>
          </w:tcPr>
          <w:p>
            <w:pPr>
              <w:jc w:val="right"/>
              <w:ind w:right="861"/>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(93 )</w:t>
            </w: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(241 )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(282 )</w:t>
            </w:r>
          </w:p>
        </w:tc>
      </w:tr>
      <w:tr>
        <w:trPr>
          <w:trHeight w:val="20"/>
        </w:trPr>
        <w:tc>
          <w:tcPr>
            <w:tcW w:w="49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-187960</wp:posOffset>
            </wp:positionV>
            <wp:extent cx="76835" cy="1885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-187960</wp:posOffset>
            </wp:positionV>
            <wp:extent cx="76835" cy="1885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-187960</wp:posOffset>
            </wp:positionV>
            <wp:extent cx="68580" cy="1885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ind w:left="480" w:hanging="472"/>
        <w:spacing w:after="0"/>
        <w:tabs>
          <w:tab w:leader="none" w:pos="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Income</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Company’s changes in other comprehensive income were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92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3"/>
              </w:rPr>
              <w:t>Income Tax</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120" w:type="dxa"/>
            <w:vAlign w:val="bottom"/>
            <w:gridSpan w:val="2"/>
          </w:tcPr>
          <w:p>
            <w:pPr>
              <w:jc w:val="center"/>
              <w:ind w:right="321"/>
              <w:spacing w:after="0" w:line="133" w:lineRule="exact"/>
              <w:rPr>
                <w:sz w:val="20"/>
                <w:szCs w:val="20"/>
                <w:color w:val="auto"/>
              </w:rPr>
            </w:pPr>
            <w:r>
              <w:rPr>
                <w:rFonts w:ascii="Arial" w:cs="Arial" w:eastAsia="Arial" w:hAnsi="Arial"/>
                <w:sz w:val="14"/>
                <w:szCs w:val="14"/>
                <w:b w:val="1"/>
                <w:bCs w:val="1"/>
                <w:color w:val="auto"/>
                <w:w w:val="93"/>
              </w:rPr>
              <w:t>Income Tax</w:t>
            </w:r>
          </w:p>
        </w:tc>
        <w:tc>
          <w:tcPr>
            <w:tcW w:w="180" w:type="dxa"/>
            <w:vAlign w:val="bottom"/>
          </w:tcPr>
          <w:p>
            <w:pPr>
              <w:spacing w:after="0"/>
              <w:rPr>
                <w:sz w:val="11"/>
                <w:szCs w:val="11"/>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3"/>
              </w:rPr>
              <w:t>Net Amount</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01"/>
              <w:spacing w:after="0" w:line="149" w:lineRule="exact"/>
              <w:rPr>
                <w:sz w:val="20"/>
                <w:szCs w:val="20"/>
                <w:color w:val="auto"/>
              </w:rPr>
            </w:pPr>
            <w:r>
              <w:rPr>
                <w:rFonts w:ascii="Arial" w:cs="Arial" w:eastAsia="Arial" w:hAnsi="Arial"/>
                <w:sz w:val="14"/>
                <w:szCs w:val="14"/>
                <w:b w:val="1"/>
                <w:bCs w:val="1"/>
                <w:color w:val="auto"/>
                <w:w w:val="90"/>
              </w:rPr>
              <w:t>(Provision)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920" w:type="dxa"/>
            <w:vAlign w:val="bottom"/>
          </w:tcPr>
          <w:p>
            <w:pPr>
              <w:jc w:val="right"/>
              <w:ind w:right="217"/>
              <w:spacing w:after="0"/>
              <w:rPr>
                <w:sz w:val="20"/>
                <w:szCs w:val="20"/>
                <w:color w:val="auto"/>
              </w:rPr>
            </w:pPr>
            <w:r>
              <w:rPr>
                <w:rFonts w:ascii="Arial" w:cs="Arial" w:eastAsia="Arial" w:hAnsi="Arial"/>
                <w:sz w:val="14"/>
                <w:szCs w:val="14"/>
                <w:b w:val="1"/>
                <w:bCs w:val="1"/>
                <w:color w:val="auto"/>
              </w:rPr>
              <w:t>Benefit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2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92"/>
              </w:rPr>
              <w:t>Benefit</w:t>
            </w:r>
          </w:p>
        </w:tc>
        <w:tc>
          <w:tcPr>
            <w:tcW w:w="180" w:type="dxa"/>
            <w:vAlign w:val="bottom"/>
          </w:tcPr>
          <w:p>
            <w:pPr>
              <w:spacing w:after="0"/>
              <w:rPr>
                <w:sz w:val="16"/>
                <w:szCs w:val="16"/>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36"/>
        </w:trPr>
        <w:tc>
          <w:tcPr>
            <w:tcW w:w="3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Pension and postretirement benefits (a):</w:t>
            </w:r>
          </w:p>
        </w:tc>
        <w:tc>
          <w:tcPr>
            <w:tcW w:w="1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40" w:type="dxa"/>
            <w:vAlign w:val="bottom"/>
          </w:tcPr>
          <w:p>
            <w:pPr>
              <w:ind w:left="200"/>
              <w:spacing w:after="0"/>
              <w:rPr>
                <w:sz w:val="20"/>
                <w:szCs w:val="20"/>
                <w:color w:val="auto"/>
              </w:rPr>
            </w:pPr>
            <w:r>
              <w:rPr>
                <w:rFonts w:ascii="Arial" w:cs="Arial" w:eastAsia="Arial" w:hAnsi="Arial"/>
                <w:sz w:val="18"/>
                <w:szCs w:val="18"/>
                <w:color w:val="auto"/>
              </w:rPr>
              <w:t>Amortization of net actuarial gain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(80 )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(62 )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(85 )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49"/>
        </w:trPr>
        <w:tc>
          <w:tcPr>
            <w:tcW w:w="3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Actuarial gains</w:t>
            </w: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(3,091 )</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40" w:type="dxa"/>
            <w:vAlign w:val="bottom"/>
          </w:tcPr>
          <w:p>
            <w:pPr>
              <w:ind w:left="20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(608 )</w:t>
            </w:r>
          </w:p>
        </w:tc>
        <w:tc>
          <w:tcPr>
            <w:tcW w:w="120" w:type="dxa"/>
            <w:vAlign w:val="bottom"/>
          </w:tcPr>
          <w:p>
            <w:pPr>
              <w:spacing w:after="0"/>
              <w:rPr>
                <w:sz w:val="20"/>
                <w:szCs w:val="20"/>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(608 )</w:t>
            </w:r>
          </w:p>
        </w:tc>
        <w:tc>
          <w:tcPr>
            <w:tcW w:w="0" w:type="dxa"/>
            <w:vAlign w:val="bottom"/>
          </w:tcPr>
          <w:p>
            <w:pPr>
              <w:spacing w:after="0"/>
              <w:rPr>
                <w:sz w:val="1"/>
                <w:szCs w:val="1"/>
                <w:color w:val="auto"/>
              </w:rPr>
            </w:pPr>
          </w:p>
        </w:tc>
      </w:tr>
      <w:tr>
        <w:trPr>
          <w:trHeight w:val="276"/>
        </w:trPr>
        <w:tc>
          <w:tcPr>
            <w:tcW w:w="38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11,572</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(3,070</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377"/>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8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3096260</wp:posOffset>
            </wp:positionH>
            <wp:positionV relativeFrom="paragraph">
              <wp:posOffset>-461645</wp:posOffset>
            </wp:positionV>
            <wp:extent cx="768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3096260</wp:posOffset>
            </wp:positionH>
            <wp:positionV relativeFrom="paragraph">
              <wp:posOffset>-444500</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-461645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-444500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-461645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-444500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-461645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-444500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-461645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-444500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-461645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-444500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5"/>
        </w:trPr>
        <w:tc>
          <w:tcPr>
            <w:tcW w:w="3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2023</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140" w:type="dxa"/>
            <w:vAlign w:val="bottom"/>
            <w:gridSpan w:val="2"/>
          </w:tcPr>
          <w:p>
            <w:pPr>
              <w:jc w:val="center"/>
              <w:ind w:right="301"/>
              <w:spacing w:after="0" w:line="133" w:lineRule="exact"/>
              <w:rPr>
                <w:sz w:val="20"/>
                <w:szCs w:val="20"/>
                <w:color w:val="auto"/>
              </w:rPr>
            </w:pPr>
            <w:r>
              <w:rPr>
                <w:rFonts w:ascii="Arial" w:cs="Arial" w:eastAsia="Arial" w:hAnsi="Arial"/>
                <w:sz w:val="14"/>
                <w:szCs w:val="14"/>
                <w:b w:val="1"/>
                <w:bCs w:val="1"/>
                <w:color w:val="auto"/>
                <w:w w:val="93"/>
              </w:rPr>
              <w:t>Income Tax</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120" w:type="dxa"/>
            <w:vAlign w:val="bottom"/>
            <w:gridSpan w:val="2"/>
          </w:tcPr>
          <w:p>
            <w:pPr>
              <w:jc w:val="center"/>
              <w:ind w:right="321"/>
              <w:spacing w:after="0" w:line="133" w:lineRule="exact"/>
              <w:rPr>
                <w:sz w:val="20"/>
                <w:szCs w:val="20"/>
                <w:color w:val="auto"/>
              </w:rPr>
            </w:pPr>
            <w:r>
              <w:rPr>
                <w:rFonts w:ascii="Arial" w:cs="Arial" w:eastAsia="Arial" w:hAnsi="Arial"/>
                <w:sz w:val="14"/>
                <w:szCs w:val="14"/>
                <w:b w:val="1"/>
                <w:bCs w:val="1"/>
                <w:color w:val="auto"/>
                <w:w w:val="93"/>
              </w:rPr>
              <w:t>Income Tax</w:t>
            </w:r>
          </w:p>
        </w:tc>
        <w:tc>
          <w:tcPr>
            <w:tcW w:w="180" w:type="dxa"/>
            <w:vAlign w:val="bottom"/>
          </w:tcPr>
          <w:p>
            <w:pPr>
              <w:spacing w:after="0"/>
              <w:rPr>
                <w:sz w:val="11"/>
                <w:szCs w:val="11"/>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01"/>
              <w:spacing w:after="0" w:line="149" w:lineRule="exact"/>
              <w:rPr>
                <w:sz w:val="20"/>
                <w:szCs w:val="20"/>
                <w:color w:val="auto"/>
              </w:rPr>
            </w:pPr>
            <w:r>
              <w:rPr>
                <w:rFonts w:ascii="Arial" w:cs="Arial" w:eastAsia="Arial" w:hAnsi="Arial"/>
                <w:sz w:val="14"/>
                <w:szCs w:val="14"/>
                <w:b w:val="1"/>
                <w:bCs w:val="1"/>
                <w:color w:val="auto"/>
                <w:w w:val="92"/>
              </w:rPr>
              <w:t>(Provision)</w:t>
            </w:r>
          </w:p>
        </w:tc>
        <w:tc>
          <w:tcPr>
            <w:tcW w:w="120" w:type="dxa"/>
            <w:vAlign w:val="bottom"/>
          </w:tcPr>
          <w:p>
            <w:pPr>
              <w:spacing w:after="0"/>
              <w:rPr>
                <w:sz w:val="12"/>
                <w:szCs w:val="12"/>
                <w:color w:val="auto"/>
              </w:rPr>
            </w:pP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3"/>
              </w:rPr>
              <w:t>Net Amount</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01"/>
              <w:spacing w:after="0" w:line="149" w:lineRule="exact"/>
              <w:rPr>
                <w:sz w:val="20"/>
                <w:szCs w:val="20"/>
                <w:color w:val="auto"/>
              </w:rPr>
            </w:pPr>
            <w:r>
              <w:rPr>
                <w:rFonts w:ascii="Arial" w:cs="Arial" w:eastAsia="Arial" w:hAnsi="Arial"/>
                <w:sz w:val="14"/>
                <w:szCs w:val="14"/>
                <w:b w:val="1"/>
                <w:bCs w:val="1"/>
                <w:color w:val="auto"/>
                <w:w w:val="90"/>
              </w:rPr>
              <w:t>(Provision)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4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w w:val="92"/>
              </w:rPr>
              <w:t>Benefit</w:t>
            </w: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2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92"/>
              </w:rPr>
              <w:t>Benefit</w:t>
            </w:r>
          </w:p>
        </w:tc>
        <w:tc>
          <w:tcPr>
            <w:tcW w:w="180" w:type="dxa"/>
            <w:vAlign w:val="bottom"/>
          </w:tcPr>
          <w:p>
            <w:pPr>
              <w:spacing w:after="0"/>
              <w:rPr>
                <w:sz w:val="16"/>
                <w:szCs w:val="16"/>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36"/>
        </w:trPr>
        <w:tc>
          <w:tcPr>
            <w:tcW w:w="3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Pension and postretirement benefits (a):</w:t>
            </w:r>
          </w:p>
        </w:tc>
        <w:tc>
          <w:tcPr>
            <w:tcW w:w="1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40" w:type="dxa"/>
            <w:vAlign w:val="bottom"/>
          </w:tcPr>
          <w:p>
            <w:pPr>
              <w:ind w:left="200"/>
              <w:spacing w:after="0"/>
              <w:rPr>
                <w:sz w:val="20"/>
                <w:szCs w:val="20"/>
                <w:color w:val="auto"/>
              </w:rPr>
            </w:pPr>
            <w:r>
              <w:rPr>
                <w:rFonts w:ascii="Arial" w:cs="Arial" w:eastAsia="Arial" w:hAnsi="Arial"/>
                <w:sz w:val="18"/>
                <w:szCs w:val="18"/>
                <w:color w:val="auto"/>
              </w:rPr>
              <w:t>Amortization of net actuarial gain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(240 )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(182 )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49"/>
        </w:trPr>
        <w:tc>
          <w:tcPr>
            <w:tcW w:w="3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Actuarial gains</w:t>
            </w: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(444 )</w:t>
            </w: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17,737</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(4,462 )</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40" w:type="dxa"/>
            <w:vAlign w:val="bottom"/>
          </w:tcPr>
          <w:p>
            <w:pPr>
              <w:ind w:left="20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(743 )</w:t>
            </w:r>
          </w:p>
        </w:tc>
        <w:tc>
          <w:tcPr>
            <w:tcW w:w="120" w:type="dxa"/>
            <w:vAlign w:val="bottom"/>
          </w:tcPr>
          <w:p>
            <w:pPr>
              <w:spacing w:after="0"/>
              <w:rPr>
                <w:sz w:val="20"/>
                <w:szCs w:val="20"/>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(743 )</w:t>
            </w:r>
          </w:p>
        </w:tc>
        <w:tc>
          <w:tcPr>
            <w:tcW w:w="0" w:type="dxa"/>
            <w:vAlign w:val="bottom"/>
          </w:tcPr>
          <w:p>
            <w:pPr>
              <w:spacing w:after="0"/>
              <w:rPr>
                <w:sz w:val="1"/>
                <w:szCs w:val="1"/>
                <w:color w:val="auto"/>
              </w:rPr>
            </w:pPr>
          </w:p>
        </w:tc>
      </w:tr>
      <w:tr>
        <w:trPr>
          <w:trHeight w:val="276"/>
        </w:trPr>
        <w:tc>
          <w:tcPr>
            <w:tcW w:w="38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2,611</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2,225</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16,969</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(4,458</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3096260</wp:posOffset>
            </wp:positionH>
            <wp:positionV relativeFrom="paragraph">
              <wp:posOffset>-24765</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3096260</wp:posOffset>
            </wp:positionH>
            <wp:positionV relativeFrom="paragraph">
              <wp:posOffset>-7620</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-24765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-24765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-24765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-7620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left="1000" w:hanging="423"/>
        <w:spacing w:after="0"/>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Actuarial gains are amortized into other income (expense). (See Note 11, Retirement Plans)</w:t>
      </w:r>
    </w:p>
    <w:p>
      <w:pPr>
        <w:spacing w:after="0" w:line="193" w:lineRule="exact"/>
        <w:rPr>
          <w:rFonts w:ascii="Arial" w:cs="Arial" w:eastAsia="Arial" w:hAnsi="Arial"/>
          <w:sz w:val="18"/>
          <w:szCs w:val="18"/>
          <w:color w:val="auto"/>
        </w:rPr>
      </w:pPr>
    </w:p>
    <w:p>
      <w:pPr>
        <w:ind w:left="480" w:hanging="472"/>
        <w:spacing w:after="0"/>
        <w:tabs>
          <w:tab w:leader="none" w:pos="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w:t>
      </w:r>
    </w:p>
    <w:p>
      <w:pPr>
        <w:spacing w:after="0" w:line="188" w:lineRule="exact"/>
        <w:rPr>
          <w:sz w:val="20"/>
          <w:szCs w:val="20"/>
          <w:color w:val="auto"/>
        </w:rPr>
      </w:pPr>
    </w:p>
    <w:p>
      <w:pPr>
        <w:jc w:val="both"/>
        <w:ind w:firstLine="569"/>
        <w:spacing w:after="0" w:line="286" w:lineRule="auto"/>
        <w:rPr>
          <w:sz w:val="20"/>
          <w:szCs w:val="20"/>
          <w:color w:val="auto"/>
        </w:rPr>
      </w:pPr>
      <w:r>
        <w:rPr>
          <w:rFonts w:ascii="Arial" w:cs="Arial" w:eastAsia="Arial" w:hAnsi="Arial"/>
          <w:sz w:val="16"/>
          <w:szCs w:val="16"/>
          <w:color w:val="auto"/>
        </w:rPr>
        <w:t>On October 13, 2016, the tug Nathan E. Stewart and barge DBL 55, an articulated tank barge and tugboat unit (“ATB”) owned and operated by Kirby Offshore Marine, LLC, a wholly owned subsidiary of the Company, ran aground at the entrance to Seaforth Channel on Atholone Island, British Columbia. The grounding resulted in a breach of a portion of the Nathan E. Stewart’s fuel tanks causing a discharge of diesel fuel into the water. The United States Coast Guard and the National Transportation Safety Board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in the British Columbia Supreme Court against a subsidiary of the Company, the master and pilot of the tug, the vessels and the Canadian government seeking unquantified damages as a result of the incident. On May 1, 2019, the Company filed a limitation action in the Federal Court of Canada seeking limitation of liability relating to the incident as provided under admiralty law. The Heiltsuk First Nation’s civil claim has been consolidated into the Federal Court limitation action as of July 26, 2019 and it is expected that the Federal Court of Canada will decide all claims against the Company. The Company is unable to estimate the potential exposure in the civil proceeding.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its accrual of such estimated liability is adequate for the incident and does not expect the incident to have a material adverse effect on its business or financial condition.</w:t>
      </w:r>
    </w:p>
    <w:p>
      <w:pPr>
        <w:spacing w:after="0" w:line="130"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its accrual of such estimated liability is adequate and believes that it has adequate insurance coverage or has meritorious defenses for these other claims and contingencies.</w:t>
      </w:r>
    </w:p>
    <w:p>
      <w:pPr>
        <w:spacing w:after="0" w:line="158"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7"/>
          <w:szCs w:val="17"/>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$27.6 million at September 30, 2023, including $13.0 million in letters of credit and $14.6 million in performance bonds. All of these instruments have an expiration date within two years. The Company does not believe demand for payment under these instruments is likely and expects no material cash outlays to occur regarding these instruments.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5" w:name="page16"/>
    <w:bookmarkEnd w:id="15"/>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8" w:lineRule="exact"/>
        <w:rPr>
          <w:sz w:val="20"/>
          <w:szCs w:val="20"/>
          <w:color w:val="auto"/>
        </w:rPr>
      </w:pPr>
    </w:p>
    <w:p>
      <w:pPr>
        <w:jc w:val="both"/>
        <w:ind w:firstLine="562"/>
        <w:spacing w:after="0" w:line="217" w:lineRule="exact"/>
        <w:rPr>
          <w:sz w:val="20"/>
          <w:szCs w:val="20"/>
          <w:color w:val="auto"/>
        </w:rPr>
      </w:pPr>
      <w:r>
        <w:rPr>
          <w:rFonts w:ascii="Arial" w:cs="Arial" w:eastAsia="Arial" w:hAnsi="Arial"/>
          <w:sz w:val="17"/>
          <w:szCs w:val="17"/>
          <w:color w:val="auto"/>
        </w:rPr>
        <w:t>Statements contained in this Form 10-Q that are not historical facts, including, but not limited to, any projections contained herein, are forward-looking statements and involve a number of risks and uncertainties. Such statements involve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10-Q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tornados, COVID-19 or other pandemics, marine accidents, lock delays,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Item 1A-Risk Factors found in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2022. Forward-looking statements are based on currently available information and the Company assumes no obligation to update any such statements. For purposes of Management’s Discussion, all net earnings per share attributable to Kirby common stockholders are “diluted earnings per share.”</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Overview</w:t>
      </w:r>
    </w:p>
    <w:p>
      <w:pPr>
        <w:spacing w:after="0" w:line="188"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The Company is the nation’s largest domestic tank barge operator, transporting bulk liquid products throughout the Mississippi River System, on the Gulf Intracoastal Waterway, and coastwise along all three United States coasts. The Company transports petrochemicals, black oil, refined petroleum products and agricultural chemicals by tank barge. Through KDS, the Company provides after-market service and parts for engines, transmissions, reduction gears and related equipment used in oilfield services, marine, power generation, on-highway, and other industrial applications. The Company also rents equipment including generators, industrial compressors, high capacity lift trucks, and refrigeration trailers for use in a variety of industrial markets, and manufactures and remanufactures oilfield service equipment, including pressure pumping units, manufactures cementing and pumping equipment as well as coil tubing and well intervention equipment, electric power generation equipment, specialized electrical distribution and control equipment, and high capacity energy storage/battery systems for oilfield service and railroad customers.</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key operating results of the Company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w w:val="98"/>
              </w:rPr>
              <w:t>Three Months Ended September 30,</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w w:val="98"/>
              </w:rPr>
              <w:t>Nine Months Ended September 30,</w:t>
            </w:r>
          </w:p>
        </w:tc>
        <w:tc>
          <w:tcPr>
            <w:tcW w:w="10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764,772</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745,843</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2,292,464</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2,054,589</w:t>
            </w:r>
          </w:p>
        </w:tc>
        <w:tc>
          <w:tcPr>
            <w:tcW w:w="100" w:type="dxa"/>
            <w:vAlign w:val="bottom"/>
            <w:shd w:val="clear" w:color="auto" w:fill="CFF0FC"/>
          </w:tcPr>
          <w:p>
            <w:pPr>
              <w:spacing w:after="0"/>
              <w:rPr>
                <w:sz w:val="20"/>
                <w:szCs w:val="20"/>
                <w:color w:val="auto"/>
              </w:rPr>
            </w:pPr>
          </w:p>
        </w:tc>
      </w:tr>
      <w:tr>
        <w:trPr>
          <w:trHeight w:val="236"/>
        </w:trPr>
        <w:tc>
          <w:tcPr>
            <w:tcW w:w="4920" w:type="dxa"/>
            <w:vAlign w:val="bottom"/>
          </w:tcPr>
          <w:p>
            <w:pPr>
              <w:ind w:left="20"/>
              <w:spacing w:after="0"/>
              <w:rPr>
                <w:sz w:val="20"/>
                <w:szCs w:val="20"/>
                <w:color w:val="auto"/>
              </w:rPr>
            </w:pPr>
            <w:r>
              <w:rPr>
                <w:rFonts w:ascii="Arial" w:cs="Arial" w:eastAsia="Arial" w:hAnsi="Arial"/>
                <w:sz w:val="18"/>
                <w:szCs w:val="18"/>
                <w:color w:val="auto"/>
              </w:rPr>
              <w:t>Net earnings attributable to Kirby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62,964</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39,091</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161,029</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84,982</w:t>
            </w:r>
          </w:p>
        </w:tc>
        <w:tc>
          <w:tcPr>
            <w:tcW w:w="100" w:type="dxa"/>
            <w:vAlign w:val="bottom"/>
          </w:tcPr>
          <w:p>
            <w:pPr>
              <w:spacing w:after="0"/>
              <w:rPr>
                <w:sz w:val="20"/>
                <w:szCs w:val="20"/>
                <w:color w:val="auto"/>
              </w:rPr>
            </w:pPr>
          </w:p>
        </w:tc>
      </w:tr>
      <w:tr>
        <w:trPr>
          <w:trHeight w:val="221"/>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 per share attributable to Kirby common</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 diluted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6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5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5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324,227</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161,185</w:t>
            </w:r>
          </w:p>
        </w:tc>
        <w:tc>
          <w:tcPr>
            <w:tcW w:w="100" w:type="dxa"/>
            <w:vAlign w:val="bottom"/>
          </w:tcPr>
          <w:p>
            <w:pPr>
              <w:spacing w:after="0"/>
              <w:rPr>
                <w:sz w:val="20"/>
                <w:szCs w:val="20"/>
                <w:color w:val="auto"/>
              </w:rPr>
            </w:pPr>
          </w:p>
        </w:tc>
      </w:tr>
      <w:tr>
        <w:trPr>
          <w:trHeight w:val="249"/>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274,963</w:t>
            </w:r>
          </w:p>
        </w:tc>
        <w:tc>
          <w:tcPr>
            <w:tcW w:w="5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120,263</w:t>
            </w:r>
          </w:p>
        </w:tc>
        <w:tc>
          <w:tcPr>
            <w:tcW w:w="100" w:type="dxa"/>
            <w:vAlign w:val="bottom"/>
            <w:shd w:val="clear" w:color="auto" w:fill="CFF0FC"/>
          </w:tcPr>
          <w:p>
            <w:pPr>
              <w:spacing w:after="0"/>
              <w:rPr>
                <w:sz w:val="21"/>
                <w:szCs w:val="21"/>
                <w:color w:val="auto"/>
              </w:rPr>
            </w:pPr>
          </w:p>
        </w:tc>
      </w:tr>
    </w:tbl>
    <w:p>
      <w:pPr>
        <w:spacing w:after="0" w:line="174" w:lineRule="exact"/>
        <w:rPr>
          <w:sz w:val="20"/>
          <w:szCs w:val="20"/>
          <w:color w:val="auto"/>
        </w:rPr>
      </w:pPr>
    </w:p>
    <w:p>
      <w:pPr>
        <w:jc w:val="both"/>
        <w:ind w:firstLine="569"/>
        <w:spacing w:after="0" w:line="286" w:lineRule="auto"/>
        <w:rPr>
          <w:sz w:val="20"/>
          <w:szCs w:val="20"/>
          <w:color w:val="auto"/>
        </w:rPr>
      </w:pPr>
      <w:r>
        <w:rPr>
          <w:rFonts w:ascii="Arial" w:cs="Arial" w:eastAsia="Arial" w:hAnsi="Arial"/>
          <w:sz w:val="17"/>
          <w:szCs w:val="17"/>
          <w:color w:val="auto"/>
        </w:rPr>
        <w:t>The 2023 first quarter included $3.0 million before taxes, $2.4 million after taxes, or $0.04 per share of costs related to strategic review and shareholder engagement and $2.7 million before taxes, $2.2 million after taxes, or $0.04 per share of other income associated with the interest on the refund from the IRS. The 2022 second quarter included $1.5 million before taxes, $1.3 million after taxes, or $0.02 per share of severance expense.</w:t>
      </w:r>
    </w:p>
    <w:p>
      <w:pPr>
        <w:spacing w:after="0" w:line="124" w:lineRule="exact"/>
        <w:rPr>
          <w:sz w:val="20"/>
          <w:szCs w:val="20"/>
          <w:color w:val="auto"/>
        </w:rPr>
      </w:pPr>
    </w:p>
    <w:p>
      <w:pPr>
        <w:jc w:val="both"/>
        <w:ind w:firstLine="569"/>
        <w:spacing w:after="0" w:line="286" w:lineRule="auto"/>
        <w:rPr>
          <w:sz w:val="20"/>
          <w:szCs w:val="20"/>
          <w:color w:val="auto"/>
        </w:rPr>
      </w:pPr>
      <w:r>
        <w:rPr>
          <w:rFonts w:ascii="Arial" w:cs="Arial" w:eastAsia="Arial" w:hAnsi="Arial"/>
          <w:sz w:val="17"/>
          <w:szCs w:val="17"/>
          <w:color w:val="auto"/>
        </w:rPr>
        <w:t>Cash provided by operating activities for the 2023 first nine months increased in comparison to the 2022 first nine months primarily due to higher business activity levels and the receipt of the IRS refund. For the 2023 first nine months, capital expenditures of $275.0 million included $193.0 million in KMT and $82.0 million in KDS and corporate, each more fully described under Cash Flow and Capital Expenditures below.</w:t>
      </w:r>
    </w:p>
    <w:p>
      <w:pPr>
        <w:spacing w:after="0" w:line="124"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The Company projects that capital expenditures for 2023 will be in the $330 million to $380 million range. Approximately $240 million is primarily for maintenance capital and improvements to existing marine equipment, including ballast water treatment systems on some coastal vessels, and facility improvements. The 2023 construction program also consists of growth capital of up to approximately $40 million for the construction of specialized inland equipment, and of up to approximately $100 million for new electric fracturing equipment.</w:t>
      </w:r>
    </w:p>
    <w:p>
      <w:pPr>
        <w:spacing w:after="0" w:line="158"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The Company’s debt-to-capitalization ratio decreased to 25.3% at September 30, 2023 from 26.2% at December 31, 2022, primarily due an increase in total equity, primarily from net earnings attributable to Kirby of $161.0 million, and a reduction of debt outstanding of $11.8 million, partially offset by treasury stock purchases of $60.9 million. The Company’s debt outstanding as of September 30, 2023 and December 31, 2022 is detailed in Long-Term Financing below.</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Marine Transportation</w:t>
      </w:r>
    </w:p>
    <w:p>
      <w:pPr>
        <w:spacing w:after="0" w:line="202"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For the 2023 third quarter and first nine months, KMT generated 56% and 55%, respectively, of the Company’s revenues compared to 58% for both the 2022 third quarter and first nine months.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KMT is directly affected by the volumes produced by the Company’s petroleum, petrochemical, and refining customer base.</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marine transportation fleet:</w:t>
      </w:r>
    </w:p>
    <w:p>
      <w:pPr>
        <w:spacing w:after="0" w:line="230"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September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16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2"/>
          </w:tcPr>
          <w:p>
            <w:pPr>
              <w:jc w:val="right"/>
              <w:ind w:right="45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Inland tank barges:</w:t>
            </w:r>
          </w:p>
        </w:tc>
        <w:tc>
          <w:tcPr>
            <w:tcW w:w="90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9060" w:type="dxa"/>
            <w:vAlign w:val="bottom"/>
            <w:gridSpan w:val="2"/>
          </w:tcPr>
          <w:p>
            <w:pPr>
              <w:ind w:left="200"/>
              <w:spacing w:after="0"/>
              <w:rPr>
                <w:sz w:val="20"/>
                <w:szCs w:val="20"/>
                <w:color w:val="auto"/>
              </w:rPr>
            </w:pPr>
            <w:r>
              <w:rPr>
                <w:rFonts w:ascii="Arial" w:cs="Arial" w:eastAsia="Arial" w:hAnsi="Arial"/>
                <w:sz w:val="18"/>
                <w:szCs w:val="18"/>
                <w:color w:val="auto"/>
              </w:rPr>
              <w:t>Owned</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1,037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0"/>
                <w:szCs w:val="20"/>
                <w:color w:val="auto"/>
              </w:rPr>
            </w:pPr>
          </w:p>
        </w:tc>
      </w:tr>
      <w:tr>
        <w:trPr>
          <w:trHeight w:val="243"/>
        </w:trPr>
        <w:tc>
          <w:tcPr>
            <w:tcW w:w="8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Leased</w:t>
            </w:r>
          </w:p>
        </w:tc>
        <w:tc>
          <w:tcPr>
            <w:tcW w:w="90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160" w:type="dxa"/>
            <w:vAlign w:val="bottom"/>
          </w:tcPr>
          <w:p>
            <w:pPr>
              <w:ind w:left="20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1,071</w:t>
            </w:r>
          </w:p>
        </w:tc>
        <w:tc>
          <w:tcPr>
            <w:tcW w:w="28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0"/>
                <w:szCs w:val="20"/>
                <w:color w:val="auto"/>
              </w:rPr>
            </w:pPr>
          </w:p>
        </w:tc>
      </w:tr>
      <w:tr>
        <w:trPr>
          <w:trHeight w:val="20"/>
        </w:trPr>
        <w:tc>
          <w:tcPr>
            <w:tcW w:w="9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Barrel capacity (in millions)</w:t>
            </w:r>
          </w:p>
        </w:tc>
        <w:tc>
          <w:tcPr>
            <w:tcW w:w="9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80" w:type="dxa"/>
            <w:vAlign w:val="bottom"/>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FF0FC"/>
          </w:tcPr>
          <w:p>
            <w:pPr>
              <w:spacing w:after="0"/>
              <w:rPr>
                <w:sz w:val="19"/>
                <w:szCs w:val="19"/>
                <w:color w:val="auto"/>
              </w:rPr>
            </w:pPr>
          </w:p>
        </w:tc>
      </w:tr>
      <w:tr>
        <w:trPr>
          <w:trHeight w:val="243"/>
        </w:trPr>
        <w:tc>
          <w:tcPr>
            <w:tcW w:w="906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0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Active inland towboats (quarter average):</w:t>
            </w:r>
          </w:p>
        </w:tc>
        <w:tc>
          <w:tcPr>
            <w:tcW w:w="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9060" w:type="dxa"/>
            <w:vAlign w:val="bottom"/>
            <w:gridSpan w:val="2"/>
          </w:tcPr>
          <w:p>
            <w:pPr>
              <w:ind w:left="200"/>
              <w:spacing w:after="0"/>
              <w:rPr>
                <w:sz w:val="20"/>
                <w:szCs w:val="20"/>
                <w:color w:val="auto"/>
              </w:rPr>
            </w:pPr>
            <w:r>
              <w:rPr>
                <w:rFonts w:ascii="Arial" w:cs="Arial" w:eastAsia="Arial" w:hAnsi="Arial"/>
                <w:sz w:val="18"/>
                <w:szCs w:val="18"/>
                <w:color w:val="auto"/>
              </w:rPr>
              <w:t>Owned</w:t>
            </w:r>
          </w:p>
        </w:tc>
        <w:tc>
          <w:tcPr>
            <w:tcW w:w="460" w:type="dxa"/>
            <w:vAlign w:val="bottom"/>
          </w:tcPr>
          <w:p>
            <w:pPr>
              <w:jc w:val="right"/>
              <w:spacing w:after="0"/>
              <w:rPr>
                <w:sz w:val="20"/>
                <w:szCs w:val="20"/>
                <w:color w:val="auto"/>
              </w:rPr>
            </w:pPr>
            <w:r>
              <w:rPr>
                <w:rFonts w:ascii="Arial" w:cs="Arial" w:eastAsia="Arial" w:hAnsi="Arial"/>
                <w:sz w:val="18"/>
                <w:szCs w:val="18"/>
                <w:color w:val="auto"/>
              </w:rPr>
              <w:t>219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r>
      <w:tr>
        <w:trPr>
          <w:trHeight w:val="243"/>
        </w:trPr>
        <w:tc>
          <w:tcPr>
            <w:tcW w:w="8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Chartered</w:t>
            </w:r>
          </w:p>
        </w:tc>
        <w:tc>
          <w:tcPr>
            <w:tcW w:w="90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160" w:type="dxa"/>
            <w:vAlign w:val="bottom"/>
          </w:tcPr>
          <w:p>
            <w:pPr>
              <w:ind w:left="20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8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0"/>
                <w:szCs w:val="20"/>
                <w:color w:val="auto"/>
              </w:rPr>
            </w:pPr>
          </w:p>
        </w:tc>
      </w:tr>
      <w:tr>
        <w:trPr>
          <w:trHeight w:val="20"/>
        </w:trPr>
        <w:tc>
          <w:tcPr>
            <w:tcW w:w="8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9060" w:type="dxa"/>
            <w:vAlign w:val="bottom"/>
            <w:gridSpan w:val="2"/>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9060" w:type="dxa"/>
            <w:vAlign w:val="bottom"/>
            <w:gridSpan w:val="2"/>
          </w:tcPr>
          <w:p>
            <w:pPr>
              <w:ind w:left="20"/>
              <w:spacing w:after="0"/>
              <w:rPr>
                <w:sz w:val="20"/>
                <w:szCs w:val="20"/>
                <w:color w:val="auto"/>
              </w:rPr>
            </w:pPr>
            <w:r>
              <w:rPr>
                <w:rFonts w:ascii="Arial" w:cs="Arial" w:eastAsia="Arial" w:hAnsi="Arial"/>
                <w:sz w:val="18"/>
                <w:szCs w:val="18"/>
                <w:color w:val="auto"/>
              </w:rPr>
              <w:t>Coastal tank barges:</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90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Owned</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21"/>
                <w:szCs w:val="21"/>
                <w:color w:val="auto"/>
              </w:rPr>
            </w:pPr>
          </w:p>
        </w:tc>
      </w:tr>
      <w:tr>
        <w:trPr>
          <w:trHeight w:val="236"/>
        </w:trPr>
        <w:tc>
          <w:tcPr>
            <w:tcW w:w="9060" w:type="dxa"/>
            <w:vAlign w:val="bottom"/>
            <w:gridSpan w:val="2"/>
          </w:tcPr>
          <w:p>
            <w:pPr>
              <w:ind w:left="200"/>
              <w:spacing w:after="0"/>
              <w:rPr>
                <w:sz w:val="20"/>
                <w:szCs w:val="20"/>
                <w:color w:val="auto"/>
              </w:rPr>
            </w:pPr>
            <w:r>
              <w:rPr>
                <w:rFonts w:ascii="Arial" w:cs="Arial" w:eastAsia="Arial" w:hAnsi="Arial"/>
                <w:sz w:val="18"/>
                <w:szCs w:val="18"/>
                <w:color w:val="auto"/>
              </w:rPr>
              <w:t>Leased</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r>
      <w:tr>
        <w:trPr>
          <w:trHeight w:val="276"/>
        </w:trPr>
        <w:tc>
          <w:tcPr>
            <w:tcW w:w="8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9060" w:type="dxa"/>
            <w:vAlign w:val="bottom"/>
            <w:gridSpan w:val="2"/>
          </w:tcPr>
          <w:p>
            <w:pPr>
              <w:ind w:left="200"/>
              <w:spacing w:after="0"/>
              <w:rPr>
                <w:sz w:val="20"/>
                <w:szCs w:val="20"/>
                <w:color w:val="auto"/>
              </w:rPr>
            </w:pPr>
            <w:r>
              <w:rPr>
                <w:rFonts w:ascii="Arial" w:cs="Arial" w:eastAsia="Arial" w:hAnsi="Arial"/>
                <w:sz w:val="18"/>
                <w:szCs w:val="18"/>
                <w:color w:val="auto"/>
              </w:rPr>
              <w:t>Barrel capacity (in millions)</w:t>
            </w: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49"/>
        </w:trPr>
        <w:tc>
          <w:tcPr>
            <w:tcW w:w="9060" w:type="dxa"/>
            <w:vAlign w:val="bottom"/>
            <w:gridSpan w:val="2"/>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9060" w:type="dxa"/>
            <w:vAlign w:val="bottom"/>
            <w:gridSpan w:val="2"/>
          </w:tcPr>
          <w:p>
            <w:pPr>
              <w:ind w:left="20"/>
              <w:spacing w:after="0"/>
              <w:rPr>
                <w:sz w:val="20"/>
                <w:szCs w:val="20"/>
                <w:color w:val="auto"/>
              </w:rPr>
            </w:pPr>
            <w:r>
              <w:rPr>
                <w:rFonts w:ascii="Arial" w:cs="Arial" w:eastAsia="Arial" w:hAnsi="Arial"/>
                <w:sz w:val="18"/>
                <w:szCs w:val="18"/>
                <w:color w:val="auto"/>
              </w:rPr>
              <w:t>Coastal tugboats:</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90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Owned</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21"/>
                <w:szCs w:val="21"/>
                <w:color w:val="auto"/>
              </w:rPr>
            </w:pPr>
          </w:p>
        </w:tc>
      </w:tr>
      <w:tr>
        <w:trPr>
          <w:trHeight w:val="236"/>
        </w:trPr>
        <w:tc>
          <w:tcPr>
            <w:tcW w:w="9060" w:type="dxa"/>
            <w:vAlign w:val="bottom"/>
            <w:gridSpan w:val="2"/>
          </w:tcPr>
          <w:p>
            <w:pPr>
              <w:ind w:left="200"/>
              <w:spacing w:after="0"/>
              <w:rPr>
                <w:sz w:val="20"/>
                <w:szCs w:val="20"/>
                <w:color w:val="auto"/>
              </w:rPr>
            </w:pPr>
            <w:r>
              <w:rPr>
                <w:rFonts w:ascii="Arial" w:cs="Arial" w:eastAsia="Arial" w:hAnsi="Arial"/>
                <w:sz w:val="18"/>
                <w:szCs w:val="18"/>
                <w:color w:val="auto"/>
              </w:rPr>
              <w:t>Chartered</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r>
      <w:tr>
        <w:trPr>
          <w:trHeight w:val="276"/>
        </w:trPr>
        <w:tc>
          <w:tcPr>
            <w:tcW w:w="8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9"/>
        </w:trPr>
        <w:tc>
          <w:tcPr>
            <w:tcW w:w="906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90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Offshore dry-bulk cargo barges (owned)</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1"/>
                <w:szCs w:val="21"/>
                <w:color w:val="auto"/>
              </w:rPr>
            </w:pPr>
          </w:p>
        </w:tc>
      </w:tr>
      <w:tr>
        <w:trPr>
          <w:trHeight w:val="230"/>
        </w:trPr>
        <w:tc>
          <w:tcPr>
            <w:tcW w:w="9060" w:type="dxa"/>
            <w:vAlign w:val="bottom"/>
            <w:gridSpan w:val="2"/>
          </w:tcPr>
          <w:p>
            <w:pPr>
              <w:ind w:left="20"/>
              <w:spacing w:after="0"/>
              <w:rPr>
                <w:sz w:val="20"/>
                <w:szCs w:val="20"/>
                <w:color w:val="auto"/>
              </w:rPr>
            </w:pPr>
            <w:r>
              <w:rPr>
                <w:rFonts w:ascii="Arial" w:cs="Arial" w:eastAsia="Arial" w:hAnsi="Arial"/>
                <w:sz w:val="18"/>
                <w:szCs w:val="18"/>
                <w:color w:val="auto"/>
              </w:rPr>
              <w:t>Offshore tugboats and docking tugboat (owned and chartered)</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-3364865</wp:posOffset>
            </wp:positionV>
            <wp:extent cx="76835" cy="1885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-3364865</wp:posOffset>
            </wp:positionV>
            <wp:extent cx="68580" cy="1885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-2406015</wp:posOffset>
            </wp:positionV>
            <wp:extent cx="76835" cy="1885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-2406015</wp:posOffset>
            </wp:positionV>
            <wp:extent cx="68580" cy="1885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-1438275</wp:posOffset>
            </wp:positionV>
            <wp:extent cx="1087120" cy="1797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087120" cy="17970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-479425</wp:posOffset>
            </wp:positionV>
            <wp:extent cx="1087120" cy="1797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087120" cy="179705"/>
                    </a:xfrm>
                    <a:prstGeom prst="rect">
                      <a:avLst/>
                    </a:prstGeom>
                    <a:noFill/>
                  </pic:spPr>
                </pic:pic>
              </a:graphicData>
            </a:graphic>
          </wp:anchor>
        </w:drawing>
      </w:r>
    </w:p>
    <w:p>
      <w:pPr>
        <w:spacing w:after="0" w:line="154" w:lineRule="exact"/>
        <w:rPr>
          <w:sz w:val="20"/>
          <w:szCs w:val="20"/>
          <w:color w:val="auto"/>
        </w:rPr>
      </w:pPr>
    </w:p>
    <w:p>
      <w:pPr>
        <w:jc w:val="both"/>
        <w:ind w:firstLine="569"/>
        <w:spacing w:after="0" w:line="311" w:lineRule="auto"/>
        <w:rPr>
          <w:sz w:val="20"/>
          <w:szCs w:val="20"/>
          <w:color w:val="auto"/>
        </w:rPr>
      </w:pPr>
      <w:r>
        <w:rPr>
          <w:rFonts w:ascii="Arial" w:cs="Arial" w:eastAsia="Arial" w:hAnsi="Arial"/>
          <w:sz w:val="16"/>
          <w:szCs w:val="16"/>
          <w:color w:val="auto"/>
        </w:rPr>
        <w:t>The Company also owns shifting operations and fleeting facilities for dry cargo barges and tank barges on the Houston Ship Channel and in Freeport and Port Arthur, Texas, and Lake Charles, Louisiana and a shipyard for building towboats and performing routine maintenance near the Houston Ship Channel. Further, the Company owns a two-thirds interest in Osprey Line, L.L.C., which transports project cargoes and cargo containers by barge.</w:t>
      </w:r>
    </w:p>
    <w:p>
      <w:pPr>
        <w:spacing w:after="0" w:line="121"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During the 2023 first nine months, the Company brought back into service 20 inland tank barges, purchased 23 inland tank barges, purchased three newly constructed inland specialty tank barges, and retired 12 inland tank barges. The net result was an increase of 34 inland tank barges and approximately 0.5 million barrels of capacity during the 2023 first nine months.</w:t>
      </w:r>
    </w:p>
    <w:p>
      <w:pPr>
        <w:spacing w:after="0" w:line="142" w:lineRule="exact"/>
        <w:rPr>
          <w:sz w:val="20"/>
          <w:szCs w:val="20"/>
          <w:color w:val="auto"/>
        </w:rPr>
      </w:pPr>
    </w:p>
    <w:p>
      <w:pPr>
        <w:jc w:val="both"/>
        <w:ind w:firstLine="569"/>
        <w:spacing w:after="0" w:line="269" w:lineRule="auto"/>
        <w:rPr>
          <w:sz w:val="20"/>
          <w:szCs w:val="20"/>
          <w:color w:val="auto"/>
        </w:rPr>
      </w:pPr>
      <w:r>
        <w:rPr>
          <w:rFonts w:ascii="Arial" w:cs="Arial" w:eastAsia="Arial" w:hAnsi="Arial"/>
          <w:sz w:val="17"/>
          <w:szCs w:val="17"/>
          <w:color w:val="auto"/>
        </w:rPr>
        <w:t>KMT revenues for the 2023 third quarter and first nine months decreased 1% and increased 6%, respectively, and operating income increased 52% and 91%, respectively, compared to the 2022 third quarter and first nine months. The decrease in revenues for the 2023 third quarter was primarily due to lower tank barge utilization as a result of Illinois River lock closures and several refinery outages, as well as lower fuel rebills in the inland market. The increase in revenues for the first nine months was primarily due to higher term and spot pricing and increased tank barge utilization in the inland and coastal markets. The 2023 and 2022 first quarters were impacted by poor operating conditions including seasonal wind and fog along the Gulf Coast, flooding on the Mississippi River, and various lock closures along the Gulf Intracoastal Waterway resulting in higher delay days. The 2022 first quarter was also impacted by the COVID-19 Omicron variant as increased cases among the Company’s mariners led to crewing challenges, lost revenue and increased operating costs. For both the 2023 third quarter and first nine months, the inland tank barge fleet contributed 82% and the coastal fleet contributed 18% of KMT revenues. For the 2022 third quarter and first nine months, the inland tank barge fleet contributed 80% and 79%, respectively, and the coastal fleet contributed 20% and 21%, respectively, of KMT revenues.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7" w:name="page18"/>
    <w:bookmarkEnd w:id="17"/>
    <w:p>
      <w:pPr>
        <w:jc w:val="both"/>
        <w:ind w:firstLine="569"/>
        <w:spacing w:after="0" w:line="275" w:lineRule="auto"/>
        <w:rPr>
          <w:sz w:val="20"/>
          <w:szCs w:val="20"/>
          <w:color w:val="auto"/>
        </w:rPr>
      </w:pPr>
      <w:r>
        <w:rPr>
          <w:rFonts w:ascii="Arial" w:cs="Arial" w:eastAsia="Arial" w:hAnsi="Arial"/>
          <w:sz w:val="17"/>
          <w:szCs w:val="17"/>
          <w:color w:val="auto"/>
        </w:rPr>
        <w:t>Inland tank barge utilization levels averaged in the low to mid-90% range during the 2023 first quarter, the low 90% range during the 2023 second quarter and the high 80% range during the 2023 third quarter compared to the mid-80% range during the 2022 first quarter and the low 90% range during both the 2022 second and third quarters. The 2023 first nine months reflected increasing activity levels as a result of higher refinery and petrochemical plant utilization, partially offset by Illinois River lock closures and several refinery outages during the 2023 third quarter while the 2022 first nine months were impacted by the COVID-19 Omicron variant as increased cases among the Company’s mariners led to crewing challenges.</w:t>
      </w:r>
    </w:p>
    <w:p>
      <w:pPr>
        <w:spacing w:after="0" w:line="148" w:lineRule="exact"/>
        <w:rPr>
          <w:sz w:val="20"/>
          <w:szCs w:val="20"/>
          <w:color w:val="auto"/>
        </w:rPr>
      </w:pPr>
    </w:p>
    <w:p>
      <w:pPr>
        <w:jc w:val="both"/>
        <w:ind w:firstLine="569"/>
        <w:spacing w:after="0" w:line="311" w:lineRule="auto"/>
        <w:rPr>
          <w:sz w:val="20"/>
          <w:szCs w:val="20"/>
          <w:color w:val="auto"/>
        </w:rPr>
      </w:pPr>
      <w:r>
        <w:rPr>
          <w:rFonts w:ascii="Arial" w:cs="Arial" w:eastAsia="Arial" w:hAnsi="Arial"/>
          <w:sz w:val="16"/>
          <w:szCs w:val="16"/>
          <w:color w:val="auto"/>
        </w:rPr>
        <w:t>Coastal tank barge utilization levels averaged in the mid to high 90% range during both the 2023 first and second quarters and the mid-90% range during the 2023 third quarter compared to the low 90% range during both the 2022 first and second quarters and the low to mid-90% range during the 2022 third quarter. The increase in coastal tank barge utilization during 2023 was primarily due to continued improvements in market and customer demand.</w:t>
      </w:r>
    </w:p>
    <w:p>
      <w:pPr>
        <w:spacing w:after="0" w:line="107"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During both the 2023 third quarter and first nine months, approximately 55% of KMT inland revenues were under term contracts and 45% were spot contract revenues. During both the 2022 third quarter and first nine months, approximately 60% of KMT inland revenues were under term contracts and 40% were spot contract revenues. Inland time charters during the 2023 third quarter and first nine months represented approximately 66% and 63%, respectively, of inland revenues under term contracts compared with 56% and 57% in the 2022 third quarter and first nine months, respectively. During the 2023 third quarter and first nine months, approximately 90% and 85%, respectively, of KMT coastal revenues were under term contracts. During the 2023 third quarter and first nine months, approximately 10% and 15%, respectively, of KMT coastal revenues were under spot contracts. During the 2022 third quarter and first nine months, approximately 65% and 75%, respectively, of KMT coastal revenues were under term contracts and 35% and 25%, respectively, were spot contracts. Coastal time charters represented approximately 90% of coastal revenues under term contracts during both the 2023 and 2022 third quarters and first nine months. Term contracts have contract terms of 12 months or longer, while spot contracts have contract terms of less than 12 months.</w:t>
      </w:r>
    </w:p>
    <w:p>
      <w:pPr>
        <w:spacing w:after="0" w:line="142"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The following table summarizes the average range of pricing changes in term and spot contracts renewed during 2023 compared to contracts renewed during the corresponding quarter of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4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69"/>
        </w:trPr>
        <w:tc>
          <w:tcPr>
            <w:tcW w:w="6540" w:type="dxa"/>
            <w:vAlign w:val="bottom"/>
          </w:tcPr>
          <w:p>
            <w:pPr>
              <w:spacing w:after="0"/>
              <w:rPr>
                <w:sz w:val="14"/>
                <w:szCs w:val="14"/>
                <w:color w:val="auto"/>
              </w:rPr>
            </w:pPr>
          </w:p>
        </w:tc>
        <w:tc>
          <w:tcPr>
            <w:tcW w:w="14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March 31, 2023</w:t>
            </w:r>
          </w:p>
        </w:tc>
        <w:tc>
          <w:tcPr>
            <w:tcW w:w="160" w:type="dxa"/>
            <w:vAlign w:val="bottom"/>
          </w:tcPr>
          <w:p>
            <w:pPr>
              <w:spacing w:after="0"/>
              <w:rPr>
                <w:sz w:val="14"/>
                <w:szCs w:val="14"/>
                <w:color w:val="auto"/>
              </w:rPr>
            </w:pPr>
          </w:p>
        </w:tc>
        <w:tc>
          <w:tcPr>
            <w:tcW w:w="14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June 30, 2023</w:t>
            </w:r>
          </w:p>
        </w:tc>
        <w:tc>
          <w:tcPr>
            <w:tcW w:w="140" w:type="dxa"/>
            <w:vAlign w:val="bottom"/>
          </w:tcPr>
          <w:p>
            <w:pPr>
              <w:spacing w:after="0"/>
              <w:rPr>
                <w:sz w:val="14"/>
                <w:szCs w:val="14"/>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September 30, 2023</w:t>
            </w:r>
          </w:p>
        </w:tc>
      </w:tr>
      <w:tr>
        <w:trPr>
          <w:trHeight w:val="236"/>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Inland market:</w:t>
            </w:r>
          </w:p>
        </w:tc>
        <w:tc>
          <w:tcPr>
            <w:tcW w:w="1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r>
      <w:tr>
        <w:trPr>
          <w:trHeight w:val="236"/>
        </w:trPr>
        <w:tc>
          <w:tcPr>
            <w:tcW w:w="6540" w:type="dxa"/>
            <w:vAlign w:val="bottom"/>
          </w:tcPr>
          <w:p>
            <w:pPr>
              <w:jc w:val="center"/>
              <w:ind w:right="5030"/>
              <w:spacing w:after="0"/>
              <w:rPr>
                <w:sz w:val="20"/>
                <w:szCs w:val="20"/>
                <w:color w:val="auto"/>
              </w:rPr>
            </w:pPr>
            <w:r>
              <w:rPr>
                <w:rFonts w:ascii="Arial" w:cs="Arial" w:eastAsia="Arial" w:hAnsi="Arial"/>
                <w:sz w:val="18"/>
                <w:szCs w:val="18"/>
                <w:color w:val="auto"/>
                <w:w w:val="88"/>
              </w:rPr>
              <w:t>Term increase</w:t>
            </w:r>
          </w:p>
        </w:tc>
        <w:tc>
          <w:tcPr>
            <w:tcW w:w="1460" w:type="dxa"/>
            <w:vAlign w:val="bottom"/>
          </w:tcPr>
          <w:p>
            <w:pPr>
              <w:ind w:left="620"/>
              <w:spacing w:after="0"/>
              <w:rPr>
                <w:sz w:val="20"/>
                <w:szCs w:val="20"/>
                <w:color w:val="auto"/>
              </w:rPr>
            </w:pPr>
            <w:r>
              <w:rPr>
                <w:rFonts w:ascii="Arial" w:cs="Arial" w:eastAsia="Arial" w:hAnsi="Arial"/>
                <w:sz w:val="18"/>
                <w:szCs w:val="18"/>
                <w:color w:val="auto"/>
                <w:w w:val="89"/>
              </w:rPr>
              <w:t>10% – 12%</w:t>
            </w:r>
          </w:p>
        </w:tc>
        <w:tc>
          <w:tcPr>
            <w:tcW w:w="160" w:type="dxa"/>
            <w:vAlign w:val="bottom"/>
          </w:tcPr>
          <w:p>
            <w:pPr>
              <w:spacing w:after="0"/>
              <w:rPr>
                <w:sz w:val="20"/>
                <w:szCs w:val="20"/>
                <w:color w:val="auto"/>
              </w:rPr>
            </w:pPr>
          </w:p>
        </w:tc>
        <w:tc>
          <w:tcPr>
            <w:tcW w:w="1480" w:type="dxa"/>
            <w:vAlign w:val="bottom"/>
          </w:tcPr>
          <w:p>
            <w:pPr>
              <w:ind w:left="620"/>
              <w:spacing w:after="0"/>
              <w:rPr>
                <w:sz w:val="20"/>
                <w:szCs w:val="20"/>
                <w:color w:val="auto"/>
              </w:rPr>
            </w:pPr>
            <w:r>
              <w:rPr>
                <w:rFonts w:ascii="Arial" w:cs="Arial" w:eastAsia="Arial" w:hAnsi="Arial"/>
                <w:sz w:val="18"/>
                <w:szCs w:val="18"/>
                <w:color w:val="auto"/>
                <w:w w:val="91"/>
              </w:rPr>
              <w:t>10% – 12%</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 – 9%</w:t>
            </w:r>
          </w:p>
        </w:tc>
      </w:tr>
      <w:tr>
        <w:trPr>
          <w:trHeight w:val="249"/>
        </w:trPr>
        <w:tc>
          <w:tcPr>
            <w:tcW w:w="6540" w:type="dxa"/>
            <w:vAlign w:val="bottom"/>
            <w:shd w:val="clear" w:color="auto" w:fill="CFF0FC"/>
          </w:tcPr>
          <w:p>
            <w:pPr>
              <w:jc w:val="center"/>
              <w:ind w:right="5090"/>
              <w:spacing w:after="0"/>
              <w:rPr>
                <w:sz w:val="20"/>
                <w:szCs w:val="20"/>
                <w:color w:val="auto"/>
              </w:rPr>
            </w:pPr>
            <w:r>
              <w:rPr>
                <w:rFonts w:ascii="Arial" w:cs="Arial" w:eastAsia="Arial" w:hAnsi="Arial"/>
                <w:sz w:val="18"/>
                <w:szCs w:val="18"/>
                <w:color w:val="auto"/>
                <w:w w:val="87"/>
              </w:rPr>
              <w:t>Spot increase</w:t>
            </w:r>
          </w:p>
        </w:tc>
        <w:tc>
          <w:tcPr>
            <w:tcW w:w="1460" w:type="dxa"/>
            <w:vAlign w:val="bottom"/>
            <w:shd w:val="clear" w:color="auto" w:fill="CFF0FC"/>
          </w:tcPr>
          <w:p>
            <w:pPr>
              <w:ind w:left="620"/>
              <w:spacing w:after="0"/>
              <w:rPr>
                <w:sz w:val="20"/>
                <w:szCs w:val="20"/>
                <w:color w:val="auto"/>
              </w:rPr>
            </w:pPr>
            <w:r>
              <w:rPr>
                <w:rFonts w:ascii="Arial" w:cs="Arial" w:eastAsia="Arial" w:hAnsi="Arial"/>
                <w:sz w:val="18"/>
                <w:szCs w:val="18"/>
                <w:color w:val="auto"/>
                <w:w w:val="89"/>
              </w:rPr>
              <w:t>23% – 26%</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1"/>
              </w:rPr>
              <w:t>26% – 29%</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 – 16%</w:t>
            </w:r>
          </w:p>
        </w:tc>
      </w:tr>
      <w:tr>
        <w:trPr>
          <w:trHeight w:val="236"/>
        </w:trPr>
        <w:tc>
          <w:tcPr>
            <w:tcW w:w="6540" w:type="dxa"/>
            <w:vAlign w:val="bottom"/>
          </w:tcPr>
          <w:p>
            <w:pPr>
              <w:jc w:val="center"/>
              <w:ind w:right="5030"/>
              <w:spacing w:after="0"/>
              <w:rPr>
                <w:sz w:val="20"/>
                <w:szCs w:val="20"/>
                <w:color w:val="auto"/>
              </w:rPr>
            </w:pPr>
            <w:r>
              <w:rPr>
                <w:rFonts w:ascii="Arial" w:cs="Arial" w:eastAsia="Arial" w:hAnsi="Arial"/>
                <w:sz w:val="18"/>
                <w:szCs w:val="18"/>
                <w:color w:val="auto"/>
                <w:w w:val="90"/>
              </w:rPr>
              <w:t>Coastal market (a):</w:t>
            </w: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9"/>
        </w:trPr>
        <w:tc>
          <w:tcPr>
            <w:tcW w:w="6540" w:type="dxa"/>
            <w:vAlign w:val="bottom"/>
            <w:shd w:val="clear" w:color="auto" w:fill="CFF0FC"/>
          </w:tcPr>
          <w:p>
            <w:pPr>
              <w:jc w:val="center"/>
              <w:ind w:right="5030"/>
              <w:spacing w:after="0"/>
              <w:rPr>
                <w:sz w:val="20"/>
                <w:szCs w:val="20"/>
                <w:color w:val="auto"/>
              </w:rPr>
            </w:pPr>
            <w:r>
              <w:rPr>
                <w:rFonts w:ascii="Arial" w:cs="Arial" w:eastAsia="Arial" w:hAnsi="Arial"/>
                <w:sz w:val="18"/>
                <w:szCs w:val="18"/>
                <w:color w:val="auto"/>
                <w:w w:val="88"/>
              </w:rPr>
              <w:t>Term increase</w:t>
            </w:r>
          </w:p>
        </w:tc>
        <w:tc>
          <w:tcPr>
            <w:tcW w:w="1460" w:type="dxa"/>
            <w:vAlign w:val="bottom"/>
            <w:shd w:val="clear" w:color="auto" w:fill="CFF0FC"/>
          </w:tcPr>
          <w:p>
            <w:pPr>
              <w:ind w:left="620"/>
              <w:spacing w:after="0"/>
              <w:rPr>
                <w:sz w:val="20"/>
                <w:szCs w:val="20"/>
                <w:color w:val="auto"/>
              </w:rPr>
            </w:pPr>
            <w:r>
              <w:rPr>
                <w:rFonts w:ascii="Arial" w:cs="Arial" w:eastAsia="Arial" w:hAnsi="Arial"/>
                <w:sz w:val="18"/>
                <w:szCs w:val="18"/>
                <w:color w:val="auto"/>
                <w:w w:val="89"/>
              </w:rPr>
              <w:t>10% – 12%</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1"/>
              </w:rPr>
              <w:t>16% – 18%</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 12%</w:t>
            </w:r>
          </w:p>
        </w:tc>
      </w:tr>
      <w:tr>
        <w:trPr>
          <w:trHeight w:val="230"/>
        </w:trPr>
        <w:tc>
          <w:tcPr>
            <w:tcW w:w="6540" w:type="dxa"/>
            <w:vAlign w:val="bottom"/>
          </w:tcPr>
          <w:p>
            <w:pPr>
              <w:jc w:val="center"/>
              <w:ind w:right="5090"/>
              <w:spacing w:after="0"/>
              <w:rPr>
                <w:sz w:val="20"/>
                <w:szCs w:val="20"/>
                <w:color w:val="auto"/>
              </w:rPr>
            </w:pPr>
            <w:r>
              <w:rPr>
                <w:rFonts w:ascii="Arial" w:cs="Arial" w:eastAsia="Arial" w:hAnsi="Arial"/>
                <w:sz w:val="18"/>
                <w:szCs w:val="18"/>
                <w:color w:val="auto"/>
                <w:w w:val="87"/>
              </w:rPr>
              <w:t>Spot increase</w:t>
            </w:r>
          </w:p>
        </w:tc>
        <w:tc>
          <w:tcPr>
            <w:tcW w:w="1460" w:type="dxa"/>
            <w:vAlign w:val="bottom"/>
          </w:tcPr>
          <w:p>
            <w:pPr>
              <w:ind w:left="620"/>
              <w:spacing w:after="0"/>
              <w:rPr>
                <w:sz w:val="20"/>
                <w:szCs w:val="20"/>
                <w:color w:val="auto"/>
              </w:rPr>
            </w:pPr>
            <w:r>
              <w:rPr>
                <w:rFonts w:ascii="Arial" w:cs="Arial" w:eastAsia="Arial" w:hAnsi="Arial"/>
                <w:sz w:val="18"/>
                <w:szCs w:val="18"/>
                <w:color w:val="auto"/>
                <w:w w:val="89"/>
              </w:rPr>
              <w:t>20% – 23%</w:t>
            </w:r>
          </w:p>
        </w:tc>
        <w:tc>
          <w:tcPr>
            <w:tcW w:w="160" w:type="dxa"/>
            <w:vAlign w:val="bottom"/>
          </w:tcPr>
          <w:p>
            <w:pPr>
              <w:spacing w:after="0"/>
              <w:rPr>
                <w:sz w:val="20"/>
                <w:szCs w:val="20"/>
                <w:color w:val="auto"/>
              </w:rPr>
            </w:pPr>
          </w:p>
        </w:tc>
        <w:tc>
          <w:tcPr>
            <w:tcW w:w="1480" w:type="dxa"/>
            <w:vAlign w:val="bottom"/>
          </w:tcPr>
          <w:p>
            <w:pPr>
              <w:ind w:left="620"/>
              <w:spacing w:after="0"/>
              <w:rPr>
                <w:sz w:val="20"/>
                <w:szCs w:val="20"/>
                <w:color w:val="auto"/>
              </w:rPr>
            </w:pPr>
            <w:r>
              <w:rPr>
                <w:rFonts w:ascii="Arial" w:cs="Arial" w:eastAsia="Arial" w:hAnsi="Arial"/>
                <w:sz w:val="18"/>
                <w:szCs w:val="18"/>
                <w:color w:val="auto"/>
                <w:w w:val="91"/>
              </w:rPr>
              <w:t>25% – 28%</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 – 33%</w:t>
            </w:r>
          </w:p>
        </w:tc>
      </w:tr>
    </w:tbl>
    <w:p>
      <w:pPr>
        <w:spacing w:after="0" w:line="187" w:lineRule="exact"/>
        <w:rPr>
          <w:sz w:val="20"/>
          <w:szCs w:val="20"/>
          <w:color w:val="auto"/>
        </w:rPr>
      </w:pPr>
    </w:p>
    <w:p>
      <w:pPr>
        <w:ind w:left="940" w:hanging="371"/>
        <w:spacing w:after="0" w:line="277" w:lineRule="auto"/>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Spot and term contract pricing in the coastal market are contingent on various factors including geographic location, vessel capacity, vessel type, and product serviced.</w:t>
      </w:r>
    </w:p>
    <w:p>
      <w:pPr>
        <w:spacing w:after="0" w:line="129"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Effective January 1, 2023, annual escalators for labor and the producer price index on a number of inland multi-year contracts resulted in rate increases on those contracts of approximately 9%, excluding fuel.</w:t>
      </w:r>
    </w:p>
    <w:p>
      <w:pPr>
        <w:spacing w:after="0" w:line="129"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KMT operating margin was 14.8% and 13.5% for the 2023 third quarter and first nine months, respectively, compared to 9.6% and 7.5% for the 2022 third quarter and first nine months,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Services</w:t>
      </w:r>
    </w:p>
    <w:p>
      <w:pPr>
        <w:spacing w:after="0" w:line="188"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KDS sells genuine replacement parts, provides service mechanics to overhaul and repair engines, transmissions, reduction gears and related oilfield services equipment, rebuilds component parts or entire diesel engines, transmissions and reduction gears, and related equipment used in oilfield services, marine, power generation, on-highway and other industrial applications. The Company also rents equipment including generators, industrial compressors, high capacity lift trucks, and refrigeration trailers for use in a variety of industrial markets, manufactures and remanufactures oilfield service equipment, including pressure pumping units, and manufactures cementing and pumping equipment as well as coil tubing and well intervention equipment, electric power generation equipment, specialized electric distribution and control equipment, and high capacity energy storage/battery systems for oilfield service and railroad customers.</w:t>
      </w:r>
    </w:p>
    <w:p>
      <w:pPr>
        <w:spacing w:after="0" w:line="152"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For the 2023 third quarter and first nine months, KDS generated 44% and 45%, respectively, of the Company’s revenues, of which 80% and 79%, respectively, were generated from service and parts and 20% and 21%, respectively, from manufacturing. The results of KDS are largely influenced by the economic cycles of the oil and gas, marine, power generation, on-highway, and other related industrial markets.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8" w:name="page19"/>
    <w:bookmarkEnd w:id="18"/>
    <w:p>
      <w:pPr>
        <w:jc w:val="both"/>
        <w:ind w:firstLine="569"/>
        <w:spacing w:after="0" w:line="273" w:lineRule="auto"/>
        <w:rPr>
          <w:sz w:val="20"/>
          <w:szCs w:val="20"/>
          <w:color w:val="auto"/>
        </w:rPr>
      </w:pPr>
      <w:r>
        <w:rPr>
          <w:rFonts w:ascii="Arial" w:cs="Arial" w:eastAsia="Arial" w:hAnsi="Arial"/>
          <w:sz w:val="17"/>
          <w:szCs w:val="17"/>
          <w:color w:val="auto"/>
        </w:rPr>
        <w:t>KDS revenues for the 2023 third quarter and first nine months increased 7% and 19%, respectively, and operating income increased 49% and 72%, respectively, compared with the 2022 third quarter and first nine months. In the commercial and industrial market, the increases for the 2023 third quarter and first nine months were primarily attributable to strong economic activity across the United States which resulted in higher business levels in the marine and on-highway businesses. Increased product sales in Thermo King also contributed favorably to the 2023 third quarter and first nine months results. These increases were partially offset by continuing supply chain constraints and delays. For the 2023 third quarter and first nine months, the commercial and industrial market contributed 63% and 57%, respectively, of KDS revenues.</w:t>
      </w:r>
    </w:p>
    <w:p>
      <w:pPr>
        <w:spacing w:after="0" w:line="149" w:lineRule="exact"/>
        <w:rPr>
          <w:sz w:val="20"/>
          <w:szCs w:val="20"/>
          <w:color w:val="auto"/>
        </w:rPr>
      </w:pPr>
    </w:p>
    <w:p>
      <w:pPr>
        <w:jc w:val="both"/>
        <w:ind w:firstLine="569"/>
        <w:spacing w:after="0" w:line="256" w:lineRule="auto"/>
        <w:rPr>
          <w:sz w:val="20"/>
          <w:szCs w:val="20"/>
          <w:color w:val="auto"/>
        </w:rPr>
      </w:pPr>
      <w:r>
        <w:rPr>
          <w:rFonts w:ascii="Arial" w:cs="Arial" w:eastAsia="Arial" w:hAnsi="Arial"/>
          <w:sz w:val="18"/>
          <w:szCs w:val="18"/>
          <w:color w:val="auto"/>
        </w:rPr>
        <w:t>In the oil and gas market, revenues and operating income improved compared to the 2022 third quarter and first nine months due to higher oilfield activity which resulted in increased demand for new transmissions and parts in the distribution business. Although the manufacturing business was impacted by ongoing supply chain delays, the business continued to experience increased orders and deliveries of new environmentally friendly pressure pumping equipment and power generation equipment for electric fracturing. For the 2023 third quarter and first nine months, the oil and gas market contributed 37% and 43%, respectively, of KDS revenues.</w:t>
      </w:r>
    </w:p>
    <w:p>
      <w:pPr>
        <w:spacing w:after="0" w:line="150"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KDS operating margin was 9.9% and 8.4% for the 2023 third quarter and first nine months, respectively, compared to 7.1% and 5.8% for the 2022 third quarter and first nine months,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firstLine="569"/>
        <w:spacing w:after="0" w:line="275" w:lineRule="auto"/>
        <w:rPr>
          <w:sz w:val="20"/>
          <w:szCs w:val="20"/>
          <w:color w:val="auto"/>
        </w:rPr>
      </w:pPr>
      <w:r>
        <w:rPr>
          <w:rFonts w:ascii="Arial" w:cs="Arial" w:eastAsia="Arial" w:hAnsi="Arial"/>
          <w:sz w:val="17"/>
          <w:szCs w:val="17"/>
          <w:color w:val="auto"/>
        </w:rPr>
        <w:t>Overall, the Company expects both KMT and KDS to deliver improved financial results in 2023 and going into 2024. In KMT, refinery and petrochemical activity levels remain high. This is favorable for pricing, which continues to increase, and for the Company’s barge utilization, which is strong in both inland and coastal markets. In KDS, demand for the Company’s products and services continues to grow despite ongoing supply chain constraints and delays which could impact the Company’s product deliveries. The Company remains mindful of the ever-changing economic landscape related to the impact of higher interest rates, and possible recessionary headwinds as it moves into 2024.</w:t>
      </w:r>
    </w:p>
    <w:p>
      <w:pPr>
        <w:spacing w:after="0" w:line="188" w:lineRule="exact"/>
        <w:rPr>
          <w:sz w:val="20"/>
          <w:szCs w:val="20"/>
          <w:color w:val="auto"/>
        </w:rPr>
      </w:pPr>
    </w:p>
    <w:p>
      <w:pPr>
        <w:jc w:val="both"/>
        <w:ind w:firstLine="569"/>
        <w:spacing w:after="0" w:line="268" w:lineRule="auto"/>
        <w:rPr>
          <w:sz w:val="20"/>
          <w:szCs w:val="20"/>
          <w:color w:val="auto"/>
        </w:rPr>
      </w:pPr>
      <w:r>
        <w:rPr>
          <w:rFonts w:ascii="Arial" w:cs="Arial" w:eastAsia="Arial" w:hAnsi="Arial"/>
          <w:sz w:val="17"/>
          <w:szCs w:val="17"/>
          <w:color w:val="auto"/>
        </w:rPr>
        <w:t>In the inland marine transportation market, the Company anticipates continued gradual upward movement in pricing for the remainder of 2023 and into 2024 as favorable conditions are expected to continue, driven by the combination of high refinery and petrochemical plant utilization and minimal new barge construction across the industry. As a result, the Company expects further pricing improvements in the spot market, which currently represents approximately 45% of inland revenues. Term contracts are also expected to continue to reset higher as a result of improved market conditions. These price increases are also critical in helping address the impact of persistent inflationary pressures in some areas of the Company’s business. The Company expects these strengths to be partially offset in the 2023 fourth quarter by increasing delay days due to normal seasonal weather conditions, lock delays, and low water conditions on the Mississippi River. In coastal marine, revenues and operating margins are impacted this year by an approximate doubling of planned shipyard maintenance days including ballast water treatment installations on certain vessels. The Company expects steady customer demand through the balance of the year with barge utilization in the low to mid-90% range. Rates are expected to continue improving as the availability of equipment is reduced across the industry due to improved economic conditions and a heavier than normal maintenance cycle. For the fourth quarter, coastal revenues are expected to increase modestly compared to 2023 third quarter as the Company continues to progress through major shipyards with the timing of some possibly shifting into early 2024.</w:t>
      </w:r>
    </w:p>
    <w:p>
      <w:pPr>
        <w:spacing w:after="0" w:line="199" w:lineRule="exact"/>
        <w:rPr>
          <w:sz w:val="20"/>
          <w:szCs w:val="20"/>
          <w:color w:val="auto"/>
        </w:rPr>
      </w:pPr>
    </w:p>
    <w:p>
      <w:pPr>
        <w:jc w:val="both"/>
        <w:ind w:firstLine="569"/>
        <w:spacing w:after="0" w:line="253" w:lineRule="auto"/>
        <w:rPr>
          <w:sz w:val="20"/>
          <w:szCs w:val="20"/>
          <w:color w:val="auto"/>
        </w:rPr>
      </w:pPr>
      <w:r>
        <w:rPr>
          <w:rFonts w:ascii="Arial" w:cs="Arial" w:eastAsia="Arial" w:hAnsi="Arial"/>
          <w:sz w:val="18"/>
          <w:szCs w:val="18"/>
          <w:color w:val="auto"/>
        </w:rPr>
        <w:t>KDS results are largely influenced by the cycles of the oil and gas, marine, power generation, on-highway and other related industrial markets. Stable demand in commercial and industrial and favorable oilfield fundamentals are expected to continue throughout the remainder of 2023 and into 2024. In commercial and industrial, steady markets are expected to remain in the fourth quarter with incremental activity in power generation, marine repair, and on-highway. This activity is expected to be partially offset by lower rental equipment activity as the hurricane season winds down. In the oil and gas market, despite the near-term volatility in commodity prices and rig counts, the Company expects continued demand for manufacturing as well as for OEM products, parts, and services. Within manufacturing, the Company expects demand for environmentally friendly pressure pumping and electric fracturing power generation equipment to remain strong, with new orders and increased deliveries of new equipment for the remainder of 2023 and into 2024. Supply chain issues and long lead times are expected to persist in the near-term, contributing to some volatility with the potential for deliveries of some products to shift into 2024.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88" w:lineRule="exact"/>
        <w:rPr>
          <w:sz w:val="20"/>
          <w:szCs w:val="20"/>
          <w:color w:val="auto"/>
        </w:rPr>
      </w:pPr>
    </w:p>
    <w:p>
      <w:pPr>
        <w:jc w:val="both"/>
        <w:ind w:firstLine="569"/>
        <w:spacing w:after="0" w:line="311" w:lineRule="auto"/>
        <w:rPr>
          <w:sz w:val="20"/>
          <w:szCs w:val="20"/>
          <w:color w:val="auto"/>
        </w:rPr>
      </w:pPr>
      <w:r>
        <w:rPr>
          <w:rFonts w:ascii="Arial" w:cs="Arial" w:eastAsia="Arial" w:hAnsi="Arial"/>
          <w:sz w:val="16"/>
          <w:szCs w:val="16"/>
          <w:color w:val="auto"/>
        </w:rPr>
        <w:t>On July 14, 2023, the Company purchased 23 inland tank barges with a total capacity of 265,000 barrels from an undisclosed seller for $37 million in cash. The 23 tank barges transport petrochemicals and refined products on the Mississippi River System and the Gulf Intracoastal Waterway. The average age of the 23 barges was 14 years. Financing of the equipment acquisition was through borrowings under the Company’s revolving credit facility.</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9" w:name="page20"/>
    <w:bookmarkEnd w:id="19"/>
    <w:p>
      <w:pPr>
        <w:jc w:val="both"/>
        <w:ind w:right="60" w:firstLine="569"/>
        <w:spacing w:after="0" w:line="263" w:lineRule="auto"/>
        <w:rPr>
          <w:sz w:val="20"/>
          <w:szCs w:val="20"/>
          <w:color w:val="auto"/>
        </w:rPr>
      </w:pPr>
      <w:r>
        <w:rPr>
          <w:rFonts w:ascii="Arial" w:cs="Arial" w:eastAsia="Arial" w:hAnsi="Arial"/>
          <w:sz w:val="18"/>
          <w:szCs w:val="18"/>
          <w:color w:val="auto"/>
        </w:rPr>
        <w:t>The Company purchased four inland tank barges from a leasing company for $0.5 million in cash during the 2023 third quarter. The Company had been leasing the barges prior to the purchase. Financing of the equipment acquisition was through borrowings under the Company’s revolving credit facility.</w:t>
      </w:r>
    </w:p>
    <w:p>
      <w:pPr>
        <w:spacing w:after="0" w:line="156" w:lineRule="exact"/>
        <w:rPr>
          <w:sz w:val="20"/>
          <w:szCs w:val="20"/>
          <w:color w:val="auto"/>
        </w:rPr>
      </w:pPr>
    </w:p>
    <w:p>
      <w:pPr>
        <w:jc w:val="both"/>
        <w:ind w:right="80" w:firstLine="569"/>
        <w:spacing w:after="0" w:line="277" w:lineRule="auto"/>
        <w:rPr>
          <w:sz w:val="20"/>
          <w:szCs w:val="20"/>
          <w:color w:val="auto"/>
        </w:rPr>
      </w:pPr>
      <w:r>
        <w:rPr>
          <w:rFonts w:ascii="Arial" w:cs="Arial" w:eastAsia="Arial" w:hAnsi="Arial"/>
          <w:sz w:val="18"/>
          <w:szCs w:val="18"/>
          <w:color w:val="auto"/>
        </w:rPr>
        <w:t>On March 31, 2022, the Company paid $3.9 million in cash to purchase assets of a gearbox repair company in KDS. Financing of the purchases was through cash provided by operating activities.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the Company’s KMT and KDS revenues and the percentage of each to total revenues (dollars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Three Months Ended September 30,</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10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10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106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118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080" w:type="dxa"/>
            <w:vAlign w:val="bottom"/>
          </w:tcPr>
          <w:p>
            <w:pPr>
              <w:jc w:val="right"/>
              <w:ind w:right="39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820" w:type="dxa"/>
            <w:vAlign w:val="bottom"/>
          </w:tcPr>
          <w:p>
            <w:pPr>
              <w:ind w:left="20"/>
              <w:spacing w:after="0"/>
              <w:rPr>
                <w:sz w:val="20"/>
                <w:szCs w:val="20"/>
                <w:color w:val="auto"/>
              </w:rPr>
            </w:pPr>
            <w:r>
              <w:rPr>
                <w:rFonts w:ascii="Arial" w:cs="Arial" w:eastAsia="Arial" w:hAnsi="Arial"/>
                <w:sz w:val="18"/>
                <w:szCs w:val="18"/>
                <w:color w:val="auto"/>
              </w:rPr>
              <w:t>Marine transportation</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429,885</w:t>
            </w:r>
          </w:p>
        </w:tc>
        <w:tc>
          <w:tcPr>
            <w:tcW w:w="2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433,040</w:t>
            </w:r>
          </w:p>
        </w:tc>
        <w:tc>
          <w:tcPr>
            <w:tcW w:w="2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1,269,342</w:t>
            </w:r>
          </w:p>
        </w:tc>
        <w:tc>
          <w:tcPr>
            <w:tcW w:w="2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1,194,231</w:t>
            </w:r>
          </w:p>
        </w:tc>
        <w:tc>
          <w:tcPr>
            <w:tcW w:w="22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7"/>
        </w:trPr>
        <w:tc>
          <w:tcPr>
            <w:tcW w:w="2040" w:type="dxa"/>
            <w:vAlign w:val="bottom"/>
            <w:gridSpan w:val="2"/>
          </w:tcPr>
          <w:p>
            <w:pPr>
              <w:ind w:left="20"/>
              <w:spacing w:after="0"/>
              <w:rPr>
                <w:sz w:val="20"/>
                <w:szCs w:val="20"/>
                <w:color w:val="auto"/>
              </w:rPr>
            </w:pPr>
            <w:r>
              <w:rPr>
                <w:rFonts w:ascii="Arial" w:cs="Arial" w:eastAsia="Arial" w:hAnsi="Arial"/>
                <w:sz w:val="18"/>
                <w:szCs w:val="18"/>
                <w:color w:val="auto"/>
              </w:rPr>
              <w:t>Distribution and</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334,887</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312,803</w:t>
            </w: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7"/>
              </w:rPr>
              <w:t>1,023,122</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860,358</w:t>
            </w:r>
          </w:p>
        </w:tc>
        <w:tc>
          <w:tcPr>
            <w:tcW w:w="22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ind w:left="20"/>
              <w:spacing w:after="0"/>
              <w:rPr>
                <w:sz w:val="20"/>
                <w:szCs w:val="20"/>
                <w:color w:val="auto"/>
              </w:rPr>
            </w:pPr>
            <w:r>
              <w:rPr>
                <w:rFonts w:ascii="Arial" w:cs="Arial" w:eastAsia="Arial" w:hAnsi="Arial"/>
                <w:sz w:val="18"/>
                <w:szCs w:val="18"/>
                <w:color w:val="auto"/>
              </w:rPr>
              <w:t>services</w:t>
            </w:r>
          </w:p>
        </w:tc>
        <w:tc>
          <w:tcPr>
            <w:tcW w:w="780" w:type="dxa"/>
            <w:vAlign w:val="bottom"/>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764,772</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745,843</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2,292,464</w:t>
            </w:r>
          </w:p>
        </w:tc>
        <w:tc>
          <w:tcPr>
            <w:tcW w:w="2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2,054,589</w:t>
            </w:r>
          </w:p>
        </w:tc>
        <w:tc>
          <w:tcPr>
            <w:tcW w:w="2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-624205</wp:posOffset>
            </wp:positionV>
            <wp:extent cx="7132320"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KMT revenues, costs and expenses, operating income, and operating margin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2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00" w:type="dxa"/>
            <w:vAlign w:val="bottom"/>
            <w:gridSpan w:val="8"/>
          </w:tcPr>
          <w:p>
            <w:pPr>
              <w:jc w:val="right"/>
              <w:ind w:right="9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w w:val="97"/>
              </w:rPr>
              <w:t>% Change</w:t>
            </w:r>
          </w:p>
        </w:tc>
        <w:tc>
          <w:tcPr>
            <w:tcW w:w="20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360" w:type="dxa"/>
            <w:vAlign w:val="bottom"/>
          </w:tcPr>
          <w:p>
            <w:pPr>
              <w:ind w:left="20"/>
              <w:spacing w:after="0"/>
              <w:rPr>
                <w:sz w:val="20"/>
                <w:szCs w:val="20"/>
                <w:color w:val="auto"/>
              </w:rPr>
            </w:pPr>
            <w:r>
              <w:rPr>
                <w:rFonts w:ascii="Arial" w:cs="Arial" w:eastAsia="Arial" w:hAnsi="Arial"/>
                <w:sz w:val="18"/>
                <w:szCs w:val="18"/>
                <w:color w:val="auto"/>
              </w:rPr>
              <w:t>Marine transportation revenues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429,885</w:t>
            </w:r>
          </w:p>
        </w:tc>
        <w:tc>
          <w:tcPr>
            <w:tcW w:w="26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433,040</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1,269,342</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1,194,231</w:t>
            </w:r>
          </w:p>
        </w:tc>
        <w:tc>
          <w:tcPr>
            <w:tcW w:w="22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6"/>
        </w:trPr>
        <w:tc>
          <w:tcPr>
            <w:tcW w:w="3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360" w:type="dxa"/>
            <w:vAlign w:val="bottom"/>
          </w:tcPr>
          <w:p>
            <w:pPr>
              <w:ind w:left="200"/>
              <w:spacing w:after="0"/>
              <w:rPr>
                <w:sz w:val="20"/>
                <w:szCs w:val="20"/>
                <w:color w:val="auto"/>
              </w:rPr>
            </w:pPr>
            <w:r>
              <w:rPr>
                <w:rFonts w:ascii="Arial" w:cs="Arial" w:eastAsia="Arial" w:hAnsi="Arial"/>
                <w:sz w:val="18"/>
                <w:szCs w:val="18"/>
                <w:color w:val="auto"/>
              </w:rPr>
              <w:t>Costs of sales and operating expenses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278,979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306,817</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w w:val="96"/>
              </w:rPr>
              <w:t>(9 )</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836,620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855,519</w:t>
            </w:r>
          </w:p>
        </w:tc>
        <w:tc>
          <w:tcPr>
            <w:tcW w:w="22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32,794</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101,592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93,424</w:t>
            </w: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360" w:type="dxa"/>
            <w:vAlign w:val="bottom"/>
          </w:tcPr>
          <w:p>
            <w:pPr>
              <w:ind w:left="200"/>
              <w:spacing w:after="0"/>
              <w:rPr>
                <w:sz w:val="20"/>
                <w:szCs w:val="20"/>
                <w:color w:val="auto"/>
              </w:rPr>
            </w:pPr>
            <w:r>
              <w:rPr>
                <w:rFonts w:ascii="Arial" w:cs="Arial" w:eastAsia="Arial" w:hAnsi="Arial"/>
                <w:sz w:val="18"/>
                <w:szCs w:val="18"/>
                <w:color w:val="auto"/>
              </w:rPr>
              <w:t>Taxes, other than on income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7,783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7,346</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23,052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23,156</w:t>
            </w:r>
          </w:p>
        </w:tc>
        <w:tc>
          <w:tcPr>
            <w:tcW w:w="2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46,656</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44,370</w:t>
            </w:r>
          </w:p>
        </w:tc>
        <w:tc>
          <w:tcPr>
            <w:tcW w:w="2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137,324</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132,667</w:t>
            </w:r>
          </w:p>
        </w:tc>
        <w:tc>
          <w:tcPr>
            <w:tcW w:w="2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366,418</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391,327</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w w:val="96"/>
              </w:rPr>
              <w:t>(6 )</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1,098,588</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1,104,766</w:t>
            </w:r>
          </w:p>
        </w:tc>
        <w:tc>
          <w:tcPr>
            <w:tcW w:w="22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3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63,467</w:t>
            </w:r>
          </w:p>
        </w:tc>
        <w:tc>
          <w:tcPr>
            <w:tcW w:w="26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41,713</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7"/>
              </w:rPr>
              <w:t>52 %</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170,754</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89,465</w:t>
            </w:r>
          </w:p>
        </w:tc>
        <w:tc>
          <w:tcPr>
            <w:tcW w:w="22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0"/>
        </w:trPr>
        <w:tc>
          <w:tcPr>
            <w:tcW w:w="3360" w:type="dxa"/>
            <w:vAlign w:val="bottom"/>
            <w:vMerge w:val="restart"/>
          </w:tcPr>
          <w:p>
            <w:pPr>
              <w:ind w:left="20"/>
              <w:spacing w:after="0"/>
              <w:rPr>
                <w:sz w:val="20"/>
                <w:szCs w:val="20"/>
                <w:color w:val="auto"/>
              </w:rPr>
            </w:pPr>
            <w:r>
              <w:rPr>
                <w:rFonts w:ascii="Arial" w:cs="Arial" w:eastAsia="Arial" w:hAnsi="Arial"/>
                <w:sz w:val="18"/>
                <w:szCs w:val="18"/>
                <w:color w:val="auto"/>
              </w:rPr>
              <w:t>Operating margins</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color w:val="auto"/>
                <w:highlight w:val="white"/>
              </w:rPr>
              <w:t>%</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color w:val="auto"/>
                <w:highlight w:val="white"/>
              </w:rPr>
              <w: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color w:val="auto"/>
                <w:highlight w:val="white"/>
              </w:rPr>
              <w:t>%</w:t>
            </w: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color w:val="auto"/>
                <w:highlight w:val="white"/>
              </w:rPr>
              <w: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-1617345</wp:posOffset>
            </wp:positionV>
            <wp:extent cx="7132320" cy="3168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-530225</wp:posOffset>
            </wp:positionV>
            <wp:extent cx="7132320" cy="3511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Marine Transportation Revenues</w:t>
      </w:r>
    </w:p>
    <w:p>
      <w:pPr>
        <w:spacing w:after="0" w:line="184" w:lineRule="exact"/>
        <w:rPr>
          <w:sz w:val="20"/>
          <w:szCs w:val="20"/>
          <w:color w:val="auto"/>
        </w:rPr>
      </w:pPr>
    </w:p>
    <w:p>
      <w:pPr>
        <w:ind w:right="60" w:firstLine="562"/>
        <w:spacing w:after="0" w:line="277" w:lineRule="auto"/>
        <w:rPr>
          <w:sz w:val="20"/>
          <w:szCs w:val="20"/>
          <w:color w:val="auto"/>
        </w:rPr>
      </w:pPr>
      <w:r>
        <w:rPr>
          <w:rFonts w:ascii="Arial" w:cs="Arial" w:eastAsia="Arial" w:hAnsi="Arial"/>
          <w:sz w:val="18"/>
          <w:szCs w:val="18"/>
          <w:color w:val="auto"/>
        </w:rPr>
        <w:t>The following table shows the marine transportation markets serviced by the Company, KMT revenue distribution, products moved and the drivers of the demand for the products the Company transports: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84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7"/>
              </w:rPr>
              <w:t>2023 Third Quarter</w:t>
            </w:r>
          </w:p>
        </w:tc>
        <w:tc>
          <w:tcPr>
            <w:tcW w:w="1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2023 Nine Months</w:t>
            </w:r>
          </w:p>
        </w:tc>
        <w:tc>
          <w:tcPr>
            <w:tcW w:w="1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2"/>
                <w:szCs w:val="12"/>
                <w:color w:val="auto"/>
              </w:rPr>
            </w:pPr>
          </w:p>
        </w:tc>
        <w:tc>
          <w:tcPr>
            <w:tcW w:w="360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Products Moved</w:t>
            </w:r>
          </w:p>
        </w:tc>
        <w:tc>
          <w:tcPr>
            <w:tcW w:w="140" w:type="dxa"/>
            <w:vAlign w:val="bottom"/>
          </w:tcPr>
          <w:p>
            <w:pPr>
              <w:spacing w:after="0"/>
              <w:rPr>
                <w:sz w:val="12"/>
                <w:szCs w:val="12"/>
                <w:color w:val="auto"/>
              </w:rPr>
            </w:pPr>
          </w:p>
        </w:tc>
        <w:tc>
          <w:tcPr>
            <w:tcW w:w="22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Drivers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18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Serviced</w:t>
            </w:r>
          </w:p>
        </w:tc>
        <w:tc>
          <w:tcPr>
            <w:tcW w:w="16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Distribution</w:t>
            </w:r>
          </w:p>
        </w:tc>
        <w:tc>
          <w:tcPr>
            <w:tcW w:w="16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Distribution</w:t>
            </w:r>
          </w:p>
        </w:tc>
        <w:tc>
          <w:tcPr>
            <w:tcW w:w="160" w:type="dxa"/>
            <w:vAlign w:val="bottom"/>
          </w:tcPr>
          <w:p>
            <w:pPr>
              <w:spacing w:after="0"/>
              <w:rPr>
                <w:sz w:val="16"/>
                <w:szCs w:val="16"/>
                <w:color w:val="auto"/>
              </w:rPr>
            </w:pPr>
          </w:p>
        </w:tc>
        <w:tc>
          <w:tcPr>
            <w:tcW w:w="36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1840" w:type="dxa"/>
            <w:vAlign w:val="bottom"/>
            <w:shd w:val="clear" w:color="auto" w:fill="CFF0FC"/>
          </w:tcPr>
          <w:p>
            <w:pPr>
              <w:spacing w:after="0"/>
              <w:rPr>
                <w:sz w:val="20"/>
                <w:szCs w:val="20"/>
                <w:color w:val="auto"/>
              </w:rPr>
            </w:pPr>
            <w:r>
              <w:rPr>
                <w:rFonts w:ascii="Arial" w:cs="Arial" w:eastAsia="Arial" w:hAnsi="Arial"/>
                <w:sz w:val="18"/>
                <w:szCs w:val="18"/>
                <w:color w:val="auto"/>
              </w:rPr>
              <w:t>Petrochemicals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51%</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51%</w:t>
            </w:r>
          </w:p>
        </w:tc>
        <w:tc>
          <w:tcPr>
            <w:tcW w:w="160" w:type="dxa"/>
            <w:vAlign w:val="bottom"/>
            <w:shd w:val="clear" w:color="auto" w:fill="CFF0FC"/>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Benzene, Styrene, Methanol, Acrylonitrile,</w:t>
            </w:r>
          </w:p>
        </w:tc>
        <w:tc>
          <w:tcPr>
            <w:tcW w:w="14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Consumer non-durables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Xylene, Naphtha, Caustic Soda, Butadiene,</w:t>
            </w:r>
          </w:p>
        </w:tc>
        <w:tc>
          <w:tcPr>
            <w:tcW w:w="14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70%, Consumer durables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Propylene</w:t>
            </w:r>
          </w:p>
        </w:tc>
        <w:tc>
          <w:tcPr>
            <w:tcW w:w="24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Black Oil</w:t>
            </w:r>
          </w:p>
        </w:tc>
        <w:tc>
          <w:tcPr>
            <w:tcW w:w="1560" w:type="dxa"/>
            <w:vAlign w:val="bottom"/>
            <w:gridSpan w:val="2"/>
          </w:tcPr>
          <w:p>
            <w:pPr>
              <w:jc w:val="center"/>
              <w:ind w:left="70"/>
              <w:spacing w:after="0"/>
              <w:rPr>
                <w:sz w:val="20"/>
                <w:szCs w:val="20"/>
                <w:color w:val="auto"/>
              </w:rPr>
            </w:pPr>
            <w:r>
              <w:rPr>
                <w:rFonts w:ascii="Arial" w:cs="Arial" w:eastAsia="Arial" w:hAnsi="Arial"/>
                <w:sz w:val="18"/>
                <w:szCs w:val="18"/>
                <w:color w:val="auto"/>
                <w:w w:val="88"/>
              </w:rPr>
              <w:t>26%</w:t>
            </w:r>
          </w:p>
        </w:tc>
        <w:tc>
          <w:tcPr>
            <w:tcW w:w="1540" w:type="dxa"/>
            <w:vAlign w:val="bottom"/>
            <w:gridSpan w:val="2"/>
          </w:tcPr>
          <w:p>
            <w:pPr>
              <w:jc w:val="center"/>
              <w:ind w:left="50"/>
              <w:spacing w:after="0"/>
              <w:rPr>
                <w:sz w:val="20"/>
                <w:szCs w:val="20"/>
                <w:color w:val="auto"/>
              </w:rPr>
            </w:pPr>
            <w:r>
              <w:rPr>
                <w:rFonts w:ascii="Arial" w:cs="Arial" w:eastAsia="Arial" w:hAnsi="Arial"/>
                <w:sz w:val="18"/>
                <w:szCs w:val="18"/>
                <w:color w:val="auto"/>
                <w:w w:val="88"/>
              </w:rPr>
              <w:t>26%</w:t>
            </w:r>
          </w:p>
        </w:tc>
        <w:tc>
          <w:tcPr>
            <w:tcW w:w="1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9"/>
              </w:rPr>
              <w:t>Residual Fuel Oil, Coker Feedstock, Vacuum</w:t>
            </w:r>
          </w:p>
        </w:tc>
        <w:tc>
          <w:tcPr>
            <w:tcW w:w="1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Fuel for Power Plants 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Gas Oil, Asphalt, Carbon Black Feedstock,</w:t>
            </w:r>
          </w:p>
        </w:tc>
        <w:tc>
          <w:tcPr>
            <w:tcW w:w="1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Ships, Feedstock for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Crude Oil, Natural Gas Condensate, Ship</w:t>
            </w:r>
          </w:p>
        </w:tc>
        <w:tc>
          <w:tcPr>
            <w:tcW w:w="1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w w:val="93"/>
              </w:rPr>
              <w:t>Refineries, Road Construction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Bunkers</w:t>
            </w:r>
          </w:p>
        </w:tc>
        <w:tc>
          <w:tcPr>
            <w:tcW w:w="1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1840" w:type="dxa"/>
            <w:vAlign w:val="bottom"/>
            <w:shd w:val="clear" w:color="auto" w:fill="CFF0FC"/>
          </w:tcPr>
          <w:p>
            <w:pPr>
              <w:spacing w:after="0"/>
              <w:rPr>
                <w:sz w:val="20"/>
                <w:szCs w:val="20"/>
                <w:color w:val="auto"/>
              </w:rPr>
            </w:pPr>
            <w:r>
              <w:rPr>
                <w:rFonts w:ascii="Arial" w:cs="Arial" w:eastAsia="Arial" w:hAnsi="Arial"/>
                <w:sz w:val="18"/>
                <w:szCs w:val="18"/>
                <w:color w:val="auto"/>
              </w:rPr>
              <w:t>Refined Petroleum</w:t>
            </w:r>
          </w:p>
        </w:tc>
        <w:tc>
          <w:tcPr>
            <w:tcW w:w="156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88"/>
              </w:rPr>
              <w:t>20%</w:t>
            </w:r>
          </w:p>
        </w:tc>
        <w:tc>
          <w:tcPr>
            <w:tcW w:w="15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8"/>
              </w:rPr>
              <w:t>20%</w:t>
            </w:r>
          </w:p>
        </w:tc>
        <w:tc>
          <w:tcPr>
            <w:tcW w:w="160" w:type="dxa"/>
            <w:vAlign w:val="bottom"/>
            <w:shd w:val="clear" w:color="auto" w:fill="CFF0FC"/>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w w:val="93"/>
              </w:rPr>
              <w:t>Gasoline, No. 2 Oil, Jet Fuel, Heating Oil, Diesel</w:t>
            </w:r>
          </w:p>
        </w:tc>
        <w:tc>
          <w:tcPr>
            <w:tcW w:w="14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Vehicle Usage, Air Travel,</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840" w:type="dxa"/>
            <w:vAlign w:val="bottom"/>
            <w:shd w:val="clear" w:color="auto" w:fill="CFF0FC"/>
          </w:tcPr>
          <w:p>
            <w:pPr>
              <w:spacing w:after="0"/>
              <w:rPr>
                <w:sz w:val="20"/>
                <w:szCs w:val="20"/>
                <w:color w:val="auto"/>
              </w:rPr>
            </w:pPr>
            <w:r>
              <w:rPr>
                <w:rFonts w:ascii="Arial" w:cs="Arial" w:eastAsia="Arial" w:hAnsi="Arial"/>
                <w:sz w:val="18"/>
                <w:szCs w:val="18"/>
                <w:color w:val="auto"/>
              </w:rPr>
              <w:t>Products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Fuel, Ethanol</w:t>
            </w:r>
          </w:p>
        </w:tc>
        <w:tc>
          <w:tcPr>
            <w:tcW w:w="14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w w:val="95"/>
              </w:rPr>
              <w:t>Weather Conditions, Refinery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Utilization</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Agricultural Chemicals</w:t>
            </w:r>
          </w:p>
        </w:tc>
        <w:tc>
          <w:tcPr>
            <w:tcW w:w="156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3%</w:t>
            </w:r>
          </w:p>
        </w:tc>
        <w:tc>
          <w:tcPr>
            <w:tcW w:w="154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3%</w:t>
            </w:r>
          </w:p>
        </w:tc>
        <w:tc>
          <w:tcPr>
            <w:tcW w:w="1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6"/>
              </w:rPr>
              <w:t>Anhydrous Ammonia, Nitrogen – Based Liquid</w:t>
            </w:r>
          </w:p>
        </w:tc>
        <w:tc>
          <w:tcPr>
            <w:tcW w:w="1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Corn, Cotton and Wheat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Fertilizer, Industrial Ammonia</w:t>
            </w:r>
          </w:p>
        </w:tc>
        <w:tc>
          <w:tcPr>
            <w:tcW w:w="1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Production, Chemical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Feedstock Usage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760" w:type="dxa"/>
            <w:vAlign w:val="bottom"/>
            <w:gridSpan w:val="2"/>
          </w:tcPr>
          <w:p>
            <w:pPr>
              <w:jc w:val="right"/>
              <w:ind w:right="2972"/>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6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516" w:right="279" w:bottom="1440" w:gutter="0" w:footer="0" w:header="0"/>
        </w:sectPr>
      </w:pPr>
    </w:p>
    <w:bookmarkStart w:id="20" w:name="page21"/>
    <w:bookmarkEnd w:id="20"/>
    <w:p>
      <w:pPr>
        <w:jc w:val="both"/>
        <w:ind w:firstLine="569"/>
        <w:spacing w:after="0" w:line="269" w:lineRule="auto"/>
        <w:rPr>
          <w:sz w:val="20"/>
          <w:szCs w:val="20"/>
          <w:color w:val="auto"/>
        </w:rPr>
      </w:pPr>
      <w:r>
        <w:rPr>
          <w:rFonts w:ascii="Arial" w:cs="Arial" w:eastAsia="Arial" w:hAnsi="Arial"/>
          <w:sz w:val="17"/>
          <w:szCs w:val="17"/>
          <w:color w:val="auto"/>
        </w:rPr>
        <w:t>KMT revenues for the 2023 third quarter and first nine months decreased 1% and increased 6%, respectively, and operating income increased 52% and 91%, respectively, compared to the 2022 third quarter and first nine months. The decrease in revenues for the 2023 third quarter was primarily due to lower tank barge utilization as a result of Illinois River lock closures and several refinery outages, as well as lower fuel rebills in the inland market. The increase in revenues for the first nine months was primarily due to higher term and spot pricing and increased tank barge utilization in the inland and coastal markets. The 2023 and 2022 first quarters were impacted by poor operating conditions including seasonal wind and fog along the Gulf Coast, flooding on the Mississippi River, and various lock closures along the Gulf Intracoastal Waterway resulting in higher delay days. The 2022 first quarter was also impacted by the COVID-19 Omicron variant as increased cases among the Company’s mariners led to crewing challenges, lost revenue and increased operating costs. For both the 2023 third quarter and first nine months, the inland tank barge fleet contributed 82% and the coastal fleet contributed 18% of KMT revenues. For the 2022 third quarter and first nine months, the inland tank barge fleet contributed 80% and 79%, respectively, and the coastal fleet contributed 20% and 21%, respectively, of KMT revenues.</w:t>
      </w:r>
    </w:p>
    <w:p>
      <w:pPr>
        <w:spacing w:after="0" w:line="155" w:lineRule="exact"/>
        <w:rPr>
          <w:sz w:val="20"/>
          <w:szCs w:val="20"/>
          <w:color w:val="auto"/>
        </w:rPr>
      </w:pPr>
    </w:p>
    <w:p>
      <w:pPr>
        <w:jc w:val="both"/>
        <w:ind w:firstLine="569"/>
        <w:spacing w:after="0" w:line="275" w:lineRule="auto"/>
        <w:rPr>
          <w:sz w:val="20"/>
          <w:szCs w:val="20"/>
          <w:color w:val="auto"/>
        </w:rPr>
      </w:pPr>
      <w:r>
        <w:rPr>
          <w:rFonts w:ascii="Arial" w:cs="Arial" w:eastAsia="Arial" w:hAnsi="Arial"/>
          <w:sz w:val="17"/>
          <w:szCs w:val="17"/>
          <w:color w:val="auto"/>
        </w:rPr>
        <w:t>Inland tank barge utilization levels averaged in the low to mid-90% range during the 2023 first quarter, the low 90% range during the 2023 second quarter and the high 80% range during the 2023 third quarter compared to the mid-80% range during the 2022 first quarter and the low 90% range during both the 2022 second and third quarters. The 2023 first nine months reflected increasing activity levels as a result of higher refinery and petrochemical plant utilization, partially offset by Illinois River lock closures and several refinery outages during the 2023 third quarter while the 2022 first nine months were impacted by the COVID-19 Omicron variant as increased cases among the Company’s mariners led to crewing challenges.</w:t>
      </w:r>
    </w:p>
    <w:p>
      <w:pPr>
        <w:spacing w:after="0" w:line="134" w:lineRule="exact"/>
        <w:rPr>
          <w:sz w:val="20"/>
          <w:szCs w:val="20"/>
          <w:color w:val="auto"/>
        </w:rPr>
      </w:pPr>
    </w:p>
    <w:p>
      <w:pPr>
        <w:jc w:val="both"/>
        <w:ind w:firstLine="569"/>
        <w:spacing w:after="0" w:line="311" w:lineRule="auto"/>
        <w:rPr>
          <w:sz w:val="20"/>
          <w:szCs w:val="20"/>
          <w:color w:val="auto"/>
        </w:rPr>
      </w:pPr>
      <w:r>
        <w:rPr>
          <w:rFonts w:ascii="Arial" w:cs="Arial" w:eastAsia="Arial" w:hAnsi="Arial"/>
          <w:sz w:val="16"/>
          <w:szCs w:val="16"/>
          <w:color w:val="auto"/>
        </w:rPr>
        <w:t>Coastal tank barge utilization levels averaged in the mid to high 90% range during both the 2023 first and second quarters and the mid-90% range during the 2023 third quarter compared to the low 90% range during both the 2022 first and second quarters and the low to mid-90% range during the 2022 third quarter. The increase in coastal tank barge utilization during 2023 was primarily due to continued improvements in market and customer demand.</w:t>
      </w:r>
    </w:p>
    <w:p>
      <w:pPr>
        <w:spacing w:after="0" w:line="107"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7"/>
          <w:szCs w:val="17"/>
          <w:color w:val="auto"/>
        </w:rPr>
        <w:t>The petrochemical market, which is the Company’s largest market, contributed 51% of KMT revenues for both the 2023 third quarter and first nine months, reflecting increased rates, volumes and utilization from Gulf Coast petrochemical plants as a result of improved economic conditions and a reduced supply of barges across the industry due to a heavier than normal maintenance cycle as compared to the 2022 first nine months.</w:t>
      </w:r>
    </w:p>
    <w:p>
      <w:pPr>
        <w:spacing w:after="0" w:line="137" w:lineRule="exact"/>
        <w:rPr>
          <w:sz w:val="20"/>
          <w:szCs w:val="20"/>
          <w:color w:val="auto"/>
        </w:rPr>
      </w:pPr>
    </w:p>
    <w:p>
      <w:pPr>
        <w:jc w:val="both"/>
        <w:ind w:firstLine="562"/>
        <w:spacing w:after="0" w:line="296" w:lineRule="auto"/>
        <w:rPr>
          <w:sz w:val="20"/>
          <w:szCs w:val="20"/>
          <w:color w:val="auto"/>
        </w:rPr>
      </w:pPr>
      <w:r>
        <w:rPr>
          <w:rFonts w:ascii="Arial" w:cs="Arial" w:eastAsia="Arial" w:hAnsi="Arial"/>
          <w:sz w:val="16"/>
          <w:szCs w:val="16"/>
          <w:color w:val="auto"/>
        </w:rPr>
        <w:t>The black oil market, which contributed 26% of KMT revenues for both the 2023 third quarter and first nine months, reflected improved demand as refinery utilization and production levels of refined petroleum products and fuel oils increased. During the 2023 first nine months, the Company transported crude oil and natural gas condensate produced from the Permian Basin and the Eagle Ford shale formation in Texas, both along the Gulf Intracoastal Waterway with inland vessels and in the Gulf of Mexico with coastal equipment. Additionally, the Company transported volumes of Utica natural gas condensate downriver from the Mid-Atlantic to the Gulf Coast and Canadian and Bakken crude downriver from the Midwest to the Gulf Coast.</w:t>
      </w:r>
    </w:p>
    <w:p>
      <w:pPr>
        <w:spacing w:after="0" w:line="119" w:lineRule="exact"/>
        <w:rPr>
          <w:sz w:val="20"/>
          <w:szCs w:val="20"/>
          <w:color w:val="auto"/>
        </w:rPr>
      </w:pPr>
    </w:p>
    <w:p>
      <w:pPr>
        <w:jc w:val="both"/>
        <w:ind w:firstLine="569"/>
        <w:spacing w:after="0" w:line="277" w:lineRule="auto"/>
        <w:rPr>
          <w:sz w:val="20"/>
          <w:szCs w:val="20"/>
          <w:color w:val="auto"/>
        </w:rPr>
      </w:pPr>
      <w:r>
        <w:rPr>
          <w:rFonts w:ascii="Arial" w:cs="Arial" w:eastAsia="Arial" w:hAnsi="Arial"/>
          <w:sz w:val="18"/>
          <w:szCs w:val="18"/>
          <w:color w:val="auto"/>
        </w:rPr>
        <w:t>The refined petroleum products market, which contributed 20% of KMT revenues for both the 2023 third quarter and first nine months, reflected increased volumes in the inland market with improved refinery utilization and product levels.</w:t>
      </w:r>
    </w:p>
    <w:p>
      <w:pPr>
        <w:spacing w:after="0" w:line="129"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The agricultural chemical market, which contributed 3% of KMT revenues for both the 2023 third quarter and first nine months, reflected improved demand for transportation of both domestically produced and imported products.</w:t>
      </w:r>
    </w:p>
    <w:p>
      <w:pPr>
        <w:spacing w:after="0" w:line="142" w:lineRule="exact"/>
        <w:rPr>
          <w:sz w:val="20"/>
          <w:szCs w:val="20"/>
          <w:color w:val="auto"/>
        </w:rPr>
      </w:pPr>
    </w:p>
    <w:p>
      <w:pPr>
        <w:jc w:val="both"/>
        <w:ind w:firstLine="569"/>
        <w:spacing w:after="0" w:line="296" w:lineRule="auto"/>
        <w:rPr>
          <w:sz w:val="20"/>
          <w:szCs w:val="20"/>
          <w:color w:val="auto"/>
        </w:rPr>
      </w:pPr>
      <w:r>
        <w:rPr>
          <w:rFonts w:ascii="Arial" w:cs="Arial" w:eastAsia="Arial" w:hAnsi="Arial"/>
          <w:sz w:val="16"/>
          <w:szCs w:val="16"/>
          <w:color w:val="auto"/>
        </w:rPr>
        <w:t>For the 2023 third quarter, inland operations incurred 1,548 delay days, 24% more than the 1,253 delay days that occurred during the 2022 third quarter. For the 2023 first nine months, inland operations incurred 7,990 delay days, 12% more than the 7,152 delays days that occurred during the 2022 first nine months. Delay days measure the lost time incurred by a tow (towboat and one or more tank barges) during transit when the tow is stopped due to weather, lock conditions, or other navigational factors. Delay days reflected Illinois River lock closures during the 2023 third quarter and poor operating conditions due to heavy wind and fog along the Gulf Coast and lock delays on the Mississippi and Illinois rivers during the 2023 and 2022 first quarters.</w:t>
      </w:r>
    </w:p>
    <w:p>
      <w:pPr>
        <w:spacing w:after="0" w:line="119"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During both the 2023 third quarter and first nine months, approximately 55% of KMT inland revenues were under term contracts and 45% were spot contract revenues. During both the 2022 third quarter and first nine months, approximately 60% of KMT inland revenues were under term contracts and 40% were spot contract revenues. Inland time charters during the 2023 third quarter and first nine months represented approximately 66% and 63%, respectively, of inland revenues under term contracts compared with 56% and 57% in the 2022 third quarter and first nine months, respectively. During the 2023 third quarter and first nine months, approximately 90% and 85%, respectively, of KMT coastal revenues were under term contracts. During the 2023 third quarter and first nine months, approximately 10% and 15%, respectively, of KMT coastal revenues were under spot contracts. During the 2022 third quarter and first nine months, approximately 65% and 75%, respectively, of KMT coastal revenues were under term contracts and 35% and 25%, respectively, were spot contracts. Coastal time charters represented approximately 90% of coastal revenues under term contracts during both the 2023 and 2022 third quarters and first nine months. Term contracts have contract terms of 12 months or longer, while spot contracts have contract terms of less than 12 months.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1" w:name="page22"/>
    <w:bookmarkEnd w:id="21"/>
    <w:p>
      <w:pPr>
        <w:ind w:firstLine="562"/>
        <w:spacing w:after="0" w:line="277" w:lineRule="auto"/>
        <w:rPr>
          <w:sz w:val="20"/>
          <w:szCs w:val="20"/>
          <w:color w:val="auto"/>
        </w:rPr>
      </w:pPr>
      <w:r>
        <w:rPr>
          <w:rFonts w:ascii="Arial" w:cs="Arial" w:eastAsia="Arial" w:hAnsi="Arial"/>
          <w:sz w:val="18"/>
          <w:szCs w:val="18"/>
          <w:color w:val="auto"/>
        </w:rPr>
        <w:t>The following table summarizes the average range of pricing changes in term and spot contracts renewed during 2023 compared to contracts renewed during the corresponding quarter of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4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69"/>
        </w:trPr>
        <w:tc>
          <w:tcPr>
            <w:tcW w:w="6540" w:type="dxa"/>
            <w:vAlign w:val="bottom"/>
          </w:tcPr>
          <w:p>
            <w:pPr>
              <w:spacing w:after="0"/>
              <w:rPr>
                <w:sz w:val="14"/>
                <w:szCs w:val="14"/>
                <w:color w:val="auto"/>
              </w:rPr>
            </w:pPr>
          </w:p>
        </w:tc>
        <w:tc>
          <w:tcPr>
            <w:tcW w:w="14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March 31, 2023</w:t>
            </w:r>
          </w:p>
        </w:tc>
        <w:tc>
          <w:tcPr>
            <w:tcW w:w="160" w:type="dxa"/>
            <w:vAlign w:val="bottom"/>
          </w:tcPr>
          <w:p>
            <w:pPr>
              <w:spacing w:after="0"/>
              <w:rPr>
                <w:sz w:val="14"/>
                <w:szCs w:val="14"/>
                <w:color w:val="auto"/>
              </w:rPr>
            </w:pPr>
          </w:p>
        </w:tc>
        <w:tc>
          <w:tcPr>
            <w:tcW w:w="14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June 30, 2023</w:t>
            </w:r>
          </w:p>
        </w:tc>
        <w:tc>
          <w:tcPr>
            <w:tcW w:w="140" w:type="dxa"/>
            <w:vAlign w:val="bottom"/>
          </w:tcPr>
          <w:p>
            <w:pPr>
              <w:spacing w:after="0"/>
              <w:rPr>
                <w:sz w:val="14"/>
                <w:szCs w:val="14"/>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September 30, 2023</w:t>
            </w:r>
          </w:p>
        </w:tc>
      </w:tr>
      <w:tr>
        <w:trPr>
          <w:trHeight w:val="236"/>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Inland market:</w:t>
            </w:r>
          </w:p>
        </w:tc>
        <w:tc>
          <w:tcPr>
            <w:tcW w:w="1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r>
      <w:tr>
        <w:trPr>
          <w:trHeight w:val="236"/>
        </w:trPr>
        <w:tc>
          <w:tcPr>
            <w:tcW w:w="6540" w:type="dxa"/>
            <w:vAlign w:val="bottom"/>
          </w:tcPr>
          <w:p>
            <w:pPr>
              <w:jc w:val="center"/>
              <w:ind w:right="5030"/>
              <w:spacing w:after="0"/>
              <w:rPr>
                <w:sz w:val="20"/>
                <w:szCs w:val="20"/>
                <w:color w:val="auto"/>
              </w:rPr>
            </w:pPr>
            <w:r>
              <w:rPr>
                <w:rFonts w:ascii="Arial" w:cs="Arial" w:eastAsia="Arial" w:hAnsi="Arial"/>
                <w:sz w:val="18"/>
                <w:szCs w:val="18"/>
                <w:color w:val="auto"/>
                <w:w w:val="88"/>
              </w:rPr>
              <w:t>Term increase</w:t>
            </w:r>
          </w:p>
        </w:tc>
        <w:tc>
          <w:tcPr>
            <w:tcW w:w="1460" w:type="dxa"/>
            <w:vAlign w:val="bottom"/>
          </w:tcPr>
          <w:p>
            <w:pPr>
              <w:ind w:left="620"/>
              <w:spacing w:after="0"/>
              <w:rPr>
                <w:sz w:val="20"/>
                <w:szCs w:val="20"/>
                <w:color w:val="auto"/>
              </w:rPr>
            </w:pPr>
            <w:r>
              <w:rPr>
                <w:rFonts w:ascii="Arial" w:cs="Arial" w:eastAsia="Arial" w:hAnsi="Arial"/>
                <w:sz w:val="18"/>
                <w:szCs w:val="18"/>
                <w:color w:val="auto"/>
                <w:w w:val="89"/>
              </w:rPr>
              <w:t>10% – 12%</w:t>
            </w:r>
          </w:p>
        </w:tc>
        <w:tc>
          <w:tcPr>
            <w:tcW w:w="160" w:type="dxa"/>
            <w:vAlign w:val="bottom"/>
          </w:tcPr>
          <w:p>
            <w:pPr>
              <w:spacing w:after="0"/>
              <w:rPr>
                <w:sz w:val="20"/>
                <w:szCs w:val="20"/>
                <w:color w:val="auto"/>
              </w:rPr>
            </w:pPr>
          </w:p>
        </w:tc>
        <w:tc>
          <w:tcPr>
            <w:tcW w:w="1480" w:type="dxa"/>
            <w:vAlign w:val="bottom"/>
          </w:tcPr>
          <w:p>
            <w:pPr>
              <w:ind w:left="620"/>
              <w:spacing w:after="0"/>
              <w:rPr>
                <w:sz w:val="20"/>
                <w:szCs w:val="20"/>
                <w:color w:val="auto"/>
              </w:rPr>
            </w:pPr>
            <w:r>
              <w:rPr>
                <w:rFonts w:ascii="Arial" w:cs="Arial" w:eastAsia="Arial" w:hAnsi="Arial"/>
                <w:sz w:val="18"/>
                <w:szCs w:val="18"/>
                <w:color w:val="auto"/>
                <w:w w:val="91"/>
              </w:rPr>
              <w:t>10% – 12%</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 – 9%</w:t>
            </w:r>
          </w:p>
        </w:tc>
      </w:tr>
      <w:tr>
        <w:trPr>
          <w:trHeight w:val="249"/>
        </w:trPr>
        <w:tc>
          <w:tcPr>
            <w:tcW w:w="6540" w:type="dxa"/>
            <w:vAlign w:val="bottom"/>
            <w:shd w:val="clear" w:color="auto" w:fill="CFF0FC"/>
          </w:tcPr>
          <w:p>
            <w:pPr>
              <w:jc w:val="center"/>
              <w:ind w:right="5090"/>
              <w:spacing w:after="0"/>
              <w:rPr>
                <w:sz w:val="20"/>
                <w:szCs w:val="20"/>
                <w:color w:val="auto"/>
              </w:rPr>
            </w:pPr>
            <w:r>
              <w:rPr>
                <w:rFonts w:ascii="Arial" w:cs="Arial" w:eastAsia="Arial" w:hAnsi="Arial"/>
                <w:sz w:val="18"/>
                <w:szCs w:val="18"/>
                <w:color w:val="auto"/>
                <w:w w:val="87"/>
              </w:rPr>
              <w:t>Spot increase</w:t>
            </w:r>
          </w:p>
        </w:tc>
        <w:tc>
          <w:tcPr>
            <w:tcW w:w="1460" w:type="dxa"/>
            <w:vAlign w:val="bottom"/>
            <w:shd w:val="clear" w:color="auto" w:fill="CFF0FC"/>
          </w:tcPr>
          <w:p>
            <w:pPr>
              <w:ind w:left="620"/>
              <w:spacing w:after="0"/>
              <w:rPr>
                <w:sz w:val="20"/>
                <w:szCs w:val="20"/>
                <w:color w:val="auto"/>
              </w:rPr>
            </w:pPr>
            <w:r>
              <w:rPr>
                <w:rFonts w:ascii="Arial" w:cs="Arial" w:eastAsia="Arial" w:hAnsi="Arial"/>
                <w:sz w:val="18"/>
                <w:szCs w:val="18"/>
                <w:color w:val="auto"/>
                <w:w w:val="89"/>
              </w:rPr>
              <w:t>23% – 26%</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1"/>
              </w:rPr>
              <w:t>26% – 29%</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 – 16%</w:t>
            </w:r>
          </w:p>
        </w:tc>
      </w:tr>
      <w:tr>
        <w:trPr>
          <w:trHeight w:val="236"/>
        </w:trPr>
        <w:tc>
          <w:tcPr>
            <w:tcW w:w="6540" w:type="dxa"/>
            <w:vAlign w:val="bottom"/>
          </w:tcPr>
          <w:p>
            <w:pPr>
              <w:jc w:val="center"/>
              <w:ind w:right="5030"/>
              <w:spacing w:after="0"/>
              <w:rPr>
                <w:sz w:val="20"/>
                <w:szCs w:val="20"/>
                <w:color w:val="auto"/>
              </w:rPr>
            </w:pPr>
            <w:r>
              <w:rPr>
                <w:rFonts w:ascii="Arial" w:cs="Arial" w:eastAsia="Arial" w:hAnsi="Arial"/>
                <w:sz w:val="18"/>
                <w:szCs w:val="18"/>
                <w:color w:val="auto"/>
                <w:w w:val="90"/>
              </w:rPr>
              <w:t>Coastal market (a):</w:t>
            </w: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9"/>
        </w:trPr>
        <w:tc>
          <w:tcPr>
            <w:tcW w:w="6540" w:type="dxa"/>
            <w:vAlign w:val="bottom"/>
            <w:shd w:val="clear" w:color="auto" w:fill="CFF0FC"/>
          </w:tcPr>
          <w:p>
            <w:pPr>
              <w:jc w:val="center"/>
              <w:ind w:right="5030"/>
              <w:spacing w:after="0"/>
              <w:rPr>
                <w:sz w:val="20"/>
                <w:szCs w:val="20"/>
                <w:color w:val="auto"/>
              </w:rPr>
            </w:pPr>
            <w:r>
              <w:rPr>
                <w:rFonts w:ascii="Arial" w:cs="Arial" w:eastAsia="Arial" w:hAnsi="Arial"/>
                <w:sz w:val="18"/>
                <w:szCs w:val="18"/>
                <w:color w:val="auto"/>
                <w:w w:val="88"/>
              </w:rPr>
              <w:t>Term increase</w:t>
            </w:r>
          </w:p>
        </w:tc>
        <w:tc>
          <w:tcPr>
            <w:tcW w:w="1460" w:type="dxa"/>
            <w:vAlign w:val="bottom"/>
            <w:shd w:val="clear" w:color="auto" w:fill="CFF0FC"/>
          </w:tcPr>
          <w:p>
            <w:pPr>
              <w:ind w:left="620"/>
              <w:spacing w:after="0"/>
              <w:rPr>
                <w:sz w:val="20"/>
                <w:szCs w:val="20"/>
                <w:color w:val="auto"/>
              </w:rPr>
            </w:pPr>
            <w:r>
              <w:rPr>
                <w:rFonts w:ascii="Arial" w:cs="Arial" w:eastAsia="Arial" w:hAnsi="Arial"/>
                <w:sz w:val="18"/>
                <w:szCs w:val="18"/>
                <w:color w:val="auto"/>
                <w:w w:val="89"/>
              </w:rPr>
              <w:t>10% – 12%</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1"/>
              </w:rPr>
              <w:t>16% – 18%</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 12%</w:t>
            </w:r>
          </w:p>
        </w:tc>
      </w:tr>
      <w:tr>
        <w:trPr>
          <w:trHeight w:val="230"/>
        </w:trPr>
        <w:tc>
          <w:tcPr>
            <w:tcW w:w="6540" w:type="dxa"/>
            <w:vAlign w:val="bottom"/>
          </w:tcPr>
          <w:p>
            <w:pPr>
              <w:jc w:val="center"/>
              <w:ind w:right="5090"/>
              <w:spacing w:after="0"/>
              <w:rPr>
                <w:sz w:val="20"/>
                <w:szCs w:val="20"/>
                <w:color w:val="auto"/>
              </w:rPr>
            </w:pPr>
            <w:r>
              <w:rPr>
                <w:rFonts w:ascii="Arial" w:cs="Arial" w:eastAsia="Arial" w:hAnsi="Arial"/>
                <w:sz w:val="18"/>
                <w:szCs w:val="18"/>
                <w:color w:val="auto"/>
                <w:w w:val="87"/>
              </w:rPr>
              <w:t>Spot increase</w:t>
            </w:r>
          </w:p>
        </w:tc>
        <w:tc>
          <w:tcPr>
            <w:tcW w:w="1460" w:type="dxa"/>
            <w:vAlign w:val="bottom"/>
          </w:tcPr>
          <w:p>
            <w:pPr>
              <w:ind w:left="620"/>
              <w:spacing w:after="0"/>
              <w:rPr>
                <w:sz w:val="20"/>
                <w:szCs w:val="20"/>
                <w:color w:val="auto"/>
              </w:rPr>
            </w:pPr>
            <w:r>
              <w:rPr>
                <w:rFonts w:ascii="Arial" w:cs="Arial" w:eastAsia="Arial" w:hAnsi="Arial"/>
                <w:sz w:val="18"/>
                <w:szCs w:val="18"/>
                <w:color w:val="auto"/>
                <w:w w:val="89"/>
              </w:rPr>
              <w:t>20% – 23%</w:t>
            </w:r>
          </w:p>
        </w:tc>
        <w:tc>
          <w:tcPr>
            <w:tcW w:w="160" w:type="dxa"/>
            <w:vAlign w:val="bottom"/>
          </w:tcPr>
          <w:p>
            <w:pPr>
              <w:spacing w:after="0"/>
              <w:rPr>
                <w:sz w:val="20"/>
                <w:szCs w:val="20"/>
                <w:color w:val="auto"/>
              </w:rPr>
            </w:pPr>
          </w:p>
        </w:tc>
        <w:tc>
          <w:tcPr>
            <w:tcW w:w="1480" w:type="dxa"/>
            <w:vAlign w:val="bottom"/>
          </w:tcPr>
          <w:p>
            <w:pPr>
              <w:ind w:left="620"/>
              <w:spacing w:after="0"/>
              <w:rPr>
                <w:sz w:val="20"/>
                <w:szCs w:val="20"/>
                <w:color w:val="auto"/>
              </w:rPr>
            </w:pPr>
            <w:r>
              <w:rPr>
                <w:rFonts w:ascii="Arial" w:cs="Arial" w:eastAsia="Arial" w:hAnsi="Arial"/>
                <w:sz w:val="18"/>
                <w:szCs w:val="18"/>
                <w:color w:val="auto"/>
                <w:w w:val="91"/>
              </w:rPr>
              <w:t>25% – 28%</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 – 33%</w:t>
            </w:r>
          </w:p>
        </w:tc>
      </w:tr>
    </w:tbl>
    <w:p>
      <w:pPr>
        <w:spacing w:after="0" w:line="187" w:lineRule="exact"/>
        <w:rPr>
          <w:sz w:val="20"/>
          <w:szCs w:val="20"/>
          <w:color w:val="auto"/>
        </w:rPr>
      </w:pPr>
    </w:p>
    <w:p>
      <w:pPr>
        <w:ind w:left="940" w:hanging="371"/>
        <w:spacing w:after="0" w:line="277" w:lineRule="auto"/>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Spot and term contract pricing in the coastal market are contingent on various factors including geographic location, vessel capacity, vessel type, and product serviced.</w:t>
      </w:r>
    </w:p>
    <w:p>
      <w:pPr>
        <w:spacing w:after="0" w:line="129"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Effective January 1, 2023, annual escalators for labor and the producer price index on a number of inland multi-year contracts resulted in rate increases on those contracts of approximately 9%, excluding fuel.</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Marine Transportation Costs and Expenses</w:t>
      </w:r>
    </w:p>
    <w:p>
      <w:pPr>
        <w:spacing w:after="0" w:line="198" w:lineRule="exact"/>
        <w:rPr>
          <w:sz w:val="20"/>
          <w:szCs w:val="20"/>
          <w:color w:val="auto"/>
        </w:rPr>
      </w:pPr>
    </w:p>
    <w:p>
      <w:pPr>
        <w:jc w:val="both"/>
        <w:ind w:firstLine="569"/>
        <w:spacing w:after="0" w:line="256" w:lineRule="auto"/>
        <w:rPr>
          <w:sz w:val="20"/>
          <w:szCs w:val="20"/>
          <w:color w:val="auto"/>
        </w:rPr>
      </w:pPr>
      <w:r>
        <w:rPr>
          <w:rFonts w:ascii="Arial" w:cs="Arial" w:eastAsia="Arial" w:hAnsi="Arial"/>
          <w:sz w:val="18"/>
          <w:szCs w:val="18"/>
          <w:color w:val="auto"/>
        </w:rPr>
        <w:t>Costs and expenses for the 2023 third quarter and first nine months decreased 6% and 1%, respectively, compared to the 2022 third quarter and first nine months. Costs of sales and operating expenses for the 2023 third quarter and first nine months decreased 9% and 2%, respectively, compared with the 2022 third quarter and first nine months. The decrease during the 2023 third quarter and first nine months reflected lower fuel costs, partially offset by improved business activity levels and inflationary cost pressures. The 2022 first quarter was negatively impacted by incremental costs associated with the COVID-19 Omicron variant.</w:t>
      </w:r>
    </w:p>
    <w:p>
      <w:pPr>
        <w:spacing w:after="0" w:line="150" w:lineRule="exact"/>
        <w:rPr>
          <w:sz w:val="20"/>
          <w:szCs w:val="20"/>
          <w:color w:val="auto"/>
        </w:rPr>
      </w:pPr>
    </w:p>
    <w:p>
      <w:pPr>
        <w:jc w:val="both"/>
        <w:ind w:firstLine="562"/>
        <w:spacing w:after="0" w:line="256" w:lineRule="auto"/>
        <w:rPr>
          <w:sz w:val="20"/>
          <w:szCs w:val="20"/>
          <w:color w:val="auto"/>
        </w:rPr>
      </w:pPr>
      <w:r>
        <w:rPr>
          <w:rFonts w:ascii="Arial" w:cs="Arial" w:eastAsia="Arial" w:hAnsi="Arial"/>
          <w:sz w:val="18"/>
          <w:szCs w:val="18"/>
          <w:color w:val="auto"/>
        </w:rPr>
        <w:t>The inland marine transportation fleet operated an average of 274 towboats during the 2023 third quarter, of which an average of 55 were chartered, compared to 274 during the 2022 third quarter, of which an average of 59 were chartered. The Company charters in or releases chartered towboats in an effort to balance horsepower needs with current requirements, taking into account variability in demand or anticipated demand, addition or removal of tank barges from the fleet, chartered towboat availability, and weather or water conditions. The Company has historically used chartered towboats for approximately one-fourth of its horsepower requirements.</w:t>
      </w:r>
    </w:p>
    <w:p>
      <w:pPr>
        <w:spacing w:after="0" w:line="150" w:lineRule="exact"/>
        <w:rPr>
          <w:sz w:val="20"/>
          <w:szCs w:val="20"/>
          <w:color w:val="auto"/>
        </w:rPr>
      </w:pPr>
    </w:p>
    <w:p>
      <w:pPr>
        <w:jc w:val="both"/>
        <w:ind w:firstLine="569"/>
        <w:spacing w:after="0" w:line="271" w:lineRule="auto"/>
        <w:rPr>
          <w:sz w:val="20"/>
          <w:szCs w:val="20"/>
          <w:color w:val="auto"/>
        </w:rPr>
      </w:pPr>
      <w:r>
        <w:rPr>
          <w:rFonts w:ascii="Arial" w:cs="Arial" w:eastAsia="Arial" w:hAnsi="Arial"/>
          <w:sz w:val="17"/>
          <w:szCs w:val="17"/>
          <w:color w:val="auto"/>
        </w:rPr>
        <w:t>During the 2023 third quarter, inland operations consumed 11.6 million gallons of diesel fuel compared to 12.5 million gallons consumed during the 2022 third quarter. The average price per gallon of diesel fuel consumed during the 2023 third quarter was $2.71 per gallon compared with $4.24 per gallon for the 2022 third quarter. During the 2023 first nine months, inland operations consumed 35.9 million gallons of diesel fuel compared to 36.7 million gallons consumed during the 2022 first nine months. The average price per gallon of diesel fuel consumed during the 2023 first nine months was $2.97 per gallon compared with $3.60 per gallon for the 2022 first nine months. Fuel escalation and de-escalation clauses are typically included in term contracts and are designed to rebate fuel costs when prices decline and recover additional fuel costs when fuel prices rise; however, there is generally a 30 to 120 day delay before contracts are adjusted. Spot contracts do not have escalators for fuel.</w:t>
      </w:r>
    </w:p>
    <w:p>
      <w:pPr>
        <w:spacing w:after="0" w:line="154"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7"/>
          <w:szCs w:val="17"/>
          <w:color w:val="auto"/>
        </w:rPr>
        <w:t>Selling, general and administrative expenses for the 2023 third quarter and first nine months increased 1% and 9%, respectively, compared to the 2022 third quarter and first nine months due to higher business activity levels and inflationary cost pressures. The increase for the 2023 third quarter and first nine months was also due to compensation increases, partially offset by lower legal costs as compared to the 2022 third quarter.</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Marine Transportation Operating Income and Operating Margin</w:t>
      </w:r>
    </w:p>
    <w:p>
      <w:pPr>
        <w:spacing w:after="0" w:line="184"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6"/>
          <w:szCs w:val="16"/>
          <w:color w:val="auto"/>
        </w:rPr>
        <w:t>KMT operating income for the 2023 third quarter and first nine months increased 52% and 91%, respectively, compared with the 2022 third quarter and first nine months. The 2023 third quarter operating margin was 14.8% compared with 9.6% for the 2022 third quarter. The 2023 first nine months operating margin was 13.5% compared with 7.5% for the 2022 first nine months. The increases in operating income and operating margin were primarily due to higher term and spot contract pricing in the inland and coastal markets as a result of improving business activity levels, high utilization and a reduced supply of barges across the industry due to a heavier than normal maintenance cycle. The 2022 first quarter was negatively impacted by the COVID-19 Omicron variant as increased cases among the Company’s mariners led to crewing challenges, lost revenue and increased operating costs.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Distribution and Services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KDS revenues, costs and expenses, operating income, and operating margin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0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00" w:type="dxa"/>
            <w:vAlign w:val="bottom"/>
            <w:gridSpan w:val="8"/>
          </w:tcPr>
          <w:p>
            <w:pPr>
              <w:jc w:val="right"/>
              <w:ind w:right="9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w w:val="97"/>
              </w:rPr>
              <w:t>% Change</w:t>
            </w:r>
          </w:p>
        </w:tc>
        <w:tc>
          <w:tcPr>
            <w:tcW w:w="22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360" w:type="dxa"/>
            <w:vAlign w:val="bottom"/>
          </w:tcPr>
          <w:p>
            <w:pPr>
              <w:ind w:left="20"/>
              <w:spacing w:after="0"/>
              <w:rPr>
                <w:sz w:val="20"/>
                <w:szCs w:val="20"/>
                <w:color w:val="auto"/>
              </w:rPr>
            </w:pPr>
            <w:r>
              <w:rPr>
                <w:rFonts w:ascii="Arial" w:cs="Arial" w:eastAsia="Arial" w:hAnsi="Arial"/>
                <w:sz w:val="18"/>
                <w:szCs w:val="18"/>
                <w:color w:val="auto"/>
              </w:rPr>
              <w:t>Distribution and services revenues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334,887</w:t>
            </w:r>
          </w:p>
        </w:tc>
        <w:tc>
          <w:tcPr>
            <w:tcW w:w="26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312,803</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1,023,122</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860,358</w:t>
            </w:r>
          </w:p>
        </w:tc>
        <w:tc>
          <w:tcPr>
            <w:tcW w:w="20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6"/>
        </w:trPr>
        <w:tc>
          <w:tcPr>
            <w:tcW w:w="3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360" w:type="dxa"/>
            <w:vAlign w:val="bottom"/>
          </w:tcPr>
          <w:p>
            <w:pPr>
              <w:ind w:left="200"/>
              <w:spacing w:after="0"/>
              <w:rPr>
                <w:sz w:val="20"/>
                <w:szCs w:val="20"/>
                <w:color w:val="auto"/>
              </w:rPr>
            </w:pPr>
            <w:r>
              <w:rPr>
                <w:rFonts w:ascii="Arial" w:cs="Arial" w:eastAsia="Arial" w:hAnsi="Arial"/>
                <w:sz w:val="18"/>
                <w:szCs w:val="18"/>
                <w:color w:val="auto"/>
              </w:rPr>
              <w:t>Costs of sales and operating expenses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251,163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245,223</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779,684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670,938</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43,701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39,289</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138,584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121,864</w:t>
            </w: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360" w:type="dxa"/>
            <w:vAlign w:val="bottom"/>
          </w:tcPr>
          <w:p>
            <w:pPr>
              <w:ind w:left="200"/>
              <w:spacing w:after="0"/>
              <w:rPr>
                <w:sz w:val="20"/>
                <w:szCs w:val="20"/>
                <w:color w:val="auto"/>
              </w:rPr>
            </w:pPr>
            <w:r>
              <w:rPr>
                <w:rFonts w:ascii="Arial" w:cs="Arial" w:eastAsia="Arial" w:hAnsi="Arial"/>
                <w:sz w:val="18"/>
                <w:szCs w:val="18"/>
                <w:color w:val="auto"/>
              </w:rPr>
              <w:t>Taxes, other than on income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1,749</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5,370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5,067</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5,017</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4,274</w:t>
            </w:r>
          </w:p>
        </w:tc>
        <w:tc>
          <w:tcPr>
            <w:tcW w:w="2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9"/>
              </w:rPr>
              <w:t>17</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13,656</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12,513</w:t>
            </w: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301,693</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290,535</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937,294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810,382</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3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33,194</w:t>
            </w:r>
          </w:p>
        </w:tc>
        <w:tc>
          <w:tcPr>
            <w:tcW w:w="26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22,268</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7"/>
              </w:rPr>
              <w:t>49 %</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85,828</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49,976</w:t>
            </w:r>
          </w:p>
        </w:tc>
        <w:tc>
          <w:tcPr>
            <w:tcW w:w="20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0"/>
        </w:trPr>
        <w:tc>
          <w:tcPr>
            <w:tcW w:w="3360" w:type="dxa"/>
            <w:vAlign w:val="bottom"/>
            <w:vMerge w:val="restart"/>
          </w:tcPr>
          <w:p>
            <w:pPr>
              <w:ind w:left="20"/>
              <w:spacing w:after="0"/>
              <w:rPr>
                <w:sz w:val="20"/>
                <w:szCs w:val="20"/>
                <w:color w:val="auto"/>
              </w:rPr>
            </w:pPr>
            <w:r>
              <w:rPr>
                <w:rFonts w:ascii="Arial" w:cs="Arial" w:eastAsia="Arial" w:hAnsi="Arial"/>
                <w:sz w:val="18"/>
                <w:szCs w:val="18"/>
                <w:color w:val="auto"/>
              </w:rPr>
              <w:t>Operating margins</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color w:val="auto"/>
                <w:highlight w:val="white"/>
              </w:rPr>
              <w:t>%</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color w:val="auto"/>
                <w:highlight w:val="white"/>
              </w:rPr>
              <w: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color w:val="auto"/>
                <w:highlight w:val="white"/>
              </w:rPr>
              <w:t>%</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color w:val="auto"/>
                <w:highlight w:val="white"/>
              </w:rPr>
              <w: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-1617345</wp:posOffset>
            </wp:positionV>
            <wp:extent cx="7132320" cy="3168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-530225</wp:posOffset>
            </wp:positionV>
            <wp:extent cx="7132320" cy="3511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Distribution and Services Revenues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markets serviced by KDS, the revenue distribution, and the customers for each market: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2023 Third Quarter</w:t>
            </w:r>
          </w:p>
        </w:tc>
        <w:tc>
          <w:tcPr>
            <w:tcW w:w="1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2023 Nine Months</w:t>
            </w:r>
          </w:p>
        </w:tc>
        <w:tc>
          <w:tcPr>
            <w:tcW w:w="1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6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Markets Serviced</w:t>
            </w:r>
          </w:p>
        </w:tc>
        <w:tc>
          <w:tcPr>
            <w:tcW w:w="1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2"/>
                <w:szCs w:val="12"/>
                <w:color w:val="auto"/>
              </w:rPr>
            </w:pPr>
          </w:p>
        </w:tc>
        <w:tc>
          <w:tcPr>
            <w:tcW w:w="4540" w:type="dxa"/>
            <w:vAlign w:val="bottom"/>
            <w:vMerge w:val="restart"/>
          </w:tcPr>
          <w:p>
            <w:pPr>
              <w:ind w:left="1940"/>
              <w:spacing w:after="0"/>
              <w:rPr>
                <w:sz w:val="20"/>
                <w:szCs w:val="20"/>
                <w:color w:val="auto"/>
              </w:rPr>
            </w:pPr>
            <w:r>
              <w:rPr>
                <w:rFonts w:ascii="Arial" w:cs="Arial" w:eastAsia="Arial" w:hAnsi="Arial"/>
                <w:sz w:val="14"/>
                <w:szCs w:val="14"/>
                <w:b w:val="1"/>
                <w:bCs w:val="1"/>
                <w:color w:val="auto"/>
              </w:rPr>
              <w:t>Customers</w:t>
            </w:r>
          </w:p>
        </w:tc>
        <w:tc>
          <w:tcPr>
            <w:tcW w:w="0" w:type="dxa"/>
            <w:vAlign w:val="bottom"/>
          </w:tcPr>
          <w:p>
            <w:pPr>
              <w:spacing w:after="0"/>
              <w:rPr>
                <w:sz w:val="1"/>
                <w:szCs w:val="1"/>
                <w:color w:val="auto"/>
              </w:rPr>
            </w:pPr>
          </w:p>
        </w:tc>
      </w:tr>
      <w:tr>
        <w:trPr>
          <w:trHeight w:val="185"/>
        </w:trPr>
        <w:tc>
          <w:tcPr>
            <w:tcW w:w="30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Distribution</w:t>
            </w:r>
          </w:p>
        </w:tc>
        <w:tc>
          <w:tcPr>
            <w:tcW w:w="18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Distribution</w:t>
            </w:r>
          </w:p>
        </w:tc>
        <w:tc>
          <w:tcPr>
            <w:tcW w:w="160" w:type="dxa"/>
            <w:vAlign w:val="bottom"/>
          </w:tcPr>
          <w:p>
            <w:pPr>
              <w:spacing w:after="0"/>
              <w:rPr>
                <w:sz w:val="16"/>
                <w:szCs w:val="16"/>
                <w:color w:val="auto"/>
              </w:rPr>
            </w:pPr>
          </w:p>
        </w:tc>
        <w:tc>
          <w:tcPr>
            <w:tcW w:w="4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63%</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57%</w:t>
            </w:r>
          </w:p>
        </w:tc>
        <w:tc>
          <w:tcPr>
            <w:tcW w:w="160" w:type="dxa"/>
            <w:vAlign w:val="bottom"/>
            <w:shd w:val="clear" w:color="auto" w:fill="CFF0FC"/>
          </w:tcPr>
          <w:p>
            <w:pPr>
              <w:spacing w:after="0"/>
              <w:rPr>
                <w:sz w:val="18"/>
                <w:szCs w:val="18"/>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w w:val="95"/>
              </w:rPr>
              <w:t>Inland River Carriers — Dry and Liquid, Offshore Towing —</w:t>
            </w: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w w:val="96"/>
              </w:rPr>
              <w:t>Dry and Liquid, Offshore Oilfield Services — Drilling Rigs &amp;</w:t>
            </w: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w w:val="98"/>
              </w:rPr>
              <w:t>Supply Boats, Harbor Towing, Dredging, Great Lakes Ore</w:t>
            </w: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Carriers, Pleasure Crafts, On and Off-Highway</w:t>
            </w: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w w:val="89"/>
              </w:rPr>
              <w:t>Transportation, Power Generation, Standby Power Generation,</w:t>
            </w:r>
          </w:p>
        </w:tc>
        <w:tc>
          <w:tcPr>
            <w:tcW w:w="0" w:type="dxa"/>
            <w:vAlign w:val="bottom"/>
          </w:tcPr>
          <w:p>
            <w:pPr>
              <w:spacing w:after="0"/>
              <w:rPr>
                <w:sz w:val="1"/>
                <w:szCs w:val="1"/>
                <w:color w:val="auto"/>
              </w:rPr>
            </w:pPr>
          </w:p>
        </w:tc>
      </w:tr>
      <w:tr>
        <w:trPr>
          <w:trHeight w:val="244"/>
        </w:trPr>
        <w:tc>
          <w:tcPr>
            <w:tcW w:w="30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Pumping Stations, Mining</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Oil and Gas</w:t>
            </w:r>
          </w:p>
        </w:tc>
        <w:tc>
          <w:tcPr>
            <w:tcW w:w="174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37%</w:t>
            </w:r>
          </w:p>
        </w:tc>
        <w:tc>
          <w:tcPr>
            <w:tcW w:w="174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43%</w:t>
            </w:r>
          </w:p>
        </w:tc>
        <w:tc>
          <w:tcPr>
            <w:tcW w:w="16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Oilfield Services, Oil and Gas Operators and Producers</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60" w:firstLine="569"/>
        <w:spacing w:after="0" w:line="255" w:lineRule="auto"/>
        <w:rPr>
          <w:sz w:val="20"/>
          <w:szCs w:val="20"/>
          <w:color w:val="auto"/>
        </w:rPr>
      </w:pPr>
      <w:r>
        <w:rPr>
          <w:rFonts w:ascii="Arial" w:cs="Arial" w:eastAsia="Arial" w:hAnsi="Arial"/>
          <w:sz w:val="18"/>
          <w:szCs w:val="18"/>
          <w:color w:val="auto"/>
        </w:rPr>
        <w:t>KDS revenues for the 2023 third quarter and first nine months increased 7% and 19%, respectively, compared to the 2022 third quarter and first nine months. In the commercial and industrial market, the increase for the 2023 third quarter and first nine months was primarily attributable to strong economic activity across the United States which resulted in higher business levels in the marine and on-highway businesses. Increased product sales in Thermo King also contributed favorably to the 2023 third quarter and first nine months results. These increases were partially offset by continuing supply chain constraints and delays. For the 2023 third quarter and first nine months, the commercial and industrial market contributed 63% and 57%, respectively, of KDS revenues.</w:t>
      </w:r>
    </w:p>
    <w:p>
      <w:pPr>
        <w:spacing w:after="0" w:line="150" w:lineRule="exact"/>
        <w:rPr>
          <w:sz w:val="20"/>
          <w:szCs w:val="20"/>
          <w:color w:val="auto"/>
        </w:rPr>
      </w:pPr>
    </w:p>
    <w:p>
      <w:pPr>
        <w:jc w:val="both"/>
        <w:ind w:right="60" w:firstLine="562"/>
        <w:spacing w:after="0" w:line="256" w:lineRule="auto"/>
        <w:rPr>
          <w:sz w:val="20"/>
          <w:szCs w:val="20"/>
          <w:color w:val="auto"/>
        </w:rPr>
      </w:pPr>
      <w:r>
        <w:rPr>
          <w:rFonts w:ascii="Arial" w:cs="Arial" w:eastAsia="Arial" w:hAnsi="Arial"/>
          <w:sz w:val="18"/>
          <w:szCs w:val="18"/>
          <w:color w:val="auto"/>
        </w:rPr>
        <w:t>In the oil and gas market, revenues improved compared to the 2022 third quarter and first nine months due to higher oilfield activity which resulted in increased demand for new transmissions and parts in the distribution business. Although the manufacturing business was impacted by ongoing supply chain delays, the business continued to experience increased orders and deliveries of new environmentally friendly pressure pumping equipment and power generation equipment for electric fracturing. For the 2023 third quarter and first nine months, the oil and gas market contributed 37% and 43%, respectively, of KDS revenues.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Distribution and Services Costs and Expenses</w:t>
      </w:r>
    </w:p>
    <w:p>
      <w:pPr>
        <w:spacing w:after="0" w:line="198" w:lineRule="exact"/>
        <w:rPr>
          <w:sz w:val="20"/>
          <w:szCs w:val="20"/>
          <w:color w:val="auto"/>
        </w:rPr>
      </w:pPr>
    </w:p>
    <w:p>
      <w:pPr>
        <w:jc w:val="both"/>
        <w:ind w:right="60" w:firstLine="569"/>
        <w:spacing w:after="0" w:line="301" w:lineRule="auto"/>
        <w:rPr>
          <w:sz w:val="20"/>
          <w:szCs w:val="20"/>
          <w:color w:val="auto"/>
        </w:rPr>
      </w:pPr>
      <w:r>
        <w:rPr>
          <w:rFonts w:ascii="Arial" w:cs="Arial" w:eastAsia="Arial" w:hAnsi="Arial"/>
          <w:sz w:val="16"/>
          <w:szCs w:val="16"/>
          <w:color w:val="auto"/>
        </w:rPr>
        <w:t>Costs and expenses for the 2023 third quarter and first nine months increased 4% and 16%, respectively, compared with the 2022 third quarter and first nine months. Costs of sales and operating expenses for the 2023 third quarter and first nine months increased 2% and 16%, respectively, compared with the 2022 third quarter and first nine months, reflecting continued inflationary cost pressures, higher demand in the marine and on-highway businesses in commercial and industrial markets, and increased demand in the oil and gas market as a result of higher oilfield activity levels.</w:t>
      </w:r>
    </w:p>
    <w:p>
      <w:pPr>
        <w:spacing w:after="0" w:line="115" w:lineRule="exact"/>
        <w:rPr>
          <w:sz w:val="20"/>
          <w:szCs w:val="20"/>
          <w:color w:val="auto"/>
        </w:rPr>
      </w:pPr>
    </w:p>
    <w:p>
      <w:pPr>
        <w:jc w:val="both"/>
        <w:ind w:right="80" w:firstLine="562"/>
        <w:spacing w:after="0" w:line="341" w:lineRule="auto"/>
        <w:rPr>
          <w:sz w:val="20"/>
          <w:szCs w:val="20"/>
          <w:color w:val="auto"/>
        </w:rPr>
      </w:pPr>
      <w:r>
        <w:rPr>
          <w:rFonts w:ascii="Arial" w:cs="Arial" w:eastAsia="Arial" w:hAnsi="Arial"/>
          <w:sz w:val="16"/>
          <w:szCs w:val="16"/>
          <w:color w:val="auto"/>
        </w:rPr>
        <w:t>Selling, general and administrative expenses for the 2023 third quarter and first nine months increased 11% and 14%, respectively, compared to the 2022 third quarter and first nine months, primarily due to continued inflationary cost pressures, higher business activity and compensation increases.</w:t>
      </w:r>
    </w:p>
    <w:p>
      <w:pPr>
        <w:spacing w:after="0" w:line="5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12" w:right="279" w:bottom="1440" w:gutter="0" w:footer="0" w:header="0"/>
        </w:sectPr>
      </w:pPr>
    </w:p>
    <w:bookmarkStart w:id="23" w:name="page24"/>
    <w:bookmarkEnd w:id="23"/>
    <w:p>
      <w:pPr>
        <w:ind w:left="580"/>
        <w:spacing w:after="0"/>
        <w:rPr>
          <w:sz w:val="20"/>
          <w:szCs w:val="20"/>
          <w:color w:val="auto"/>
        </w:rPr>
      </w:pPr>
      <w:r>
        <w:rPr>
          <w:rFonts w:ascii="Arial" w:cs="Arial" w:eastAsia="Arial" w:hAnsi="Arial"/>
          <w:sz w:val="18"/>
          <w:szCs w:val="18"/>
          <w:b w:val="1"/>
          <w:bCs w:val="1"/>
          <w:i w:val="1"/>
          <w:iCs w:val="1"/>
          <w:color w:val="auto"/>
        </w:rPr>
        <w:t>Distribution and Services Operating Income and Operating Margin</w:t>
      </w:r>
    </w:p>
    <w:p>
      <w:pPr>
        <w:spacing w:after="0" w:line="198" w:lineRule="exact"/>
        <w:rPr>
          <w:sz w:val="20"/>
          <w:szCs w:val="20"/>
          <w:color w:val="auto"/>
        </w:rPr>
      </w:pPr>
    </w:p>
    <w:p>
      <w:pPr>
        <w:jc w:val="both"/>
        <w:ind w:right="100" w:firstLine="569"/>
        <w:spacing w:after="0" w:line="259" w:lineRule="auto"/>
        <w:rPr>
          <w:sz w:val="20"/>
          <w:szCs w:val="20"/>
          <w:color w:val="auto"/>
        </w:rPr>
      </w:pPr>
      <w:r>
        <w:rPr>
          <w:rFonts w:ascii="Arial" w:cs="Arial" w:eastAsia="Arial" w:hAnsi="Arial"/>
          <w:sz w:val="18"/>
          <w:szCs w:val="18"/>
          <w:color w:val="auto"/>
        </w:rPr>
        <w:t>KDS operating income for the 2023 third quarter and first nine months increased 49% and 72%, respectively, compared with the 2022 third quarter and first nine months. The 2023 third quarter operating margin was 9.9% compared to 7.1% for the 2022 third quarter. The 2023 first nine months operating margin was 8.4% compared to 5.8% for the 2022 first nine months. The results reflect increased business levels in both the commercial and industrial and oil and gas markets, as well as cost management initiatives.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Expenses</w:t>
      </w:r>
    </w:p>
    <w:p>
      <w:pPr>
        <w:spacing w:after="0" w:line="188" w:lineRule="exact"/>
        <w:rPr>
          <w:sz w:val="20"/>
          <w:szCs w:val="20"/>
          <w:color w:val="auto"/>
        </w:rPr>
      </w:pPr>
    </w:p>
    <w:p>
      <w:pPr>
        <w:jc w:val="both"/>
        <w:ind w:right="100" w:firstLine="569"/>
        <w:spacing w:after="0" w:line="277" w:lineRule="auto"/>
        <w:rPr>
          <w:sz w:val="20"/>
          <w:szCs w:val="20"/>
          <w:color w:val="auto"/>
        </w:rPr>
      </w:pPr>
      <w:r>
        <w:rPr>
          <w:rFonts w:ascii="Arial" w:cs="Arial" w:eastAsia="Arial" w:hAnsi="Arial"/>
          <w:sz w:val="18"/>
          <w:szCs w:val="18"/>
          <w:color w:val="auto"/>
        </w:rPr>
        <w:t>General corporate expenses for the 2023 first nine months increased compared to the 2022 first nine months primarily due to higher legal and insurance costs. The 2023 first quarter also included costs related to strategic review and shareholder engagement.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Assets</w:t>
      </w:r>
    </w:p>
    <w:p>
      <w:pPr>
        <w:spacing w:after="0" w:line="188" w:lineRule="exact"/>
        <w:rPr>
          <w:sz w:val="20"/>
          <w:szCs w:val="20"/>
          <w:color w:val="auto"/>
        </w:rPr>
      </w:pPr>
    </w:p>
    <w:p>
      <w:pPr>
        <w:jc w:val="both"/>
        <w:ind w:right="100" w:firstLine="562"/>
        <w:spacing w:after="0" w:line="263" w:lineRule="auto"/>
        <w:rPr>
          <w:sz w:val="20"/>
          <w:szCs w:val="20"/>
          <w:color w:val="auto"/>
        </w:rPr>
      </w:pPr>
      <w:r>
        <w:rPr>
          <w:rFonts w:ascii="Arial" w:cs="Arial" w:eastAsia="Arial" w:hAnsi="Arial"/>
          <w:sz w:val="18"/>
          <w:szCs w:val="18"/>
          <w:color w:val="auto"/>
        </w:rPr>
        <w:t>The Company reported a net gain on disposition of assets of $1.5 million for the 2023 third quarter and $0.4 million for the 2022 third quarter. The Company reported a net gain on disposition of assets of $4.2 million for the 2023 first nine months and $8.0 million for the 2022 first nine months. The net gains were primarily from sales of marine transportation equipment.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other income, noncontrolling interests, and interest expense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0" w:type="dxa"/>
            <w:vAlign w:val="bottom"/>
            <w:gridSpan w:val="8"/>
          </w:tcPr>
          <w:p>
            <w:pPr>
              <w:jc w:val="right"/>
              <w:ind w:right="1190"/>
              <w:spacing w:after="0"/>
              <w:rPr>
                <w:sz w:val="20"/>
                <w:szCs w:val="20"/>
                <w:color w:val="auto"/>
              </w:rPr>
            </w:pPr>
            <w:r>
              <w:rPr>
                <w:rFonts w:ascii="Arial" w:cs="Arial" w:eastAsia="Arial" w:hAnsi="Arial"/>
                <w:sz w:val="14"/>
                <w:szCs w:val="14"/>
                <w:b w:val="1"/>
                <w:bCs w:val="1"/>
                <w:color w:val="auto"/>
              </w:rPr>
              <w:t>Three Months Ended September 30,</w:t>
            </w:r>
          </w:p>
        </w:tc>
        <w:tc>
          <w:tcPr>
            <w:tcW w:w="2940" w:type="dxa"/>
            <w:vAlign w:val="bottom"/>
            <w:gridSpan w:val="6"/>
          </w:tcPr>
          <w:p>
            <w:pPr>
              <w:ind w:left="780"/>
              <w:spacing w:after="0"/>
              <w:rPr>
                <w:sz w:val="20"/>
                <w:szCs w:val="20"/>
                <w:color w:val="auto"/>
              </w:rPr>
            </w:pPr>
            <w:r>
              <w:rPr>
                <w:rFonts w:ascii="Arial" w:cs="Arial" w:eastAsia="Arial" w:hAnsi="Arial"/>
                <w:sz w:val="14"/>
                <w:szCs w:val="14"/>
                <w:b w:val="1"/>
                <w:bCs w:val="1"/>
                <w:color w:val="auto"/>
                <w:w w:val="92"/>
              </w:rPr>
              <w:t>Nine Months Ended September 30,</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29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4"/>
                <w:szCs w:val="14"/>
                <w:color w:val="auto"/>
              </w:rPr>
            </w:pPr>
          </w:p>
        </w:tc>
      </w:tr>
      <w:tr>
        <w:trPr>
          <w:trHeight w:val="224"/>
        </w:trPr>
        <w:tc>
          <w:tcPr>
            <w:tcW w:w="29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1,589</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3,805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9,296</w:t>
            </w:r>
          </w:p>
        </w:tc>
        <w:tc>
          <w:tcPr>
            <w:tcW w:w="2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11,853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r>
      <w:tr>
        <w:trPr>
          <w:trHeight w:val="242"/>
        </w:trPr>
        <w:tc>
          <w:tcPr>
            <w:tcW w:w="292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(153 )</w:t>
            </w:r>
          </w:p>
        </w:tc>
        <w:tc>
          <w:tcPr>
            <w:tcW w:w="1660" w:type="dxa"/>
            <w:vAlign w:val="bottom"/>
            <w:gridSpan w:val="3"/>
          </w:tcPr>
          <w:p>
            <w:pPr>
              <w:jc w:val="right"/>
              <w:ind w:right="90"/>
              <w:spacing w:after="0"/>
              <w:rPr>
                <w:sz w:val="20"/>
                <w:szCs w:val="20"/>
                <w:color w:val="auto"/>
              </w:rPr>
            </w:pPr>
            <w:r>
              <w:rPr>
                <w:rFonts w:ascii="Arial" w:cs="Arial" w:eastAsia="Arial" w:hAnsi="Arial"/>
                <w:sz w:val="18"/>
                <w:szCs w:val="18"/>
                <w:color w:val="auto"/>
              </w:rPr>
              <w:t>(74 )% $</w:t>
            </w: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(454 )</w:t>
            </w:r>
          </w:p>
        </w:tc>
        <w:tc>
          <w:tcPr>
            <w:tcW w:w="3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(119 )%</w:t>
            </w: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(13,386 )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(11,755 )</w:t>
            </w:r>
          </w:p>
        </w:tc>
        <w:tc>
          <w:tcPr>
            <w:tcW w:w="1660" w:type="dxa"/>
            <w:vAlign w:val="bottom"/>
            <w:gridSpan w:val="3"/>
          </w:tcPr>
          <w:p>
            <w:pPr>
              <w:jc w:val="right"/>
              <w:ind w:right="90"/>
              <w:spacing w:after="0"/>
              <w:rPr>
                <w:sz w:val="20"/>
                <w:szCs w:val="20"/>
                <w:color w:val="auto"/>
              </w:rPr>
            </w:pPr>
            <w:r>
              <w:rPr>
                <w:rFonts w:ascii="Arial" w:cs="Arial" w:eastAsia="Arial" w:hAnsi="Arial"/>
                <w:sz w:val="18"/>
                <w:szCs w:val="18"/>
                <w:color w:val="auto"/>
              </w:rPr>
              <w:t>14 % $</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(38,893 )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(32,598 )</w:t>
            </w:r>
          </w:p>
        </w:tc>
        <w:tc>
          <w:tcPr>
            <w:tcW w:w="3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w:t>
      </w:r>
    </w:p>
    <w:p>
      <w:pPr>
        <w:spacing w:after="0" w:line="184" w:lineRule="exact"/>
        <w:rPr>
          <w:sz w:val="20"/>
          <w:szCs w:val="20"/>
          <w:color w:val="auto"/>
        </w:rPr>
      </w:pPr>
    </w:p>
    <w:p>
      <w:pPr>
        <w:jc w:val="both"/>
        <w:ind w:right="100" w:firstLine="562"/>
        <w:spacing w:after="0" w:line="286" w:lineRule="auto"/>
        <w:rPr>
          <w:sz w:val="20"/>
          <w:szCs w:val="20"/>
          <w:color w:val="auto"/>
        </w:rPr>
      </w:pPr>
      <w:r>
        <w:rPr>
          <w:rFonts w:ascii="Arial" w:cs="Arial" w:eastAsia="Arial" w:hAnsi="Arial"/>
          <w:sz w:val="17"/>
          <w:szCs w:val="17"/>
          <w:color w:val="auto"/>
        </w:rPr>
        <w:t>Other income for the 2023 and 2022 third quarters includes income of $1.2 million and $3.5 million, respectively, and the 2023 and 2022 first nine months includes income of $3.6 million and $10.3 million, respectively, for all components of net benefit costs except the service cost component related to the Company’s defined benefit plans. The 2023 first quarter also includes interest income associated with the IRS refund.</w:t>
      </w:r>
    </w:p>
    <w:p>
      <w:pPr>
        <w:spacing w:after="0" w:line="13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average debt and average interest rate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8"/>
              </w:rPr>
              <w:t>Three Months Ended September 30,</w:t>
            </w:r>
          </w:p>
        </w:tc>
        <w:tc>
          <w:tcPr>
            <w:tcW w:w="240" w:type="dxa"/>
            <w:vAlign w:val="bottom"/>
          </w:tcPr>
          <w:p>
            <w:pPr>
              <w:spacing w:after="0"/>
              <w:rPr>
                <w:sz w:val="16"/>
                <w:szCs w:val="16"/>
                <w:color w:val="auto"/>
              </w:rPr>
            </w:pPr>
          </w:p>
        </w:tc>
        <w:tc>
          <w:tcPr>
            <w:tcW w:w="28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69"/>
        </w:trPr>
        <w:tc>
          <w:tcPr>
            <w:tcW w:w="49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Average debt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1,071,262</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1,228,759</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1,099,058</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1,185,426</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4.9 %</w:t>
            </w:r>
          </w:p>
        </w:tc>
        <w:tc>
          <w:tcPr>
            <w:tcW w:w="34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3.7 %</w:t>
            </w:r>
          </w:p>
        </w:tc>
        <w:tc>
          <w:tcPr>
            <w:tcW w:w="24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4.7 %</w:t>
            </w:r>
          </w:p>
        </w:tc>
        <w:tc>
          <w:tcPr>
            <w:tcW w:w="3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3.6 %</w:t>
            </w:r>
          </w:p>
        </w:tc>
      </w:tr>
    </w:tbl>
    <w:p>
      <w:pPr>
        <w:spacing w:after="0" w:line="174" w:lineRule="exact"/>
        <w:rPr>
          <w:sz w:val="20"/>
          <w:szCs w:val="20"/>
          <w:color w:val="auto"/>
        </w:rPr>
      </w:pPr>
    </w:p>
    <w:p>
      <w:pPr>
        <w:jc w:val="both"/>
        <w:ind w:right="100" w:firstLine="569"/>
        <w:spacing w:after="0" w:line="263" w:lineRule="auto"/>
        <w:rPr>
          <w:sz w:val="20"/>
          <w:szCs w:val="20"/>
          <w:color w:val="auto"/>
        </w:rPr>
      </w:pPr>
      <w:r>
        <w:rPr>
          <w:rFonts w:ascii="Arial" w:cs="Arial" w:eastAsia="Arial" w:hAnsi="Arial"/>
          <w:sz w:val="18"/>
          <w:szCs w:val="18"/>
          <w:color w:val="auto"/>
        </w:rPr>
        <w:t>Interest expense for the 2023 third quarter and first nine months increased 14% and 19%, respectively, compared with the 2022 third quarter and first nine months, primarily due to a higher average interest rate partially offset by lower average debt. There was no capitalized interest excluded from interest expense during the 2023 or 2022 first nine months.</w:t>
      </w:r>
    </w:p>
    <w:p>
      <w:pPr>
        <w:spacing w:after="0" w:line="11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1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significant components of the balance sheets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52"/>
              <w:spacing w:after="0"/>
              <w:rPr>
                <w:sz w:val="20"/>
                <w:szCs w:val="20"/>
                <w:color w:val="auto"/>
              </w:rPr>
            </w:pPr>
            <w:r>
              <w:rPr>
                <w:rFonts w:ascii="Arial" w:cs="Arial" w:eastAsia="Arial" w:hAnsi="Arial"/>
                <w:sz w:val="14"/>
                <w:szCs w:val="14"/>
                <w:b w:val="1"/>
                <w:bCs w:val="1"/>
                <w:color w:val="auto"/>
                <w:w w:val="98"/>
              </w:rPr>
              <w:t>September 30,</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52"/>
              <w:spacing w:after="0"/>
              <w:rPr>
                <w:sz w:val="20"/>
                <w:szCs w:val="20"/>
                <w:color w:val="auto"/>
              </w:rPr>
            </w:pPr>
            <w:r>
              <w:rPr>
                <w:rFonts w:ascii="Arial" w:cs="Arial" w:eastAsia="Arial" w:hAnsi="Arial"/>
                <w:sz w:val="14"/>
                <w:szCs w:val="14"/>
                <w:b w:val="1"/>
                <w:bCs w:val="1"/>
                <w:color w:val="auto"/>
                <w:w w:val="98"/>
              </w:rPr>
              <w:t>December 31,</w:t>
            </w:r>
          </w:p>
        </w:tc>
        <w:tc>
          <w:tcPr>
            <w:tcW w:w="260" w:type="dxa"/>
            <w:vAlign w:val="bottom"/>
          </w:tcPr>
          <w:p>
            <w:pPr>
              <w:spacing w:after="0"/>
              <w:rPr>
                <w:sz w:val="14"/>
                <w:szCs w:val="14"/>
                <w:color w:val="auto"/>
              </w:rPr>
            </w:pPr>
          </w:p>
        </w:tc>
        <w:tc>
          <w:tcPr>
            <w:tcW w:w="156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4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1,195,571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1,211,759</w:t>
            </w: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9"/>
        </w:trPr>
        <w:tc>
          <w:tcPr>
            <w:tcW w:w="6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3,782,124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3,633,462</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0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155,098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154,507</w:t>
            </w:r>
          </w:p>
        </w:tc>
        <w:tc>
          <w:tcPr>
            <w:tcW w:w="26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438,748</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438,748</w:t>
            </w:r>
          </w:p>
        </w:tc>
        <w:tc>
          <w:tcPr>
            <w:tcW w:w="26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540" w:type="dxa"/>
            <w:vAlign w:val="bottom"/>
          </w:tcPr>
          <w:p>
            <w:pPr>
              <w:ind w:left="200"/>
              <w:spacing w:after="0"/>
              <w:rPr>
                <w:sz w:val="20"/>
                <w:szCs w:val="20"/>
                <w:color w:val="auto"/>
              </w:rPr>
            </w:pPr>
            <w:r>
              <w:rPr>
                <w:rFonts w:ascii="Arial" w:cs="Arial" w:eastAsia="Arial" w:hAnsi="Arial"/>
                <w:sz w:val="18"/>
                <w:szCs w:val="18"/>
                <w:color w:val="auto"/>
              </w:rPr>
              <w:t>Other intangibles, net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45,058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51,463</w:t>
            </w: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5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66,281</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64,985</w:t>
            </w:r>
          </w:p>
        </w:tc>
        <w:tc>
          <w:tcPr>
            <w:tcW w:w="16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5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5,682,880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5,554,924</w:t>
            </w:r>
          </w:p>
        </w:tc>
        <w:tc>
          <w:tcPr>
            <w:tcW w:w="1820" w:type="dxa"/>
            <w:vAlign w:val="bottom"/>
            <w:gridSpan w:val="4"/>
          </w:tcPr>
          <w:p>
            <w:pPr>
              <w:jc w:val="right"/>
              <w:ind w:right="4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54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635,852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642,197</w:t>
            </w: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9"/>
        </w:trPr>
        <w:tc>
          <w:tcPr>
            <w:tcW w:w="6540" w:type="dxa"/>
            <w:vAlign w:val="bottom"/>
          </w:tcPr>
          <w:p>
            <w:pPr>
              <w:ind w:left="200"/>
              <w:spacing w:after="0"/>
              <w:rPr>
                <w:sz w:val="20"/>
                <w:szCs w:val="20"/>
                <w:color w:val="auto"/>
              </w:rPr>
            </w:pPr>
            <w:r>
              <w:rPr>
                <w:rFonts w:ascii="Arial" w:cs="Arial" w:eastAsia="Arial" w:hAnsi="Arial"/>
                <w:sz w:val="18"/>
                <w:szCs w:val="18"/>
                <w:color w:val="auto"/>
              </w:rPr>
              <w:t>Long-term debt, net – less current portion</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1,058,248</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1,076,326</w:t>
            </w: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672,711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625,884</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540" w:type="dxa"/>
            <w:vAlign w:val="bottom"/>
          </w:tcPr>
          <w:p>
            <w:pPr>
              <w:ind w:left="200"/>
              <w:spacing w:after="0"/>
              <w:rPr>
                <w:sz w:val="20"/>
                <w:szCs w:val="20"/>
                <w:color w:val="auto"/>
              </w:rPr>
            </w:pPr>
            <w:r>
              <w:rPr>
                <w:rFonts w:ascii="Arial" w:cs="Arial" w:eastAsia="Arial" w:hAnsi="Arial"/>
                <w:sz w:val="18"/>
                <w:szCs w:val="18"/>
                <w:color w:val="auto"/>
              </w:rPr>
              <w:t>Operating lease liabilities – less current portion</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142,237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142,140</w:t>
            </w:r>
          </w:p>
        </w:tc>
        <w:tc>
          <w:tcPr>
            <w:tcW w:w="26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23,209</w:t>
            </w:r>
          </w:p>
        </w:tc>
        <w:tc>
          <w:tcPr>
            <w:tcW w:w="17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20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3,158,082</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3,045,168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5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5,682,880</w:t>
            </w: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5,554,924</w:t>
            </w:r>
          </w:p>
        </w:tc>
        <w:tc>
          <w:tcPr>
            <w:tcW w:w="1820" w:type="dxa"/>
            <w:vAlign w:val="bottom"/>
            <w:gridSpan w:val="4"/>
          </w:tcPr>
          <w:p>
            <w:pPr>
              <w:jc w:val="right"/>
              <w:ind w:right="4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5013960</wp:posOffset>
            </wp:positionH>
            <wp:positionV relativeFrom="paragraph">
              <wp:posOffset>-1609090</wp:posOffset>
            </wp:positionV>
            <wp:extent cx="76835" cy="1885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-1609090</wp:posOffset>
            </wp:positionV>
            <wp:extent cx="68580" cy="1885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-1112520</wp:posOffset>
            </wp:positionV>
            <wp:extent cx="7132320" cy="1543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41" w:lineRule="exact"/>
        <w:rPr>
          <w:sz w:val="20"/>
          <w:szCs w:val="20"/>
          <w:color w:val="auto"/>
        </w:rPr>
      </w:pPr>
    </w:p>
    <w:p>
      <w:pPr>
        <w:jc w:val="both"/>
        <w:ind w:right="100" w:firstLine="562"/>
        <w:spacing w:after="0" w:line="275" w:lineRule="auto"/>
        <w:rPr>
          <w:sz w:val="20"/>
          <w:szCs w:val="20"/>
          <w:color w:val="auto"/>
        </w:rPr>
      </w:pPr>
      <w:r>
        <w:rPr>
          <w:rFonts w:ascii="Arial" w:cs="Arial" w:eastAsia="Arial" w:hAnsi="Arial"/>
          <w:sz w:val="17"/>
          <w:szCs w:val="17"/>
          <w:color w:val="auto"/>
        </w:rPr>
        <w:t>Current assets as of September 30, 2023 decreased 1% compared with December 31, 2022. Trade accounts receivable increased 6%, primarily due to increased business activity levels in both KMT and KDS. Other receivables decreased 53% as the Company received its tax refund of $70.4 million plus accrued interest in April 2023. Inventories increased by 9% due to higher activity and the impact of ongoing supply chain delays in KDS resulting in buildup for projects that will be delivered later in 2023 and into 2024. Prepaid expenses and other current assets increased 11% primarily due to the increase in the price of diesel fuel purchased in September 2023 and the timing of payments of insurance premiums.</w:t>
      </w:r>
    </w:p>
    <w:p>
      <w:pPr>
        <w:spacing w:after="0" w:line="148" w:lineRule="exact"/>
        <w:rPr>
          <w:sz w:val="20"/>
          <w:szCs w:val="20"/>
          <w:color w:val="auto"/>
        </w:rPr>
      </w:pPr>
    </w:p>
    <w:p>
      <w:pPr>
        <w:jc w:val="both"/>
        <w:ind w:right="100" w:firstLine="562"/>
        <w:spacing w:after="0" w:line="259" w:lineRule="auto"/>
        <w:rPr>
          <w:sz w:val="20"/>
          <w:szCs w:val="20"/>
          <w:color w:val="auto"/>
        </w:rPr>
      </w:pPr>
      <w:r>
        <w:rPr>
          <w:rFonts w:ascii="Arial" w:cs="Arial" w:eastAsia="Arial" w:hAnsi="Arial"/>
          <w:sz w:val="18"/>
          <w:szCs w:val="18"/>
          <w:color w:val="auto"/>
        </w:rPr>
        <w:t>Property and equipment, net of accumulated depreciation, at September 30, 2023 increased 4% compared with December 31, 2022. The increase reflected $277.3 million of capital additions (including an increase in accrued capital expenditures of $2.3 million), and $37.5 million of acquisitions of barge equipment, partially offset by $150.4 million of depreciation expense and $15.8 million of property disposals more fully described under Cash Flow and Capital Expenditures below.</w:t>
      </w:r>
    </w:p>
    <w:p>
      <w:pPr>
        <w:spacing w:after="0" w:line="145" w:lineRule="exact"/>
        <w:rPr>
          <w:sz w:val="20"/>
          <w:szCs w:val="20"/>
          <w:color w:val="auto"/>
        </w:rPr>
      </w:pPr>
    </w:p>
    <w:p>
      <w:pPr>
        <w:jc w:val="both"/>
        <w:ind w:right="100" w:firstLine="562"/>
        <w:spacing w:after="0" w:line="277" w:lineRule="auto"/>
        <w:rPr>
          <w:sz w:val="20"/>
          <w:szCs w:val="20"/>
          <w:color w:val="auto"/>
        </w:rPr>
      </w:pPr>
      <w:r>
        <w:rPr>
          <w:rFonts w:ascii="Arial" w:cs="Arial" w:eastAsia="Arial" w:hAnsi="Arial"/>
          <w:sz w:val="18"/>
          <w:szCs w:val="18"/>
          <w:color w:val="auto"/>
        </w:rPr>
        <w:t>Other intangibles, net, as of September 30, 2023 decreased 12% compared with December 31, 2022, primarily due to amortization during the 2023 first nine months.</w:t>
      </w:r>
    </w:p>
    <w:p>
      <w:pPr>
        <w:spacing w:after="0" w:line="129" w:lineRule="exact"/>
        <w:rPr>
          <w:sz w:val="20"/>
          <w:szCs w:val="20"/>
          <w:color w:val="auto"/>
        </w:rPr>
      </w:pPr>
    </w:p>
    <w:p>
      <w:pPr>
        <w:jc w:val="both"/>
        <w:ind w:right="100" w:firstLine="569"/>
        <w:spacing w:after="0" w:line="263" w:lineRule="auto"/>
        <w:rPr>
          <w:sz w:val="20"/>
          <w:szCs w:val="20"/>
          <w:color w:val="auto"/>
        </w:rPr>
      </w:pPr>
      <w:r>
        <w:rPr>
          <w:rFonts w:ascii="Arial" w:cs="Arial" w:eastAsia="Arial" w:hAnsi="Arial"/>
          <w:sz w:val="18"/>
          <w:szCs w:val="18"/>
          <w:color w:val="auto"/>
        </w:rPr>
        <w:t>Current liabilities as of September 30, 2023 decreased 1% compared with December 31, 2022. Accounts payable decreased 7% primarily due to timing of inventory purchases, partially offset by higher business activity levels. Deferred revenue increased 13% primarily due to deposits on equipment expected to be shipped later in 2023 and 2024 in KDS.</w:t>
      </w:r>
    </w:p>
    <w:p>
      <w:pPr>
        <w:spacing w:after="0" w:line="156" w:lineRule="exact"/>
        <w:rPr>
          <w:sz w:val="20"/>
          <w:szCs w:val="20"/>
          <w:color w:val="auto"/>
        </w:rPr>
      </w:pPr>
    </w:p>
    <w:p>
      <w:pPr>
        <w:jc w:val="both"/>
        <w:ind w:right="100" w:firstLine="562"/>
        <w:spacing w:after="0" w:line="263" w:lineRule="auto"/>
        <w:rPr>
          <w:sz w:val="20"/>
          <w:szCs w:val="20"/>
          <w:color w:val="auto"/>
        </w:rPr>
      </w:pPr>
      <w:r>
        <w:rPr>
          <w:rFonts w:ascii="Arial" w:cs="Arial" w:eastAsia="Arial" w:hAnsi="Arial"/>
          <w:sz w:val="18"/>
          <w:szCs w:val="18"/>
          <w:color w:val="auto"/>
        </w:rPr>
        <w:t>Long-term debt, net – less current portion, as of September 30, 2023 decreased 2% compared with December 31, 2022, primarily reflecting the maturity of the 3.29% senior notes due February 27, 2023, offset by borrowings under the 3.46% and 3.51% senior notes due January 19, 2033 and the 2027 Revolving Credit Facility.</w:t>
      </w:r>
    </w:p>
    <w:p>
      <w:pPr>
        <w:spacing w:after="0" w:line="142" w:lineRule="exact"/>
        <w:rPr>
          <w:sz w:val="20"/>
          <w:szCs w:val="20"/>
          <w:color w:val="auto"/>
        </w:rPr>
      </w:pPr>
    </w:p>
    <w:p>
      <w:pPr>
        <w:jc w:val="both"/>
        <w:ind w:right="100" w:firstLine="562"/>
        <w:spacing w:after="0" w:line="277" w:lineRule="auto"/>
        <w:rPr>
          <w:sz w:val="20"/>
          <w:szCs w:val="20"/>
          <w:color w:val="auto"/>
        </w:rPr>
      </w:pPr>
      <w:r>
        <w:rPr>
          <w:rFonts w:ascii="Arial" w:cs="Arial" w:eastAsia="Arial" w:hAnsi="Arial"/>
          <w:sz w:val="18"/>
          <w:szCs w:val="18"/>
          <w:color w:val="auto"/>
        </w:rPr>
        <w:t>Deferred income taxes as of September 30, 2023 increased 7% compared with December 31, 2022, primarily reflecting the deferred tax provision of $46.4 million.</w:t>
      </w:r>
    </w:p>
    <w:p>
      <w:pPr>
        <w:spacing w:after="0" w:line="129" w:lineRule="exact"/>
        <w:rPr>
          <w:sz w:val="20"/>
          <w:szCs w:val="20"/>
          <w:color w:val="auto"/>
        </w:rPr>
      </w:pPr>
    </w:p>
    <w:p>
      <w:pPr>
        <w:jc w:val="both"/>
        <w:ind w:right="120" w:firstLine="562"/>
        <w:spacing w:after="0" w:line="307" w:lineRule="auto"/>
        <w:rPr>
          <w:sz w:val="20"/>
          <w:szCs w:val="20"/>
          <w:color w:val="auto"/>
        </w:rPr>
      </w:pPr>
      <w:r>
        <w:rPr>
          <w:rFonts w:ascii="Arial" w:cs="Arial" w:eastAsia="Arial" w:hAnsi="Arial"/>
          <w:sz w:val="17"/>
          <w:szCs w:val="17"/>
          <w:color w:val="auto"/>
        </w:rPr>
        <w:t>Other long-term liabilities as of September 30, 2023 decreased 32% compared with December 31, 2022, primarily due to a decrease in pension liabilities as a result of pension contributions of $7.6 million during the 2023 first nine months and amortization of intangible liabilities.</w:t>
      </w:r>
    </w:p>
    <w:p>
      <w:pPr>
        <w:spacing w:after="0" w:line="120" w:lineRule="exact"/>
        <w:rPr>
          <w:sz w:val="20"/>
          <w:szCs w:val="20"/>
          <w:color w:val="auto"/>
        </w:rPr>
      </w:pPr>
    </w:p>
    <w:p>
      <w:pPr>
        <w:jc w:val="both"/>
        <w:ind w:right="100" w:firstLine="569"/>
        <w:spacing w:after="0" w:line="263" w:lineRule="auto"/>
        <w:rPr>
          <w:sz w:val="20"/>
          <w:szCs w:val="20"/>
          <w:color w:val="auto"/>
        </w:rPr>
      </w:pPr>
      <w:r>
        <w:rPr>
          <w:rFonts w:ascii="Arial" w:cs="Arial" w:eastAsia="Arial" w:hAnsi="Arial"/>
          <w:sz w:val="18"/>
          <w:szCs w:val="18"/>
          <w:color w:val="auto"/>
        </w:rPr>
        <w:t>Total equity as of September 30, 2023 increased 4% compared with December 31, 2022. The increase was primarily due to the net earnings attributable to Kirby of $161.0 million, amortization of share-based compensation of $12.3 million, and stock option exercises of $3.4 million, partially offset by treasury stock purchases of $60.9 million and tax withholdings of $3.6 million on RSU vestings.</w:t>
      </w:r>
    </w:p>
    <w:p>
      <w:pPr>
        <w:spacing w:after="0" w:line="10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1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Long-Term Financing</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outstanding debt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September 30,</w:t>
            </w:r>
          </w:p>
        </w:tc>
        <w:tc>
          <w:tcPr>
            <w:tcW w:w="18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8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8160" w:type="dxa"/>
            <w:vAlign w:val="bottom"/>
          </w:tcPr>
          <w:p>
            <w:pPr>
              <w:ind w:left="200"/>
              <w:spacing w:after="0"/>
              <w:rPr>
                <w:sz w:val="20"/>
                <w:szCs w:val="20"/>
                <w:color w:val="auto"/>
              </w:rPr>
            </w:pPr>
            <w:r>
              <w:rPr>
                <w:rFonts w:ascii="Arial" w:cs="Arial" w:eastAsia="Arial" w:hAnsi="Arial"/>
                <w:sz w:val="18"/>
                <w:szCs w:val="18"/>
                <w:color w:val="auto"/>
              </w:rPr>
              <w:t>Revolving Credit Facility due July 29, 2027 (a)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94,000</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8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Term Loan due July 29, 2027 (a)</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170,000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170,000</w:t>
            </w: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200"/>
              <w:spacing w:after="0"/>
              <w:rPr>
                <w:sz w:val="20"/>
                <w:szCs w:val="20"/>
                <w:color w:val="auto"/>
              </w:rPr>
            </w:pPr>
            <w:r>
              <w:rPr>
                <w:rFonts w:ascii="Arial" w:cs="Arial" w:eastAsia="Arial" w:hAnsi="Arial"/>
                <w:sz w:val="18"/>
                <w:szCs w:val="18"/>
                <w:color w:val="auto"/>
              </w:rPr>
              <w:t>3.29% senior notes due February 27, 2023</w:t>
            </w:r>
          </w:p>
        </w:tc>
        <w:tc>
          <w:tcPr>
            <w:tcW w:w="18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4.2% senior notes due March 1, 2028</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FF0FC"/>
          </w:tcPr>
          <w:p>
            <w:pPr>
              <w:spacing w:after="0"/>
              <w:rPr>
                <w:sz w:val="21"/>
                <w:szCs w:val="21"/>
                <w:color w:val="auto"/>
              </w:rPr>
            </w:pPr>
          </w:p>
        </w:tc>
      </w:tr>
      <w:tr>
        <w:trPr>
          <w:trHeight w:val="236"/>
        </w:trPr>
        <w:tc>
          <w:tcPr>
            <w:tcW w:w="8160" w:type="dxa"/>
            <w:vAlign w:val="bottom"/>
          </w:tcPr>
          <w:p>
            <w:pPr>
              <w:ind w:left="200"/>
              <w:spacing w:after="0"/>
              <w:rPr>
                <w:sz w:val="20"/>
                <w:szCs w:val="20"/>
                <w:color w:val="auto"/>
              </w:rPr>
            </w:pPr>
            <w:r>
              <w:rPr>
                <w:rFonts w:ascii="Arial" w:cs="Arial" w:eastAsia="Arial" w:hAnsi="Arial"/>
                <w:sz w:val="18"/>
                <w:szCs w:val="18"/>
                <w:color w:val="auto"/>
              </w:rPr>
              <w:t>3.46% senior notes due January 19, 2033</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60,000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3.51% senior notes due January 19, 2033</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240,000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8160" w:type="dxa"/>
            <w:vAlign w:val="bottom"/>
          </w:tcPr>
          <w:p>
            <w:pPr>
              <w:ind w:left="200"/>
              <w:spacing w:after="0"/>
              <w:rPr>
                <w:sz w:val="20"/>
                <w:szCs w:val="20"/>
                <w:color w:val="auto"/>
              </w:rPr>
            </w:pPr>
            <w:r>
              <w:rPr>
                <w:rFonts w:ascii="Arial" w:cs="Arial" w:eastAsia="Arial" w:hAnsi="Arial"/>
                <w:sz w:val="18"/>
                <w:szCs w:val="18"/>
                <w:color w:val="auto"/>
              </w:rPr>
              <w:t>Credit line due June 30, 2024</w:t>
            </w:r>
          </w:p>
        </w:tc>
        <w:tc>
          <w:tcPr>
            <w:tcW w:w="18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8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Bank notes payable</w:t>
            </w: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9,608</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1,073,608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1,083,292</w:t>
            </w:r>
          </w:p>
        </w:tc>
        <w:tc>
          <w:tcPr>
            <w:tcW w:w="100" w:type="dxa"/>
            <w:vAlign w:val="bottom"/>
          </w:tcPr>
          <w:p>
            <w:pPr>
              <w:spacing w:after="0"/>
              <w:rPr>
                <w:sz w:val="20"/>
                <w:szCs w:val="20"/>
                <w:color w:val="auto"/>
              </w:rPr>
            </w:pPr>
          </w:p>
        </w:tc>
      </w:tr>
      <w:tr>
        <w:trPr>
          <w:trHeight w:val="243"/>
        </w:trPr>
        <w:tc>
          <w:tcPr>
            <w:tcW w:w="8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Unamortized debt discounts and issuance costs (b)</w:t>
            </w:r>
          </w:p>
        </w:tc>
        <w:tc>
          <w:tcPr>
            <w:tcW w:w="1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(5,752 )</w:t>
            </w: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(3,674 )</w:t>
            </w:r>
          </w:p>
        </w:tc>
      </w:tr>
      <w:tr>
        <w:trPr>
          <w:trHeight w:val="236"/>
        </w:trPr>
        <w:tc>
          <w:tcPr>
            <w:tcW w:w="816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1,067,856</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1,079,618</w:t>
            </w:r>
          </w:p>
        </w:tc>
        <w:tc>
          <w:tcPr>
            <w:tcW w:w="100" w:type="dxa"/>
            <w:vAlign w:val="bottom"/>
            <w:tcBorders>
              <w:top w:val="single" w:sz="8" w:color="CFF0FC"/>
            </w:tcBorders>
          </w:tcPr>
          <w:p>
            <w:pPr>
              <w:spacing w:after="0"/>
              <w:rPr>
                <w:sz w:val="20"/>
                <w:szCs w:val="20"/>
                <w:color w:val="auto"/>
              </w:rPr>
            </w:pPr>
          </w:p>
        </w:tc>
      </w:tr>
      <w:tr>
        <w:trPr>
          <w:trHeight w:val="20"/>
        </w:trPr>
        <w:tc>
          <w:tcPr>
            <w:tcW w:w="8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-504825</wp:posOffset>
            </wp:positionV>
            <wp:extent cx="76835" cy="1625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-187960</wp:posOffset>
            </wp:positionV>
            <wp:extent cx="76835" cy="1885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41" w:lineRule="exact"/>
        <w:rPr>
          <w:sz w:val="20"/>
          <w:szCs w:val="20"/>
          <w:color w:val="auto"/>
        </w:rPr>
      </w:pPr>
    </w:p>
    <w:p>
      <w:pPr>
        <w:ind w:left="940" w:hanging="371"/>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Variable interest rate of 6.8% at September 30, 2023.</w:t>
      </w:r>
    </w:p>
    <w:p>
      <w:pPr>
        <w:spacing w:after="0" w:line="23" w:lineRule="exact"/>
        <w:rPr>
          <w:rFonts w:ascii="Arial" w:cs="Arial" w:eastAsia="Arial" w:hAnsi="Arial"/>
          <w:sz w:val="18"/>
          <w:szCs w:val="18"/>
          <w:color w:val="auto"/>
        </w:rPr>
      </w:pPr>
    </w:p>
    <w:p>
      <w:pPr>
        <w:ind w:left="940" w:hanging="371"/>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$1.8 million attributable to the 2027 Revolving Credit Facility included in other assets at December 31, 2022.</w:t>
      </w:r>
    </w:p>
    <w:p>
      <w:pPr>
        <w:spacing w:after="0" w:line="170"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At the beginning of 2022, the Company had in place its 2024 Credit Agreement with a group of commercial banks, with JPMorgan Chase Bank, N.A. as the administrative agent bank, that allowed for an $850 million 2024 Revolving Credit Facility and a 2024 Term Loan with a maturity date of March 27, 2024. The 2024 Term Loan was prepayable, in whole or in part, without penalty.</w:t>
      </w:r>
    </w:p>
    <w:p>
      <w:pPr>
        <w:spacing w:after="0" w:line="156"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7"/>
          <w:szCs w:val="17"/>
          <w:color w:val="auto"/>
        </w:rPr>
        <w:t>On July 29, 2022, the Company entered into the 2027 Credit Agreement with a group of commercial banks, with JPMorgan Chase Bank, N.A. as the administrative agent bank that allows for a $500 million 2027 Revolving Credit Facility and a $250 million 2027 Term Loan with a maturity date of July 29, 2027. The 2027 Credit Agreement replaced the 2024 Credit Agreement. In conjunction with entering into the 2027 Credit Agreement, on July 29, 2022, the Company borrowed $35 million under the 2027 Revolving Credit Facility and $250 million under the 2027 Term Loan to repay borrowings under the 2024 Term Loan. In the fourth quarter of 2022, the Company repaid $80.0 million under the 2027 Term Loan prior to scheduled maturities. As a result, no repayments are required until June 30, 2025. Outstanding letters of credit under the 2027 Revolving Credit Facility were $0.1 million and available borrowing capacity was $405.9 million as of September 30, 2023.</w:t>
      </w:r>
    </w:p>
    <w:p>
      <w:pPr>
        <w:spacing w:after="0" w:line="140" w:lineRule="exact"/>
        <w:rPr>
          <w:sz w:val="20"/>
          <w:szCs w:val="20"/>
          <w:color w:val="auto"/>
        </w:rPr>
      </w:pPr>
    </w:p>
    <w:p>
      <w:pPr>
        <w:jc w:val="both"/>
        <w:ind w:firstLine="562"/>
        <w:spacing w:after="0" w:line="268" w:lineRule="auto"/>
        <w:rPr>
          <w:sz w:val="20"/>
          <w:szCs w:val="20"/>
          <w:color w:val="auto"/>
        </w:rPr>
      </w:pPr>
      <w:r>
        <w:rPr>
          <w:rFonts w:ascii="Arial" w:cs="Arial" w:eastAsia="Arial" w:hAnsi="Arial"/>
          <w:sz w:val="17"/>
          <w:szCs w:val="17"/>
          <w:color w:val="auto"/>
        </w:rPr>
        <w:t>The 2027 Term Loan is repayable in quarterly installments, with no repayments until June 30, 2025, in increasing percentages of the original principal amount of the loan, with the remaining unpaid balance of approximately $43.8 million payable upon maturity, assuming no prepayment. The 2027 Term Loan is prepayable, in whole or in part, without penalty. The 2027 Credit Agreement provides for a variable interest rate based on the SOFR or a base rate calculated with reference to the prime rate quoted by The Wall Street Journal, the Federal Reserve Bank of New York Rate plus 0.5%, or the Alternate Base Rate. The interest rate varies with the Company’s credit rating and is currently 137.5 basis points over SOFR or 37.5 basis points over the Alternate Base Rate. The 2027 Credit Agreement contains certain financial covenants including an interest coverage ratio and debt-to-capitalization ratio. In addition to financial covenants, the 2027 Credit Agreement contains covenants that, subject to exceptions, restrict debt incurrence, mergers and acquisitions, sales of assets, dividends and investments, liquidations and dissolutions, capital leases, transactions with affiliates, and changes in lines of business. The 2027 Credit Agreement specifies certain events of default, upon the occurrence of which the maturity of the outstanding loans may be accelerated, including the failure to pay principal or interest, violation of covenants and default on other indebtedness, among other events. Borrowings under the 2027 Credit Agreement may be used for general corporate purposes including acquisitions. The 2027 Revolving Credit Facility includes a $25 million commitment which may be used for standby letters of credit.</w:t>
      </w:r>
    </w:p>
    <w:p>
      <w:pPr>
        <w:spacing w:after="0" w:line="145" w:lineRule="exact"/>
        <w:rPr>
          <w:sz w:val="20"/>
          <w:szCs w:val="20"/>
          <w:color w:val="auto"/>
        </w:rPr>
      </w:pPr>
    </w:p>
    <w:p>
      <w:pPr>
        <w:jc w:val="both"/>
        <w:ind w:firstLine="569"/>
        <w:spacing w:after="0" w:line="288" w:lineRule="auto"/>
        <w:rPr>
          <w:sz w:val="20"/>
          <w:szCs w:val="20"/>
          <w:color w:val="auto"/>
        </w:rPr>
      </w:pPr>
      <w:r>
        <w:rPr>
          <w:rFonts w:ascii="Arial" w:cs="Arial" w:eastAsia="Arial" w:hAnsi="Arial"/>
          <w:sz w:val="16"/>
          <w:szCs w:val="16"/>
          <w:color w:val="auto"/>
        </w:rPr>
        <w:t>On February 3, 2022, the Company entered into a note purchase agreement for the 2033 Notes with a group of institutional investors, consisting of $60 million Series A Notes and $240 million Series B Notes, each due January 19, 2033. The Series A Notes were issued on October 20, 2022, and the Series B Notes were issued on January 19, 2023. No principal payments will be required until maturity. Beginning in 2023, interest payments of $5.3 million will be due semi-annually on January 19 and July 19 of each year, with the exception of the first payment on January 19, 2023, which was $0.5 million. The 2033 Notes are unsecured and rank equally in right of payment with the Company's other unsecured senior indebtedness. The 2033 Notes contain certain covenants on the part of the Company, including an interest coverage covenant, a debt-to-capitalization covenant, and covenants relating to liens, asset sales and mergers, among others. The 2033 Notes also specify certain events of default, upon the occurrence of which the maturity of the notes may be accelerated, including failure to pay principal and interest, violation of covenants or default on other indebtedness, among others. The 2023 Notes were repaid using a combination of the proceeds from the issuance of the 2033 Notes and availability under the 2027 Revolving Credit Facility.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6" w:name="page27"/>
    <w:bookmarkEnd w:id="26"/>
    <w:p>
      <w:pPr>
        <w:jc w:val="both"/>
        <w:ind w:firstLine="562"/>
        <w:spacing w:after="0" w:line="263" w:lineRule="auto"/>
        <w:rPr>
          <w:sz w:val="20"/>
          <w:szCs w:val="20"/>
          <w:color w:val="auto"/>
        </w:rPr>
      </w:pPr>
      <w:r>
        <w:rPr>
          <w:rFonts w:ascii="Arial" w:cs="Arial" w:eastAsia="Arial" w:hAnsi="Arial"/>
          <w:sz w:val="18"/>
          <w:szCs w:val="18"/>
          <w:color w:val="auto"/>
        </w:rPr>
        <w:t>The Company has a $10 million Credit Line with Bank of America for short-term liquidity needs and letters of credit, with a maturity date of June 30, 2024. Outstanding letters of credit under the $10 million credit line were $7.3 million and available borrowing capacity was $2.7 million as of September 30, 2023.</w:t>
      </w:r>
    </w:p>
    <w:p>
      <w:pPr>
        <w:spacing w:after="0" w:line="156"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As of September 30, 2023, the Company was in compliance with all covenants under its debt instruments. For additional information about the Company’s debt instruments, see Note 5, Long-Term Debt, of the Notes to Condensed Financial Statements (Unaudited) as well as Note 5, Long-Term Debt, in the Company’s Annual Report on Form 10-K for the year ended December 31,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and Capital Expenditures</w:t>
      </w:r>
    </w:p>
    <w:p>
      <w:pPr>
        <w:spacing w:after="0" w:line="184" w:lineRule="exact"/>
        <w:rPr>
          <w:sz w:val="20"/>
          <w:szCs w:val="20"/>
          <w:color w:val="auto"/>
        </w:rPr>
      </w:pPr>
    </w:p>
    <w:p>
      <w:pPr>
        <w:jc w:val="both"/>
        <w:ind w:firstLine="569"/>
        <w:spacing w:after="0" w:line="270" w:lineRule="auto"/>
        <w:rPr>
          <w:sz w:val="20"/>
          <w:szCs w:val="20"/>
          <w:color w:val="auto"/>
        </w:rPr>
      </w:pPr>
      <w:r>
        <w:rPr>
          <w:rFonts w:ascii="Arial" w:cs="Arial" w:eastAsia="Arial" w:hAnsi="Arial"/>
          <w:sz w:val="17"/>
          <w:szCs w:val="17"/>
          <w:color w:val="auto"/>
        </w:rPr>
        <w:t>The Company generated positive operating cash flows during the 2023 first nine months with net cash provided by operating activities of $324.2 million compared with $161.2 million for the 2022 first nine months, a 101% increase. Higher revenues and operating income in KMT and KDS and the receipt of the IRS refund of $70.4 million plus accrued interest in April 2023 more than offset an increase in trade accounts receivable, primarily due to higher revenues and timing of collections, and increased inventory levels in KDS due to higher activity and managing supply chain challenges during the 2023 first nine months. Increases in KMT revenues and operating income were driven by higher term and spot contract pricing and increased barge utilization in the inland and coastal markets during the 2023 first nine months. During the 2023 and 2022 third quarters and first nine months, the Company generated cash of $21.8 million and $32.9 million, respectively, from proceeds from the disposition of assets, and $3.4 million and $3.9 million, respectively, from proceeds from the exercise of stock options.</w:t>
      </w:r>
    </w:p>
    <w:p>
      <w:pPr>
        <w:spacing w:after="0" w:line="155" w:lineRule="exact"/>
        <w:rPr>
          <w:sz w:val="20"/>
          <w:szCs w:val="20"/>
          <w:color w:val="auto"/>
        </w:rPr>
      </w:pPr>
    </w:p>
    <w:p>
      <w:pPr>
        <w:jc w:val="both"/>
        <w:ind w:firstLine="569"/>
        <w:spacing w:after="0" w:line="286" w:lineRule="auto"/>
        <w:rPr>
          <w:sz w:val="20"/>
          <w:szCs w:val="20"/>
          <w:color w:val="auto"/>
        </w:rPr>
      </w:pPr>
      <w:r>
        <w:rPr>
          <w:rFonts w:ascii="Arial" w:cs="Arial" w:eastAsia="Arial" w:hAnsi="Arial"/>
          <w:sz w:val="17"/>
          <w:szCs w:val="17"/>
          <w:color w:val="auto"/>
        </w:rPr>
        <w:t>For the 2023 first nine months, cash generated was used for capital expenditures of $275.0 million, including $35.5 million for specialized inland equipment construction and $239.5 million primarily for upgrading existing marine equipment, new electric fracturing equipment, and KMT and KDS facilities. In addition, as more fully described under Acquisitions above, $37.5 million was used for acquisitions of barge equipment in KMT.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 Purchases</w:t>
      </w:r>
    </w:p>
    <w:p>
      <w:pPr>
        <w:spacing w:after="0" w:line="184" w:lineRule="exact"/>
        <w:rPr>
          <w:sz w:val="20"/>
          <w:szCs w:val="20"/>
          <w:color w:val="auto"/>
        </w:rPr>
      </w:pPr>
    </w:p>
    <w:p>
      <w:pPr>
        <w:jc w:val="both"/>
        <w:ind w:firstLine="569"/>
        <w:spacing w:after="0" w:line="270" w:lineRule="auto"/>
        <w:rPr>
          <w:sz w:val="20"/>
          <w:szCs w:val="20"/>
          <w:color w:val="auto"/>
        </w:rPr>
      </w:pPr>
      <w:r>
        <w:rPr>
          <w:rFonts w:ascii="Arial" w:cs="Arial" w:eastAsia="Arial" w:hAnsi="Arial"/>
          <w:sz w:val="17"/>
          <w:szCs w:val="17"/>
          <w:color w:val="auto"/>
        </w:rPr>
        <w:t>During the 2023 first nine months, the Company purchased 811,880 shares of its common stock for $60.9 million, at an average price of $75.02 per share. Subsequent to September 30, 2023 and through November 3, 2023, the Company purchased an additional 193,432 shares of its common stock for $15.3 million, at an average price of $79.01 per share. As of November 3, 2023, the Company had approximately 5.0 million shares available under its existing repurchase authorization. Historically, treasury stock purchases have been financed through operating cash flows and borrowings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84"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Funds generated from operations are available for acquisitions, capital expenditure projects, common stock repurchases, repayments of borrowings, and for other corporate and operating requirements. In addition to net cash flows provided by operating activities, as of November 3, 2023 the Company also had cash and cash equivalents of $53.2 million, availability of $416.0 million under its 2027 Revolving Credit Facility, and $2.7 million available under its credit line.</w:t>
      </w:r>
    </w:p>
    <w:p>
      <w:pPr>
        <w:spacing w:after="0" w:line="145" w:lineRule="exact"/>
        <w:rPr>
          <w:sz w:val="20"/>
          <w:szCs w:val="20"/>
          <w:color w:val="auto"/>
        </w:rPr>
      </w:pPr>
    </w:p>
    <w:p>
      <w:pPr>
        <w:jc w:val="both"/>
        <w:ind w:right="20" w:firstLine="562"/>
        <w:spacing w:after="0" w:line="277" w:lineRule="auto"/>
        <w:rPr>
          <w:sz w:val="20"/>
          <w:szCs w:val="20"/>
          <w:color w:val="auto"/>
        </w:rPr>
      </w:pPr>
      <w:r>
        <w:rPr>
          <w:rFonts w:ascii="Arial" w:cs="Arial" w:eastAsia="Arial" w:hAnsi="Arial"/>
          <w:sz w:val="18"/>
          <w:szCs w:val="18"/>
          <w:color w:val="auto"/>
        </w:rPr>
        <w:t>Neither the Company, nor any of its subsidiaries, is obligated on any debt instrument, swap agreement, or any other financial instrument or commercial contract which has a rating trigger, except for the pricing grid on its 2027 Credit Agreement.</w:t>
      </w:r>
    </w:p>
    <w:p>
      <w:pPr>
        <w:spacing w:after="0" w:line="142"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The Company expects to continue to fund expenditures for acquisitions, capital construction projects, common stock repurchases, repayment of borrowings, and for other operating requirements from a combination of available cash and cash equivalents, funds generated from operating activities, and available financing arrangements.</w:t>
      </w:r>
    </w:p>
    <w:p>
      <w:pPr>
        <w:spacing w:after="0" w:line="142" w:lineRule="exact"/>
        <w:rPr>
          <w:sz w:val="20"/>
          <w:szCs w:val="20"/>
          <w:color w:val="auto"/>
        </w:rPr>
      </w:pPr>
    </w:p>
    <w:p>
      <w:pPr>
        <w:jc w:val="both"/>
        <w:ind w:firstLine="562"/>
        <w:spacing w:after="0" w:line="256" w:lineRule="auto"/>
        <w:rPr>
          <w:sz w:val="20"/>
          <w:szCs w:val="20"/>
          <w:color w:val="auto"/>
        </w:rPr>
      </w:pPr>
      <w:r>
        <w:rPr>
          <w:rFonts w:ascii="Arial" w:cs="Arial" w:eastAsia="Arial" w:hAnsi="Arial"/>
          <w:sz w:val="18"/>
          <w:szCs w:val="18"/>
          <w:color w:val="auto"/>
        </w:rPr>
        <w:t>The 2027 Revolving Credit Facility's commitment is in the amount of $500 million and matures July 29, 2027. The 4.2% senior unsecured notes do not mature until March 1, 2028 and require no prepayments. The 2033 Notes do not mature until January 19, 2033 and require no prepayments. The 2027 Term Loan in the amount of $250 million is subject to quarterly installments, beginning June 30, 2025, in increasing percentages of the original principal amount of the loan, with the remaining unpaid balance of approximately $43.8 million payable on July 29, 2027, assuming no prepayments. The 2027 Term Loan is prepayable, in whole or in part, without penalty.</w:t>
      </w:r>
    </w:p>
    <w:p>
      <w:pPr>
        <w:spacing w:after="0" w:line="150"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There are numerous factors that may negatively impact the Company’s cash flows in 2023. For a list of significant risks and uncertainties that could impact cash flows, see Note 13, Contingencies and Commitments, of the Notes to Condensed Financial Statements (Unaudited), and Item 1A — Risk Factors and Note 14, Contingencies and Commitments, in the Company’s Annual Report on Form 10-K for the year ended December 31, 2022. Amounts available under the Company’s existing financial arrangements are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7" w:name="page28"/>
    <w:bookmarkEnd w:id="27"/>
    <w:p>
      <w:pPr>
        <w:jc w:val="both"/>
        <w:spacing w:after="0" w:line="263" w:lineRule="auto"/>
        <w:rPr>
          <w:sz w:val="20"/>
          <w:szCs w:val="20"/>
          <w:color w:val="auto"/>
        </w:rPr>
      </w:pPr>
      <w:r>
        <w:rPr>
          <w:rFonts w:ascii="Arial" w:cs="Arial" w:eastAsia="Arial" w:hAnsi="Arial"/>
          <w:sz w:val="18"/>
          <w:szCs w:val="18"/>
          <w:color w:val="auto"/>
        </w:rPr>
        <w:t>subject to the Company continuing to meet the covenants of the credit facilities as described in Note 5, Long-Term Debt, of the Notes to Condensed Financial Statements (Unaudited) as well as Note 5, Long-Term Debt, in the Company’s Annual Report on Form 10-K for the year ended December 31, 2022.</w:t>
      </w:r>
    </w:p>
    <w:p>
      <w:pPr>
        <w:spacing w:after="0" w:line="156" w:lineRule="exact"/>
        <w:rPr>
          <w:sz w:val="20"/>
          <w:szCs w:val="20"/>
          <w:color w:val="auto"/>
        </w:rPr>
      </w:pPr>
    </w:p>
    <w:p>
      <w:pPr>
        <w:jc w:val="both"/>
        <w:ind w:firstLine="569"/>
        <w:spacing w:after="0" w:line="275" w:lineRule="auto"/>
        <w:rPr>
          <w:sz w:val="20"/>
          <w:szCs w:val="20"/>
          <w:color w:val="auto"/>
        </w:rPr>
      </w:pPr>
      <w:r>
        <w:rPr>
          <w:rFonts w:ascii="Arial" w:cs="Arial" w:eastAsia="Arial" w:hAnsi="Arial"/>
          <w:sz w:val="17"/>
          <w:szCs w:val="17"/>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$27.6 million at September 30, 2023, including $13.0 million in letters of credit and $14.6 million in performance bonds. All of these instruments have an expiration date within two years. The Company does not believe demand for payment under these instruments is likely and expects no material cash outlays to occur in connection with these instruments.</w:t>
      </w:r>
    </w:p>
    <w:p>
      <w:pPr>
        <w:spacing w:after="0" w:line="134"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6"/>
          <w:szCs w:val="16"/>
          <w:color w:val="auto"/>
        </w:rPr>
        <w:t>KMT term contracts typically contain fuel escalation clauses, or the customer pays for the fuel. However, there is generally a 30 to 120 day delay before contracts are adjusted depending on the specific terms of the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The Company’s spot contract rates generally reflect current fuel prices at the time the contract is signed but do not have escalators for fuel.</w:t>
      </w:r>
    </w:p>
    <w:p>
      <w:pPr>
        <w:spacing w:after="0" w:line="122" w:lineRule="exact"/>
        <w:rPr>
          <w:sz w:val="20"/>
          <w:szCs w:val="20"/>
          <w:color w:val="auto"/>
        </w:rPr>
      </w:pPr>
    </w:p>
    <w:p>
      <w:pPr>
        <w:jc w:val="both"/>
        <w:ind w:firstLine="562"/>
        <w:spacing w:after="0" w:line="256" w:lineRule="auto"/>
        <w:rPr>
          <w:sz w:val="20"/>
          <w:szCs w:val="20"/>
          <w:color w:val="auto"/>
        </w:rPr>
      </w:pPr>
      <w:r>
        <w:rPr>
          <w:rFonts w:ascii="Arial" w:cs="Arial" w:eastAsia="Arial" w:hAnsi="Arial"/>
          <w:sz w:val="18"/>
          <w:szCs w:val="18"/>
          <w:color w:val="auto"/>
        </w:rPr>
        <w:t>The Company has certain mechanisms designed to help mitigate the impacts of rising costs. For example, KMT has long-term contracts which generally contain cost escalation clauses whereby certain costs, including fuel as noted above, can be largely passed through to its customers. Spot contract rates include the cost of fuel and are subject to market volatility. In KDS, the cost of major components for large manufacturing orders is secured with suppliers at the time a customer order is finalized, which somewhat limits exposure to inflation. The repair portion of KDS is based on prevailing current market rates.</w:t>
      </w:r>
    </w:p>
    <w:p>
      <w:pPr>
        <w:spacing w:after="0" w:line="16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8"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7"/>
          <w:szCs w:val="17"/>
          <w:color w:val="auto"/>
        </w:rPr>
        <w:t>The Company is exposed to risk from changes in interest rates on certain of its outstanding debt. The outstanding loan balances under the Company’s current bank credit facilities bear interest at variable rates based on prevailing short-term interest rates in the United States, while the previous bank credit facilities also included banks in Europe. A 1% increase in variable interest rates would impact the 2023 interest expense by $1.7 million based on balances outstanding at December 31, 2022, and would change the fair value of the Company’s debt by approximately 1.8%.</w:t>
      </w:r>
    </w:p>
    <w:p>
      <w:pPr>
        <w:spacing w:after="0" w:line="1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i w:val="1"/>
          <w:iCs w:val="1"/>
          <w:color w:val="auto"/>
        </w:rPr>
        <w:t>Disclosure Controls and Procedures</w:t>
      </w:r>
      <w:r>
        <w:rPr>
          <w:rFonts w:ascii="Arial" w:cs="Arial" w:eastAsia="Arial" w:hAnsi="Arial"/>
          <w:sz w:val="18"/>
          <w:szCs w:val="18"/>
          <w:color w:val="auto"/>
        </w:rPr>
        <w:t>. The Company’s management, with the participation of the Chief Executive Officer and the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has evaluated the Company’s disclosure controls and procedures (as defined in Rule 13a-15(e) under the Securities Exchange Act of 1934 (“Exchange Act”)), as of September 30, 2023, as required by Rule 13a-15(b) under the Exchange Act. Based on that evaluation, the Chief Executive Officer and the Chief Financial Officer concluded that, as of September 30, 2023, the disclosure controls and procedures were effective to ensure that information required to be disclosed by the Company in the reports that it files or submits under the Exchange Act (i) is recorded, processed, summarized and reported within the time periods specified in the Securities and Exchange Commission’s rules and forms and (ii) is accumulated and communicated to the Company’s management, including the Chief Executive Officer and the Chief Financial Officer, as appropriate to allow timely decisions regarding required disclosure.</w:t>
      </w:r>
    </w:p>
    <w:p>
      <w:pPr>
        <w:spacing w:after="0" w:line="156"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2"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There were no changes in the Company’s internal control over financial reporting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quarter ended September 30, 2023 that have materially affected, or are reasonably likely to materially affect, the Company’s internal control over financial reporting.</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Note 13, Contingencies and Commitments, of the Notes to Condensed Financial Statements (Unaudited).</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02" w:lineRule="exact"/>
        <w:rPr>
          <w:sz w:val="20"/>
          <w:szCs w:val="20"/>
          <w:color w:val="auto"/>
        </w:rPr>
      </w:pPr>
    </w:p>
    <w:p>
      <w:pPr>
        <w:ind w:firstLine="569"/>
        <w:spacing w:after="0" w:line="277" w:lineRule="auto"/>
        <w:rPr>
          <w:sz w:val="20"/>
          <w:szCs w:val="20"/>
          <w:color w:val="auto"/>
        </w:rPr>
      </w:pPr>
      <w:r>
        <w:rPr>
          <w:rFonts w:ascii="Arial" w:cs="Arial" w:eastAsia="Arial" w:hAnsi="Arial"/>
          <w:sz w:val="18"/>
          <w:szCs w:val="18"/>
          <w:color w:val="auto"/>
        </w:rPr>
        <w:t>The Company continues to be subject to the risk factors previously disclosed in its “Risk Factors” in the Company’s Annual Report on Form 10-K for the year ended December 31, 2022.</w:t>
      </w:r>
    </w:p>
    <w:p>
      <w:pPr>
        <w:spacing w:after="0" w:line="1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2"/>
                <w:szCs w:val="12"/>
                <w:color w:val="auto"/>
              </w:rPr>
            </w:pPr>
          </w:p>
        </w:tc>
        <w:tc>
          <w:tcPr>
            <w:tcW w:w="132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4"/>
              </w:rPr>
              <w:t>Average Price Paid</w:t>
            </w:r>
          </w:p>
        </w:tc>
        <w:tc>
          <w:tcPr>
            <w:tcW w:w="2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 Purchased Under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Per Share</w:t>
            </w:r>
          </w:p>
        </w:tc>
        <w:tc>
          <w:tcPr>
            <w:tcW w:w="22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Plans</w:t>
            </w:r>
          </w:p>
        </w:tc>
        <w:tc>
          <w:tcPr>
            <w:tcW w:w="2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the Plans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July 1 — July 31, 2023</w:t>
            </w: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60,326</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76.03</w:t>
            </w:r>
          </w:p>
        </w:tc>
        <w:tc>
          <w:tcPr>
            <w:tcW w:w="220" w:type="dxa"/>
            <w:vAlign w:val="bottom"/>
            <w:shd w:val="clear" w:color="auto" w:fill="CFF0FC"/>
          </w:tcPr>
          <w:p>
            <w:pPr>
              <w:spacing w:after="0"/>
              <w:rPr>
                <w:sz w:val="20"/>
                <w:szCs w:val="20"/>
                <w:color w:val="auto"/>
              </w:rPr>
            </w:pPr>
          </w:p>
        </w:tc>
        <w:tc>
          <w:tcPr>
            <w:tcW w:w="1400" w:type="dxa"/>
            <w:vAlign w:val="bottom"/>
            <w:shd w:val="clear" w:color="auto" w:fill="CFF0FC"/>
          </w:tcPr>
          <w:p>
            <w:pPr>
              <w:ind w:left="120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ind w:left="1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40" w:type="dxa"/>
            <w:vAlign w:val="bottom"/>
          </w:tcPr>
          <w:p>
            <w:pPr>
              <w:ind w:left="20"/>
              <w:spacing w:after="0"/>
              <w:rPr>
                <w:sz w:val="20"/>
                <w:szCs w:val="20"/>
                <w:color w:val="auto"/>
              </w:rPr>
            </w:pPr>
            <w:r>
              <w:rPr>
                <w:rFonts w:ascii="Arial" w:cs="Arial" w:eastAsia="Arial" w:hAnsi="Arial"/>
                <w:sz w:val="18"/>
                <w:szCs w:val="18"/>
                <w:color w:val="auto"/>
              </w:rPr>
              <w:t>August 1 — August 31, 2023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149,028</w:t>
            </w:r>
          </w:p>
        </w:tc>
        <w:tc>
          <w:tcPr>
            <w:tcW w:w="50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79.98</w:t>
            </w:r>
          </w:p>
        </w:tc>
        <w:tc>
          <w:tcPr>
            <w:tcW w:w="220" w:type="dxa"/>
            <w:vAlign w:val="bottom"/>
          </w:tcPr>
          <w:p>
            <w:pPr>
              <w:spacing w:after="0"/>
              <w:rPr>
                <w:sz w:val="20"/>
                <w:szCs w:val="20"/>
                <w:color w:val="auto"/>
              </w:rPr>
            </w:pPr>
          </w:p>
        </w:tc>
        <w:tc>
          <w:tcPr>
            <w:tcW w:w="1400" w:type="dxa"/>
            <w:vAlign w:val="bottom"/>
          </w:tcPr>
          <w:p>
            <w:pPr>
              <w:ind w:left="12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420" w:type="dxa"/>
            <w:vAlign w:val="bottom"/>
          </w:tcPr>
          <w:p>
            <w:pPr>
              <w:ind w:left="12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September 1 — September 30, 2023</w:t>
            </w:r>
          </w:p>
        </w:tc>
        <w:tc>
          <w:tcPr>
            <w:tcW w:w="1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80,901</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84.09</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ind w:left="12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ind w:left="12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4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290,255</w:t>
            </w:r>
          </w:p>
        </w:tc>
        <w:tc>
          <w:tcPr>
            <w:tcW w:w="50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80.31</w:t>
            </w:r>
          </w:p>
        </w:tc>
        <w:tc>
          <w:tcPr>
            <w:tcW w:w="220" w:type="dxa"/>
            <w:vAlign w:val="bottom"/>
          </w:tcPr>
          <w:p>
            <w:pPr>
              <w:spacing w:after="0"/>
              <w:rPr>
                <w:sz w:val="20"/>
                <w:szCs w:val="20"/>
                <w:color w:val="auto"/>
              </w:rPr>
            </w:pPr>
          </w:p>
        </w:tc>
        <w:tc>
          <w:tcPr>
            <w:tcW w:w="1400" w:type="dxa"/>
            <w:vAlign w:val="bottom"/>
          </w:tcPr>
          <w:p>
            <w:pPr>
              <w:ind w:left="12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420" w:type="dxa"/>
            <w:vAlign w:val="bottom"/>
          </w:tcPr>
          <w:p>
            <w:pPr>
              <w:ind w:left="12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-187960</wp:posOffset>
            </wp:positionV>
            <wp:extent cx="76835" cy="1885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-187960</wp:posOffset>
            </wp:positionV>
            <wp:extent cx="68580" cy="1885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-187960</wp:posOffset>
            </wp:positionV>
            <wp:extent cx="68580" cy="1885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41" w:lineRule="exact"/>
        <w:rPr>
          <w:sz w:val="20"/>
          <w:szCs w:val="20"/>
          <w:color w:val="auto"/>
        </w:rPr>
      </w:pPr>
    </w:p>
    <w:p>
      <w:pPr>
        <w:jc w:val="both"/>
        <w:ind w:firstLine="569"/>
        <w:spacing w:after="0" w:line="277" w:lineRule="auto"/>
        <w:rPr>
          <w:sz w:val="20"/>
          <w:szCs w:val="20"/>
          <w:color w:val="auto"/>
        </w:rPr>
      </w:pPr>
      <w:r>
        <w:rPr>
          <w:rFonts w:ascii="Arial" w:cs="Arial" w:eastAsia="Arial" w:hAnsi="Arial"/>
          <w:sz w:val="18"/>
          <w:szCs w:val="18"/>
          <w:color w:val="auto"/>
        </w:rPr>
        <w:t>Purchases of the Company's common stock during the 2023 third quarter were made in the open market pursuant to a discretionary authorization by the Board of Directors.</w:t>
      </w:r>
    </w:p>
    <w:p>
      <w:pPr>
        <w:spacing w:after="0" w:line="1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jc w:val="both"/>
        <w:ind w:right="20" w:firstLine="569"/>
        <w:spacing w:after="0" w:line="277" w:lineRule="auto"/>
        <w:rPr>
          <w:sz w:val="20"/>
          <w:szCs w:val="20"/>
          <w:color w:val="auto"/>
        </w:rPr>
      </w:pPr>
      <w:r>
        <w:rPr>
          <w:rFonts w:ascii="Arial" w:cs="Arial" w:eastAsia="Arial" w:hAnsi="Arial"/>
          <w:sz w:val="18"/>
          <w:szCs w:val="18"/>
          <w:color w:val="auto"/>
        </w:rPr>
        <w:t>During the three months ended September 30, 2023, the following Section 16 officers adopted, modified or terminated “Rule 10b5-1 trading arrangements” (as defined in Item 408 of Regulation S-K of the Exchange Act):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Character of</w:t>
            </w:r>
          </w:p>
        </w:tc>
        <w:tc>
          <w:tcPr>
            <w:tcW w:w="200" w:type="dxa"/>
            <w:vAlign w:val="bottom"/>
          </w:tcPr>
          <w:p>
            <w:pPr>
              <w:spacing w:after="0"/>
              <w:rPr>
                <w:sz w:val="14"/>
                <w:szCs w:val="14"/>
                <w:color w:val="auto"/>
              </w:rPr>
            </w:pP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91"/>
              </w:rPr>
              <w:t>Aggregate Number of Shares of Common Stock</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vMerge w:val="restart"/>
          </w:tcPr>
          <w:p>
            <w:pPr>
              <w:jc w:val="right"/>
              <w:ind w:right="192"/>
              <w:spacing w:after="0"/>
              <w:rPr>
                <w:sz w:val="20"/>
                <w:szCs w:val="20"/>
                <w:color w:val="auto"/>
              </w:rPr>
            </w:pPr>
            <w:r>
              <w:rPr>
                <w:rFonts w:ascii="Arial" w:cs="Arial" w:eastAsia="Arial" w:hAnsi="Arial"/>
                <w:sz w:val="10"/>
                <w:szCs w:val="10"/>
                <w:b w:val="1"/>
                <w:bCs w:val="1"/>
                <w:color w:val="auto"/>
                <w:w w:val="77"/>
              </w:rPr>
              <w:t>(b)</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9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77"/>
        </w:trPr>
        <w:tc>
          <w:tcPr>
            <w:tcW w:w="232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Name &amp; Title</w:t>
            </w:r>
          </w:p>
        </w:tc>
        <w:tc>
          <w:tcPr>
            <w:tcW w:w="120" w:type="dxa"/>
            <w:vAlign w:val="bottom"/>
          </w:tcPr>
          <w:p>
            <w:pPr>
              <w:spacing w:after="0"/>
              <w:rPr>
                <w:sz w:val="6"/>
                <w:szCs w:val="6"/>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Date Adopted</w:t>
            </w:r>
          </w:p>
        </w:tc>
        <w:tc>
          <w:tcPr>
            <w:tcW w:w="120" w:type="dxa"/>
            <w:vAlign w:val="bottom"/>
          </w:tcPr>
          <w:p>
            <w:pPr>
              <w:spacing w:after="0"/>
              <w:rPr>
                <w:sz w:val="6"/>
                <w:szCs w:val="6"/>
                <w:color w:val="auto"/>
              </w:rPr>
            </w:pPr>
          </w:p>
        </w:tc>
        <w:tc>
          <w:tcPr>
            <w:tcW w:w="980" w:type="dxa"/>
            <w:vAlign w:val="bottom"/>
            <w:vMerge w:val="restart"/>
          </w:tcPr>
          <w:p>
            <w:pPr>
              <w:jc w:val="center"/>
              <w:ind w:left="154"/>
              <w:spacing w:after="0"/>
              <w:rPr>
                <w:sz w:val="20"/>
                <w:szCs w:val="20"/>
                <w:color w:val="auto"/>
              </w:rPr>
            </w:pPr>
            <w:r>
              <w:rPr>
                <w:rFonts w:ascii="Arial" w:cs="Arial" w:eastAsia="Arial" w:hAnsi="Arial"/>
                <w:sz w:val="14"/>
                <w:szCs w:val="14"/>
                <w:b w:val="1"/>
                <w:bCs w:val="1"/>
                <w:color w:val="auto"/>
                <w:w w:val="97"/>
              </w:rPr>
              <w:t>Trading</w:t>
            </w: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 be Purchased or Sold Pursuant to Trading</w:t>
            </w:r>
          </w:p>
        </w:tc>
        <w:tc>
          <w:tcPr>
            <w:tcW w:w="120" w:type="dxa"/>
            <w:vAlign w:val="bottom"/>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3"/>
              </w:rPr>
              <w:t>Duration</w:t>
            </w:r>
          </w:p>
        </w:tc>
        <w:tc>
          <w:tcPr>
            <w:tcW w:w="3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Material</w:t>
            </w: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3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260" w:type="dxa"/>
            <w:vAlign w:val="bottom"/>
          </w:tcPr>
          <w:p>
            <w:pPr>
              <w:spacing w:after="0"/>
              <w:rPr>
                <w:sz w:val="20"/>
                <w:szCs w:val="20"/>
                <w:color w:val="auto"/>
              </w:rPr>
            </w:pPr>
            <w:r>
              <w:rPr>
                <w:rFonts w:ascii="Arial" w:cs="Arial" w:eastAsia="Arial" w:hAnsi="Arial"/>
                <w:sz w:val="10"/>
                <w:szCs w:val="10"/>
                <w:b w:val="1"/>
                <w:bCs w:val="1"/>
                <w:color w:val="auto"/>
              </w:rPr>
              <w:t>(a)</w:t>
            </w:r>
          </w:p>
        </w:tc>
        <w:tc>
          <w:tcPr>
            <w:tcW w:w="200" w:type="dxa"/>
            <w:vAlign w:val="bottom"/>
          </w:tcPr>
          <w:p>
            <w:pPr>
              <w:spacing w:after="0"/>
              <w:rPr>
                <w:sz w:val="11"/>
                <w:szCs w:val="11"/>
                <w:color w:val="auto"/>
              </w:rPr>
            </w:pPr>
          </w:p>
        </w:tc>
        <w:tc>
          <w:tcPr>
            <w:tcW w:w="3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Terminated</w:t>
            </w:r>
          </w:p>
        </w:tc>
        <w:tc>
          <w:tcPr>
            <w:tcW w:w="0" w:type="dxa"/>
            <w:vAlign w:val="bottom"/>
          </w:tcPr>
          <w:p>
            <w:pPr>
              <w:spacing w:after="0"/>
              <w:rPr>
                <w:sz w:val="1"/>
                <w:szCs w:val="1"/>
                <w:color w:val="auto"/>
              </w:rPr>
            </w:pPr>
          </w:p>
        </w:tc>
      </w:tr>
      <w:tr>
        <w:trPr>
          <w:trHeight w:val="121"/>
        </w:trPr>
        <w:tc>
          <w:tcPr>
            <w:tcW w:w="2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Borders>
              <w:bottom w:val="single" w:sz="8" w:color="auto"/>
            </w:tcBorders>
          </w:tcPr>
          <w:p>
            <w:pPr>
              <w:ind w:left="160"/>
              <w:spacing w:after="0" w:line="121" w:lineRule="exact"/>
              <w:rPr>
                <w:sz w:val="20"/>
                <w:szCs w:val="20"/>
                <w:color w:val="auto"/>
              </w:rPr>
            </w:pPr>
            <w:r>
              <w:rPr>
                <w:rFonts w:ascii="Arial" w:cs="Arial" w:eastAsia="Arial" w:hAnsi="Arial"/>
                <w:sz w:val="14"/>
                <w:szCs w:val="14"/>
                <w:b w:val="1"/>
                <w:bCs w:val="1"/>
                <w:color w:val="auto"/>
                <w:w w:val="91"/>
              </w:rPr>
              <w:t>Arrangement</w:t>
            </w:r>
          </w:p>
        </w:tc>
        <w:tc>
          <w:tcPr>
            <w:tcW w:w="2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020" w:type="dxa"/>
            <w:vAlign w:val="bottom"/>
            <w:tcBorders>
              <w:bottom w:val="single" w:sz="8" w:color="auto"/>
            </w:tcBorders>
          </w:tcPr>
          <w:p>
            <w:pPr>
              <w:jc w:val="center"/>
              <w:spacing w:after="0" w:line="121" w:lineRule="exact"/>
              <w:rPr>
                <w:sz w:val="20"/>
                <w:szCs w:val="20"/>
                <w:color w:val="auto"/>
              </w:rPr>
            </w:pPr>
            <w:r>
              <w:rPr>
                <w:rFonts w:ascii="Arial" w:cs="Arial" w:eastAsia="Arial" w:hAnsi="Arial"/>
                <w:sz w:val="14"/>
                <w:szCs w:val="14"/>
                <w:b w:val="1"/>
                <w:bCs w:val="1"/>
                <w:color w:val="auto"/>
                <w:w w:val="94"/>
              </w:rPr>
              <w:t>Arrangement</w:t>
            </w:r>
          </w:p>
        </w:tc>
        <w:tc>
          <w:tcPr>
            <w:tcW w:w="12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bottom w:val="single" w:sz="8" w:color="auto"/>
            </w:tcBorders>
          </w:tcPr>
          <w:p>
            <w:pPr>
              <w:jc w:val="center"/>
              <w:spacing w:after="0" w:line="121" w:lineRule="exact"/>
              <w:rPr>
                <w:sz w:val="20"/>
                <w:szCs w:val="20"/>
                <w:color w:val="auto"/>
              </w:rPr>
            </w:pPr>
            <w:r>
              <w:rPr>
                <w:rFonts w:ascii="Arial" w:cs="Arial" w:eastAsia="Arial" w:hAnsi="Arial"/>
                <w:sz w:val="14"/>
                <w:szCs w:val="14"/>
                <w:b w:val="1"/>
                <w:bCs w:val="1"/>
                <w:color w:val="auto"/>
                <w:w w:val="95"/>
              </w:rPr>
              <w:t>Terms</w:t>
            </w:r>
          </w:p>
        </w:tc>
        <w:tc>
          <w:tcPr>
            <w:tcW w:w="12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32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David W. Grzebinski</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center"/>
              <w:spacing w:after="0" w:line="195" w:lineRule="exact"/>
              <w:rPr>
                <w:sz w:val="20"/>
                <w:szCs w:val="20"/>
                <w:color w:val="auto"/>
              </w:rPr>
            </w:pPr>
            <w:r>
              <w:rPr>
                <w:rFonts w:ascii="Arial" w:cs="Arial" w:eastAsia="Arial" w:hAnsi="Arial"/>
                <w:sz w:val="18"/>
                <w:szCs w:val="18"/>
                <w:color w:val="auto"/>
                <w:w w:val="89"/>
              </w:rPr>
              <w:t>9/20/2023</w:t>
            </w: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center"/>
              <w:spacing w:after="0" w:line="195" w:lineRule="exact"/>
              <w:rPr>
                <w:sz w:val="20"/>
                <w:szCs w:val="20"/>
                <w:color w:val="auto"/>
              </w:rPr>
            </w:pPr>
            <w:r>
              <w:rPr>
                <w:rFonts w:ascii="Arial" w:cs="Arial" w:eastAsia="Arial" w:hAnsi="Arial"/>
                <w:sz w:val="18"/>
                <w:szCs w:val="18"/>
                <w:color w:val="auto"/>
                <w:w w:val="89"/>
              </w:rPr>
              <w:t>Rule 10b5-1</w:t>
            </w:r>
          </w:p>
        </w:tc>
        <w:tc>
          <w:tcPr>
            <w:tcW w:w="200" w:type="dxa"/>
            <w:vAlign w:val="bottom"/>
            <w:shd w:val="clear" w:color="auto" w:fill="CFF0FC"/>
          </w:tcPr>
          <w:p>
            <w:pPr>
              <w:spacing w:after="0"/>
              <w:rPr>
                <w:sz w:val="16"/>
                <w:szCs w:val="16"/>
                <w:color w:val="auto"/>
              </w:rPr>
            </w:pPr>
          </w:p>
        </w:tc>
        <w:tc>
          <w:tcPr>
            <w:tcW w:w="3020" w:type="dxa"/>
            <w:vAlign w:val="bottom"/>
            <w:shd w:val="clear" w:color="auto" w:fill="CFF0FC"/>
          </w:tcPr>
          <w:p>
            <w:pPr>
              <w:jc w:val="center"/>
              <w:spacing w:after="0" w:line="195" w:lineRule="exact"/>
              <w:rPr>
                <w:sz w:val="20"/>
                <w:szCs w:val="20"/>
                <w:color w:val="auto"/>
              </w:rPr>
            </w:pPr>
            <w:r>
              <w:rPr>
                <w:rFonts w:ascii="Arial" w:cs="Arial" w:eastAsia="Arial" w:hAnsi="Arial"/>
                <w:sz w:val="18"/>
                <w:szCs w:val="18"/>
                <w:color w:val="auto"/>
                <w:w w:val="88"/>
              </w:rPr>
              <w:t>Up to 18,000 shares to be sold</w:t>
            </w: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center"/>
              <w:ind w:right="12"/>
              <w:spacing w:after="0" w:line="195" w:lineRule="exact"/>
              <w:rPr>
                <w:sz w:val="20"/>
                <w:szCs w:val="20"/>
                <w:color w:val="auto"/>
              </w:rPr>
            </w:pPr>
            <w:r>
              <w:rPr>
                <w:rFonts w:ascii="Arial" w:cs="Arial" w:eastAsia="Arial" w:hAnsi="Arial"/>
                <w:sz w:val="18"/>
                <w:szCs w:val="18"/>
                <w:color w:val="auto"/>
                <w:w w:val="92"/>
              </w:rPr>
              <w:t>2/12/2024 -</w:t>
            </w: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center"/>
              <w:spacing w:after="0" w:line="195" w:lineRule="exact"/>
              <w:rPr>
                <w:sz w:val="20"/>
                <w:szCs w:val="20"/>
                <w:color w:val="auto"/>
              </w:rPr>
            </w:pPr>
            <w:r>
              <w:rPr>
                <w:rFonts w:ascii="Arial" w:cs="Arial" w:eastAsia="Arial" w:hAnsi="Arial"/>
                <w:sz w:val="18"/>
                <w:szCs w:val="18"/>
                <w:color w:val="auto"/>
              </w:rPr>
              <w:t>N/A</w:t>
            </w: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jc w:val="center"/>
              <w:spacing w:after="0" w:line="195"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President &amp; Chief Executive</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center"/>
              <w:ind w:left="134"/>
              <w:spacing w:after="0"/>
              <w:rPr>
                <w:sz w:val="20"/>
                <w:szCs w:val="20"/>
                <w:color w:val="auto"/>
              </w:rPr>
            </w:pPr>
            <w:r>
              <w:rPr>
                <w:rFonts w:ascii="Arial" w:cs="Arial" w:eastAsia="Arial" w:hAnsi="Arial"/>
                <w:sz w:val="18"/>
                <w:szCs w:val="18"/>
                <w:color w:val="auto"/>
                <w:w w:val="91"/>
              </w:rPr>
              <w:t>Trading</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2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152"/>
              <w:spacing w:after="0"/>
              <w:rPr>
                <w:sz w:val="20"/>
                <w:szCs w:val="20"/>
                <w:color w:val="auto"/>
              </w:rPr>
            </w:pPr>
            <w:r>
              <w:rPr>
                <w:rFonts w:ascii="Arial" w:cs="Arial" w:eastAsia="Arial" w:hAnsi="Arial"/>
                <w:sz w:val="18"/>
                <w:szCs w:val="18"/>
                <w:color w:val="auto"/>
              </w:rPr>
              <w:t>2/23/2024</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Officer</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2"/>
              </w:rPr>
              <w:t>Arrangement</w:t>
            </w:r>
          </w:p>
        </w:tc>
        <w:tc>
          <w:tcPr>
            <w:tcW w:w="200" w:type="dxa"/>
            <w:vAlign w:val="bottom"/>
            <w:shd w:val="clear" w:color="auto" w:fill="CFF0FC"/>
          </w:tcPr>
          <w:p>
            <w:pPr>
              <w:spacing w:after="0"/>
              <w:rPr>
                <w:sz w:val="21"/>
                <w:szCs w:val="21"/>
                <w:color w:val="auto"/>
              </w:rPr>
            </w:pPr>
          </w:p>
        </w:tc>
        <w:tc>
          <w:tcPr>
            <w:tcW w:w="3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320" w:type="dxa"/>
            <w:vAlign w:val="bottom"/>
          </w:tcPr>
          <w:p>
            <w:pPr>
              <w:ind w:left="20"/>
              <w:spacing w:after="0" w:line="201" w:lineRule="exact"/>
              <w:rPr>
                <w:sz w:val="20"/>
                <w:szCs w:val="20"/>
                <w:color w:val="auto"/>
              </w:rPr>
            </w:pPr>
            <w:r>
              <w:rPr>
                <w:rFonts w:ascii="Arial" w:cs="Arial" w:eastAsia="Arial" w:hAnsi="Arial"/>
                <w:sz w:val="18"/>
                <w:szCs w:val="18"/>
                <w:color w:val="auto"/>
              </w:rPr>
              <w:t>Raj Kumar</w:t>
            </w:r>
          </w:p>
        </w:tc>
        <w:tc>
          <w:tcPr>
            <w:tcW w:w="1140" w:type="dxa"/>
            <w:vAlign w:val="bottom"/>
            <w:gridSpan w:val="2"/>
          </w:tcPr>
          <w:p>
            <w:pPr>
              <w:jc w:val="center"/>
              <w:ind w:left="50"/>
              <w:spacing w:after="0" w:line="201" w:lineRule="exact"/>
              <w:rPr>
                <w:sz w:val="20"/>
                <w:szCs w:val="20"/>
                <w:color w:val="auto"/>
              </w:rPr>
            </w:pPr>
            <w:r>
              <w:rPr>
                <w:rFonts w:ascii="Arial" w:cs="Arial" w:eastAsia="Arial" w:hAnsi="Arial"/>
                <w:sz w:val="18"/>
                <w:szCs w:val="18"/>
                <w:color w:val="auto"/>
                <w:w w:val="89"/>
              </w:rPr>
              <w:t>8/21/2023</w:t>
            </w:r>
          </w:p>
        </w:tc>
        <w:tc>
          <w:tcPr>
            <w:tcW w:w="120" w:type="dxa"/>
            <w:vAlign w:val="bottom"/>
          </w:tcPr>
          <w:p>
            <w:pPr>
              <w:spacing w:after="0"/>
              <w:rPr>
                <w:sz w:val="17"/>
                <w:szCs w:val="17"/>
                <w:color w:val="auto"/>
              </w:rPr>
            </w:pPr>
          </w:p>
        </w:tc>
        <w:tc>
          <w:tcPr>
            <w:tcW w:w="124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9"/>
              </w:rPr>
              <w:t>Rule 10b5-1</w:t>
            </w:r>
          </w:p>
        </w:tc>
        <w:tc>
          <w:tcPr>
            <w:tcW w:w="200" w:type="dxa"/>
            <w:vAlign w:val="bottom"/>
          </w:tcPr>
          <w:p>
            <w:pPr>
              <w:spacing w:after="0"/>
              <w:rPr>
                <w:sz w:val="17"/>
                <w:szCs w:val="17"/>
                <w:color w:val="auto"/>
              </w:rPr>
            </w:pPr>
          </w:p>
        </w:tc>
        <w:tc>
          <w:tcPr>
            <w:tcW w:w="3020" w:type="dxa"/>
            <w:vAlign w:val="bottom"/>
          </w:tcPr>
          <w:p>
            <w:pPr>
              <w:jc w:val="center"/>
              <w:spacing w:after="0" w:line="201" w:lineRule="exact"/>
              <w:rPr>
                <w:sz w:val="20"/>
                <w:szCs w:val="20"/>
                <w:color w:val="auto"/>
              </w:rPr>
            </w:pPr>
            <w:r>
              <w:rPr>
                <w:rFonts w:ascii="Arial" w:cs="Arial" w:eastAsia="Arial" w:hAnsi="Arial"/>
                <w:sz w:val="18"/>
                <w:szCs w:val="18"/>
                <w:color w:val="auto"/>
                <w:w w:val="89"/>
              </w:rPr>
              <w:t>Up to 9,178 shares to be sold</w:t>
            </w:r>
          </w:p>
        </w:tc>
        <w:tc>
          <w:tcPr>
            <w:tcW w:w="126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0"/>
              </w:rPr>
              <w:t>12/12/2023 -</w:t>
            </w:r>
          </w:p>
        </w:tc>
        <w:tc>
          <w:tcPr>
            <w:tcW w:w="100" w:type="dxa"/>
            <w:vAlign w:val="bottom"/>
          </w:tcPr>
          <w:p>
            <w:pPr>
              <w:spacing w:after="0"/>
              <w:rPr>
                <w:sz w:val="17"/>
                <w:szCs w:val="17"/>
                <w:color w:val="auto"/>
              </w:rPr>
            </w:pP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7"/>
                <w:szCs w:val="17"/>
                <w:color w:val="auto"/>
              </w:rPr>
            </w:pP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8"/>
                <w:szCs w:val="18"/>
                <w:color w:val="auto"/>
                <w:w w:val="97"/>
              </w:rPr>
              <w:t>Executive Vice President and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left="134"/>
              <w:spacing w:after="0"/>
              <w:rPr>
                <w:sz w:val="20"/>
                <w:szCs w:val="20"/>
                <w:color w:val="auto"/>
              </w:rPr>
            </w:pPr>
            <w:r>
              <w:rPr>
                <w:rFonts w:ascii="Arial" w:cs="Arial" w:eastAsia="Arial" w:hAnsi="Arial"/>
                <w:sz w:val="18"/>
                <w:szCs w:val="18"/>
                <w:color w:val="auto"/>
                <w:w w:val="91"/>
              </w:rPr>
              <w:t>Trading</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60" w:type="dxa"/>
            <w:vAlign w:val="bottom"/>
            <w:gridSpan w:val="3"/>
          </w:tcPr>
          <w:p>
            <w:pPr>
              <w:jc w:val="right"/>
              <w:ind w:right="152"/>
              <w:spacing w:after="0"/>
              <w:rPr>
                <w:sz w:val="20"/>
                <w:szCs w:val="20"/>
                <w:color w:val="auto"/>
              </w:rPr>
            </w:pPr>
            <w:r>
              <w:rPr>
                <w:rFonts w:ascii="Arial" w:cs="Arial" w:eastAsia="Arial" w:hAnsi="Arial"/>
                <w:sz w:val="18"/>
                <w:szCs w:val="18"/>
                <w:color w:val="auto"/>
              </w:rPr>
              <w:t>7/31/2024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2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2"/>
              </w:rPr>
              <w:t>Arrangement</w:t>
            </w:r>
          </w:p>
        </w:tc>
        <w:tc>
          <w:tcPr>
            <w:tcW w:w="2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Scott P. Miller</w:t>
            </w:r>
          </w:p>
        </w:tc>
        <w:tc>
          <w:tcPr>
            <w:tcW w:w="11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1"/>
              </w:rPr>
              <w:t>8/2/2023</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Rule 10b5-1</w:t>
            </w:r>
          </w:p>
        </w:tc>
        <w:tc>
          <w:tcPr>
            <w:tcW w:w="200" w:type="dxa"/>
            <w:vAlign w:val="bottom"/>
            <w:shd w:val="clear" w:color="auto" w:fill="CFF0FC"/>
          </w:tcPr>
          <w:p>
            <w:pPr>
              <w:spacing w:after="0"/>
              <w:rPr>
                <w:sz w:val="18"/>
                <w:szCs w:val="18"/>
                <w:color w:val="auto"/>
              </w:rPr>
            </w:pPr>
          </w:p>
        </w:tc>
        <w:tc>
          <w:tcPr>
            <w:tcW w:w="3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Up to 7,915 shares to be sold</w:t>
            </w:r>
          </w:p>
        </w:tc>
        <w:tc>
          <w:tcPr>
            <w:tcW w:w="126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2"/>
              </w:rPr>
              <w:t>1/26/2024 -</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Vice President and Chief</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center"/>
              <w:ind w:left="134"/>
              <w:spacing w:after="0"/>
              <w:rPr>
                <w:sz w:val="20"/>
                <w:szCs w:val="20"/>
                <w:color w:val="auto"/>
              </w:rPr>
            </w:pPr>
            <w:r>
              <w:rPr>
                <w:rFonts w:ascii="Arial" w:cs="Arial" w:eastAsia="Arial" w:hAnsi="Arial"/>
                <w:sz w:val="18"/>
                <w:szCs w:val="18"/>
                <w:color w:val="auto"/>
                <w:w w:val="91"/>
              </w:rPr>
              <w:t>Trading</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2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152"/>
              <w:spacing w:after="0"/>
              <w:rPr>
                <w:sz w:val="20"/>
                <w:szCs w:val="20"/>
                <w:color w:val="auto"/>
              </w:rPr>
            </w:pPr>
            <w:r>
              <w:rPr>
                <w:rFonts w:ascii="Arial" w:cs="Arial" w:eastAsia="Arial" w:hAnsi="Arial"/>
                <w:sz w:val="18"/>
                <w:szCs w:val="18"/>
                <w:color w:val="auto"/>
              </w:rPr>
              <w:t>4/15/2024</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Information Officer</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2"/>
              </w:rPr>
              <w:t>Arrangement</w:t>
            </w:r>
          </w:p>
        </w:tc>
        <w:tc>
          <w:tcPr>
            <w:tcW w:w="200" w:type="dxa"/>
            <w:vAlign w:val="bottom"/>
            <w:shd w:val="clear" w:color="auto" w:fill="CFF0FC"/>
          </w:tcPr>
          <w:p>
            <w:pPr>
              <w:spacing w:after="0"/>
              <w:rPr>
                <w:sz w:val="21"/>
                <w:szCs w:val="21"/>
                <w:color w:val="auto"/>
              </w:rPr>
            </w:pPr>
          </w:p>
        </w:tc>
        <w:tc>
          <w:tcPr>
            <w:tcW w:w="3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320" w:type="dxa"/>
            <w:vAlign w:val="bottom"/>
          </w:tcPr>
          <w:p>
            <w:pPr>
              <w:ind w:left="20"/>
              <w:spacing w:after="0" w:line="201" w:lineRule="exact"/>
              <w:rPr>
                <w:sz w:val="20"/>
                <w:szCs w:val="20"/>
                <w:color w:val="auto"/>
              </w:rPr>
            </w:pPr>
            <w:r>
              <w:rPr>
                <w:rFonts w:ascii="Arial" w:cs="Arial" w:eastAsia="Arial" w:hAnsi="Arial"/>
                <w:sz w:val="18"/>
                <w:szCs w:val="18"/>
                <w:color w:val="auto"/>
              </w:rPr>
              <w:t>Scott P. Miller</w:t>
            </w:r>
          </w:p>
        </w:tc>
        <w:tc>
          <w:tcPr>
            <w:tcW w:w="1140" w:type="dxa"/>
            <w:vAlign w:val="bottom"/>
            <w:gridSpan w:val="2"/>
          </w:tcPr>
          <w:p>
            <w:pPr>
              <w:jc w:val="center"/>
              <w:ind w:left="50"/>
              <w:spacing w:after="0" w:line="201" w:lineRule="exact"/>
              <w:rPr>
                <w:sz w:val="20"/>
                <w:szCs w:val="20"/>
                <w:color w:val="auto"/>
              </w:rPr>
            </w:pPr>
            <w:r>
              <w:rPr>
                <w:rFonts w:ascii="Arial" w:cs="Arial" w:eastAsia="Arial" w:hAnsi="Arial"/>
                <w:sz w:val="18"/>
                <w:szCs w:val="18"/>
                <w:color w:val="auto"/>
                <w:w w:val="91"/>
              </w:rPr>
              <w:t>3/8/2023</w:t>
            </w:r>
          </w:p>
        </w:tc>
        <w:tc>
          <w:tcPr>
            <w:tcW w:w="120" w:type="dxa"/>
            <w:vAlign w:val="bottom"/>
          </w:tcPr>
          <w:p>
            <w:pPr>
              <w:spacing w:after="0"/>
              <w:rPr>
                <w:sz w:val="17"/>
                <w:szCs w:val="17"/>
                <w:color w:val="auto"/>
              </w:rPr>
            </w:pPr>
          </w:p>
        </w:tc>
        <w:tc>
          <w:tcPr>
            <w:tcW w:w="124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9"/>
              </w:rPr>
              <w:t>Rule 10b5-1</w:t>
            </w:r>
          </w:p>
        </w:tc>
        <w:tc>
          <w:tcPr>
            <w:tcW w:w="200" w:type="dxa"/>
            <w:vAlign w:val="bottom"/>
          </w:tcPr>
          <w:p>
            <w:pPr>
              <w:spacing w:after="0"/>
              <w:rPr>
                <w:sz w:val="17"/>
                <w:szCs w:val="17"/>
                <w:color w:val="auto"/>
              </w:rPr>
            </w:pPr>
          </w:p>
        </w:tc>
        <w:tc>
          <w:tcPr>
            <w:tcW w:w="3020" w:type="dxa"/>
            <w:vAlign w:val="bottom"/>
          </w:tcPr>
          <w:p>
            <w:pPr>
              <w:jc w:val="center"/>
              <w:spacing w:after="0" w:line="201" w:lineRule="exact"/>
              <w:rPr>
                <w:sz w:val="20"/>
                <w:szCs w:val="20"/>
                <w:color w:val="auto"/>
              </w:rPr>
            </w:pPr>
            <w:r>
              <w:rPr>
                <w:rFonts w:ascii="Arial" w:cs="Arial" w:eastAsia="Arial" w:hAnsi="Arial"/>
                <w:sz w:val="17"/>
                <w:szCs w:val="17"/>
                <w:color w:val="auto"/>
                <w:w w:val="92"/>
              </w:rPr>
              <w:t>Up to 8,718 shares to be sold</w:t>
            </w:r>
            <w:r>
              <w:rPr>
                <w:rFonts w:ascii="Arial" w:cs="Arial" w:eastAsia="Arial" w:hAnsi="Arial"/>
                <w:sz w:val="23"/>
                <w:szCs w:val="23"/>
                <w:color w:val="auto"/>
                <w:w w:val="92"/>
                <w:vertAlign w:val="superscript"/>
              </w:rPr>
              <w:t>(c)</w:t>
            </w:r>
          </w:p>
        </w:tc>
        <w:tc>
          <w:tcPr>
            <w:tcW w:w="126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2"/>
              </w:rPr>
              <w:t>6/15/2023 -</w:t>
            </w:r>
          </w:p>
        </w:tc>
        <w:tc>
          <w:tcPr>
            <w:tcW w:w="100" w:type="dxa"/>
            <w:vAlign w:val="bottom"/>
          </w:tcPr>
          <w:p>
            <w:pPr>
              <w:spacing w:after="0"/>
              <w:rPr>
                <w:sz w:val="17"/>
                <w:szCs w:val="17"/>
                <w:color w:val="auto"/>
              </w:rPr>
            </w:pP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rPr>
              <w:t>N/A</w:t>
            </w:r>
          </w:p>
        </w:tc>
        <w:tc>
          <w:tcPr>
            <w:tcW w:w="1060" w:type="dxa"/>
            <w:vAlign w:val="bottom"/>
            <w:gridSpan w:val="2"/>
          </w:tcPr>
          <w:p>
            <w:pPr>
              <w:jc w:val="center"/>
              <w:ind w:left="10"/>
              <w:spacing w:after="0" w:line="201" w:lineRule="exact"/>
              <w:rPr>
                <w:sz w:val="20"/>
                <w:szCs w:val="20"/>
                <w:color w:val="auto"/>
              </w:rPr>
            </w:pPr>
            <w:r>
              <w:rPr>
                <w:rFonts w:ascii="Arial" w:cs="Arial" w:eastAsia="Arial" w:hAnsi="Arial"/>
                <w:sz w:val="18"/>
                <w:szCs w:val="18"/>
                <w:color w:val="auto"/>
                <w:w w:val="91"/>
              </w:rPr>
              <w:t>8/2/2023</w:t>
            </w: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8"/>
                <w:szCs w:val="18"/>
                <w:color w:val="auto"/>
              </w:rPr>
              <w:t>Vice President and Chief</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left="134"/>
              <w:spacing w:after="0"/>
              <w:rPr>
                <w:sz w:val="20"/>
                <w:szCs w:val="20"/>
                <w:color w:val="auto"/>
              </w:rPr>
            </w:pPr>
            <w:r>
              <w:rPr>
                <w:rFonts w:ascii="Arial" w:cs="Arial" w:eastAsia="Arial" w:hAnsi="Arial"/>
                <w:sz w:val="18"/>
                <w:szCs w:val="18"/>
                <w:color w:val="auto"/>
                <w:w w:val="91"/>
              </w:rPr>
              <w:t>Trading</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60" w:type="dxa"/>
            <w:vAlign w:val="bottom"/>
            <w:gridSpan w:val="3"/>
          </w:tcPr>
          <w:p>
            <w:pPr>
              <w:jc w:val="right"/>
              <w:ind w:right="152"/>
              <w:spacing w:after="0"/>
              <w:rPr>
                <w:sz w:val="20"/>
                <w:szCs w:val="20"/>
                <w:color w:val="auto"/>
              </w:rPr>
            </w:pPr>
            <w:r>
              <w:rPr>
                <w:rFonts w:ascii="Arial" w:cs="Arial" w:eastAsia="Arial" w:hAnsi="Arial"/>
                <w:sz w:val="18"/>
                <w:szCs w:val="18"/>
                <w:color w:val="auto"/>
              </w:rPr>
              <w:t>4/15/2024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Information Officer</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2"/>
              </w:rPr>
              <w:t>Arrangement</w:t>
            </w:r>
          </w:p>
        </w:tc>
        <w:tc>
          <w:tcPr>
            <w:tcW w:w="2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1020" w:hanging="504"/>
        <w:spacing w:after="0" w:line="266"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Except as indicated by footnote, each trading arrangement marked as a “Rule 10b5-1 Trading Arrangement” is intended to satisfy the affirmative defense of Rule 10b5-1(c), as amended (the “Rule”).</w:t>
      </w:r>
    </w:p>
    <w:p>
      <w:pPr>
        <w:jc w:val="both"/>
        <w:ind w:left="1020" w:hanging="504"/>
        <w:spacing w:after="0" w:line="263"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Except as indicated by footnote, each trading arrangement permitted or permits transactions through and including the earlier to occur of (a) the completion of all purchases or sales or (b) the date listed in the table, subject to certain conditions. Each trading arrangement marked as a “Rule 10b5-1 Trading Arrangement” only permitted or only permits transactions upon expiration of the applicable mandatory cooling-off period under the Rule, which is at least 90 days for executive officers and directors under the Company's insider trading policies.</w:t>
      </w:r>
    </w:p>
    <w:p>
      <w:pPr>
        <w:spacing w:after="0" w:line="2" w:lineRule="exact"/>
        <w:rPr>
          <w:rFonts w:ascii="Arial" w:cs="Arial" w:eastAsia="Arial" w:hAnsi="Arial"/>
          <w:sz w:val="16"/>
          <w:szCs w:val="16"/>
          <w:color w:val="auto"/>
        </w:rPr>
      </w:pPr>
    </w:p>
    <w:p>
      <w:pPr>
        <w:ind w:left="1020" w:hanging="504"/>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of the date of termination, 607 shares had been sold under this Rule 10b5-1 trading arrangement.</w:t>
      </w:r>
    </w:p>
    <w:p>
      <w:pPr>
        <w:spacing w:after="0" w:line="212" w:lineRule="exact"/>
        <w:rPr>
          <w:sz w:val="20"/>
          <w:szCs w:val="20"/>
          <w:color w:val="auto"/>
        </w:rPr>
      </w:pPr>
    </w:p>
    <w:p>
      <w:pPr>
        <w:jc w:val="both"/>
        <w:ind w:firstLine="569"/>
        <w:spacing w:after="0" w:line="301" w:lineRule="auto"/>
        <w:rPr>
          <w:sz w:val="20"/>
          <w:szCs w:val="20"/>
          <w:color w:val="auto"/>
        </w:rPr>
      </w:pPr>
      <w:r>
        <w:rPr>
          <w:rFonts w:ascii="Arial" w:cs="Arial" w:eastAsia="Arial" w:hAnsi="Arial"/>
          <w:sz w:val="16"/>
          <w:szCs w:val="16"/>
          <w:color w:val="auto"/>
        </w:rPr>
        <w:t>There were no “non-Rule 10b5-1 trading arrangements” (as defined in Item 408 of Regulation S-K of the Exchange Act) adopted, modified or terminated during the three months ended September 30, 2023 by the Company’s directors and Section 16 officers. Each of the trading arrangements are in accordance with the Company’s policy against insider trading, and actual sale transactions made pursuant to such trading arrangements have been or will be disclosed publicly in Section 16 filings with the SEC in accordance with applicable securities laws, rules and regulations.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440" w:type="dxa"/>
            <w:vAlign w:val="bottom"/>
            <w:gridSpan w:val="14"/>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360" w:type="dxa"/>
            <w:vAlign w:val="bottom"/>
            <w:gridSpan w:val="11"/>
          </w:tcPr>
          <w:p>
            <w:pPr>
              <w:ind w:left="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9880" w:type="dxa"/>
            <w:vAlign w:val="bottom"/>
            <w:tcBorders>
              <w:bottom w:val="single" w:sz="8" w:color="auto"/>
            </w:tcBorders>
            <w:gridSpan w:val="12"/>
          </w:tcPr>
          <w:p>
            <w:pPr>
              <w:spacing w:after="0"/>
              <w:rPr>
                <w:sz w:val="20"/>
                <w:szCs w:val="20"/>
                <w:color w:val="auto"/>
              </w:rPr>
            </w:pPr>
            <w:r>
              <w:rPr>
                <w:rFonts w:ascii="Arial" w:cs="Arial" w:eastAsia="Arial" w:hAnsi="Arial"/>
                <w:sz w:val="18"/>
                <w:szCs w:val="18"/>
                <w:b w:val="1"/>
                <w:bCs w:val="1"/>
                <w:color w:val="auto"/>
              </w:rPr>
              <w:t>Description of Exhibits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8"/>
                <w:szCs w:val="18"/>
                <w:color w:val="auto"/>
              </w:rPr>
              <w:t>3.1</w:t>
            </w:r>
          </w:p>
        </w:tc>
        <w:tc>
          <w:tcPr>
            <w:tcW w:w="2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ind w:left="120"/>
              <w:spacing w:after="0" w:line="189" w:lineRule="exact"/>
              <w:rPr>
                <w:sz w:val="20"/>
                <w:szCs w:val="20"/>
                <w:color w:val="auto"/>
              </w:rPr>
            </w:pPr>
            <w:r>
              <w:rPr>
                <w:rFonts w:ascii="Arial" w:cs="Arial" w:eastAsia="Arial" w:hAnsi="Arial"/>
                <w:sz w:val="18"/>
                <w:szCs w:val="18"/>
                <w:color w:val="auto"/>
              </w:rPr>
              <w:t>–</w:t>
            </w:r>
          </w:p>
        </w:tc>
        <w:tc>
          <w:tcPr>
            <w:tcW w:w="9200" w:type="dxa"/>
            <w:vAlign w:val="bottom"/>
            <w:tcBorders>
              <w:bottom w:val="single" w:sz="8" w:color="0000FF"/>
            </w:tcBorders>
            <w:gridSpan w:val="10"/>
            <w:shd w:val="clear" w:color="auto" w:fill="CFF0FC"/>
          </w:tcPr>
          <w:p>
            <w:pPr>
              <w:spacing w:after="0" w:line="189" w:lineRule="exact"/>
              <w:rPr>
                <w:rFonts w:ascii="Arial" w:cs="Arial" w:eastAsia="Arial" w:hAnsi="Arial"/>
                <w:sz w:val="18"/>
                <w:szCs w:val="18"/>
                <w:color w:val="0000FF"/>
                <w:w w:val="91"/>
              </w:rPr>
            </w:pPr>
            <w:hyperlink r:id="rId312">
              <w:r>
                <w:rPr>
                  <w:rFonts w:ascii="Arial" w:cs="Arial" w:eastAsia="Arial" w:hAnsi="Arial"/>
                  <w:sz w:val="18"/>
                  <w:szCs w:val="18"/>
                  <w:color w:val="0000FF"/>
                  <w:w w:val="91"/>
                </w:rPr>
                <w:t>Restated Articles of Incorporation of the Company with all amendments to date (incorporated by reference to Exhibit 3.1 to the</w:t>
              </w:r>
            </w:hyperlink>
          </w:p>
        </w:tc>
        <w:tc>
          <w:tcPr>
            <w:tcW w:w="680" w:type="dxa"/>
            <w:vAlign w:val="bottom"/>
            <w:tcBorders>
              <w:bottom w:val="single" w:sz="8" w:color="CFF0FC"/>
            </w:tcBorders>
            <w:gridSpan w:val="2"/>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5960" w:type="dxa"/>
            <w:vAlign w:val="bottom"/>
            <w:tcBorders>
              <w:bottom w:val="single" w:sz="8" w:color="0000FF"/>
            </w:tcBorders>
            <w:gridSpan w:val="6"/>
            <w:shd w:val="clear" w:color="auto" w:fill="CFF0FC"/>
          </w:tcPr>
          <w:p>
            <w:pPr>
              <w:spacing w:after="0" w:line="195" w:lineRule="exact"/>
              <w:rPr>
                <w:rFonts w:ascii="Arial" w:cs="Arial" w:eastAsia="Arial" w:hAnsi="Arial"/>
                <w:sz w:val="18"/>
                <w:szCs w:val="18"/>
                <w:color w:val="0000FF"/>
                <w:w w:val="90"/>
              </w:rPr>
            </w:pPr>
            <w:hyperlink r:id="rId312">
              <w:r>
                <w:rPr>
                  <w:rFonts w:ascii="Arial" w:cs="Arial" w:eastAsia="Arial" w:hAnsi="Arial"/>
                  <w:sz w:val="18"/>
                  <w:szCs w:val="18"/>
                  <w:color w:val="0000FF"/>
                  <w:w w:val="90"/>
                </w:rPr>
                <w:t>Registrant’s Annual Report on Form 10-K for the year ended December 31, 2014).</w:t>
              </w:r>
            </w:hyperlink>
          </w:p>
        </w:tc>
        <w:tc>
          <w:tcPr>
            <w:tcW w:w="3920" w:type="dxa"/>
            <w:vAlign w:val="bottom"/>
            <w:tcBorders>
              <w:bottom w:val="single" w:sz="8" w:color="CFF0FC"/>
            </w:tcBorders>
            <w:gridSpan w:val="6"/>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0" w:type="dxa"/>
            <w:vAlign w:val="bottom"/>
          </w:tcPr>
          <w:p>
            <w:pPr>
              <w:spacing w:after="0" w:line="189"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6"/>
                <w:szCs w:val="16"/>
                <w:color w:val="auto"/>
              </w:rPr>
            </w:pPr>
          </w:p>
        </w:tc>
        <w:tc>
          <w:tcPr>
            <w:tcW w:w="10220" w:type="dxa"/>
            <w:vAlign w:val="bottom"/>
            <w:gridSpan w:val="13"/>
          </w:tcPr>
          <w:p>
            <w:pPr>
              <w:ind w:left="120"/>
              <w:spacing w:after="0" w:line="189" w:lineRule="exact"/>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313">
              <w:r>
                <w:rPr>
                  <w:rFonts w:ascii="Arial" w:cs="Arial" w:eastAsia="Arial" w:hAnsi="Arial"/>
                  <w:sz w:val="18"/>
                  <w:szCs w:val="18"/>
                  <w:color w:val="0000FF"/>
                  <w:w w:val="94"/>
                </w:rPr>
                <w:t>Bylaws of the Company with all amendments to date (incorporated by reference to Exhibit 3.1 to the Registrant’s Current Report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560" w:type="dxa"/>
            <w:vAlign w:val="bottom"/>
            <w:tcBorders>
              <w:top w:val="single" w:sz="8" w:color="0000FF"/>
            </w:tcBorders>
            <w:gridSpan w:val="11"/>
          </w:tcPr>
          <w:p>
            <w:pPr>
              <w:spacing w:after="0" w:line="195" w:lineRule="exact"/>
              <w:rPr>
                <w:rFonts w:ascii="Arial" w:cs="Arial" w:eastAsia="Arial" w:hAnsi="Arial"/>
                <w:sz w:val="18"/>
                <w:szCs w:val="18"/>
                <w:color w:val="0000FF"/>
              </w:rPr>
            </w:pPr>
            <w:hyperlink r:id="rId313">
              <w:r>
                <w:rPr>
                  <w:rFonts w:ascii="Arial" w:cs="Arial" w:eastAsia="Arial" w:hAnsi="Arial"/>
                  <w:sz w:val="18"/>
                  <w:szCs w:val="18"/>
                  <w:color w:val="0000FF"/>
                </w:rPr>
                <w:t>Form 8-K filed with the Commission on October 28, 2022).</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5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780" w:type="dxa"/>
            <w:vAlign w:val="bottom"/>
            <w:shd w:val="clear" w:color="auto" w:fill="CFF0FC"/>
          </w:tcPr>
          <w:p>
            <w:pPr>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8"/>
                <w:szCs w:val="18"/>
                <w:color w:val="auto"/>
              </w:rPr>
            </w:pPr>
          </w:p>
        </w:tc>
        <w:tc>
          <w:tcPr>
            <w:tcW w:w="10220" w:type="dxa"/>
            <w:vAlign w:val="bottom"/>
            <w:gridSpan w:val="13"/>
            <w:shd w:val="clear" w:color="auto" w:fill="CFF0FC"/>
          </w:tcPr>
          <w:p>
            <w:pPr>
              <w:ind w:left="120"/>
              <w:spacing w:after="0"/>
              <w:rPr>
                <w:sz w:val="20"/>
                <w:szCs w:val="20"/>
                <w:color w:val="auto"/>
              </w:rPr>
            </w:pPr>
            <w:r>
              <w:rPr>
                <w:rFonts w:ascii="Arial" w:cs="Arial" w:eastAsia="Arial" w:hAnsi="Arial"/>
                <w:sz w:val="18"/>
                <w:szCs w:val="18"/>
                <w:color w:val="auto"/>
                <w:w w:val="91"/>
              </w:rPr>
              <w:t>–  See Exhibits 3.1 and 3.2 hereof for provisions of our Restated Articles of Incorporation of the Company with all amendments to date and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880" w:type="dxa"/>
            <w:vAlign w:val="bottom"/>
            <w:gridSpan w:val="12"/>
            <w:shd w:val="clear" w:color="auto" w:fill="CFF0FC"/>
          </w:tcPr>
          <w:p>
            <w:pPr>
              <w:spacing w:after="0" w:line="189" w:lineRule="exact"/>
              <w:rPr>
                <w:rFonts w:ascii="Arial" w:cs="Arial" w:eastAsia="Arial" w:hAnsi="Arial"/>
                <w:sz w:val="18"/>
                <w:szCs w:val="18"/>
                <w:color w:val="auto"/>
                <w:w w:val="95"/>
              </w:rPr>
            </w:pPr>
            <w:r>
              <w:rPr>
                <w:rFonts w:ascii="Arial" w:cs="Arial" w:eastAsia="Arial" w:hAnsi="Arial"/>
                <w:sz w:val="18"/>
                <w:szCs w:val="18"/>
                <w:color w:val="auto"/>
                <w:w w:val="95"/>
              </w:rPr>
              <w:t xml:space="preserve">the Bylaws of the Company with all amendments to date (incorporated, respectively, by reference to Exhibit </w:t>
            </w:r>
            <w:hyperlink r:id="rId312">
              <w:r>
                <w:rPr>
                  <w:rFonts w:ascii="Arial" w:cs="Arial" w:eastAsia="Arial" w:hAnsi="Arial"/>
                  <w:sz w:val="18"/>
                  <w:szCs w:val="18"/>
                  <w:color w:val="0000FF"/>
                  <w:w w:val="95"/>
                </w:rPr>
                <w:t>3.1</w:t>
              </w:r>
              <w:r>
                <w:rPr>
                  <w:rFonts w:ascii="Arial" w:cs="Arial" w:eastAsia="Arial" w:hAnsi="Arial"/>
                  <w:sz w:val="18"/>
                  <w:szCs w:val="18"/>
                  <w:color w:val="auto"/>
                  <w:w w:val="95"/>
                </w:rPr>
                <w:t xml:space="preserve"> </w:t>
              </w:r>
            </w:hyperlink>
            <w:r>
              <w:rPr>
                <w:rFonts w:ascii="Arial" w:cs="Arial" w:eastAsia="Arial" w:hAnsi="Arial"/>
                <w:sz w:val="18"/>
                <w:szCs w:val="18"/>
                <w:color w:val="auto"/>
                <w:w w:val="95"/>
              </w:rPr>
              <w:t>to the Registrant's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520" w:type="dxa"/>
            <w:vAlign w:val="bottom"/>
            <w:shd w:val="clear" w:color="auto" w:fill="CFF0FC"/>
          </w:tcPr>
          <w:p>
            <w:pPr>
              <w:spacing w:after="0" w:line="20" w:lineRule="exact"/>
              <w:rPr>
                <w:sz w:val="1"/>
                <w:szCs w:val="1"/>
                <w:color w:val="auto"/>
              </w:rPr>
            </w:pPr>
          </w:p>
        </w:tc>
        <w:tc>
          <w:tcPr>
            <w:tcW w:w="1300" w:type="dxa"/>
            <w:vAlign w:val="bottom"/>
            <w:gridSpan w:val="2"/>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20" w:type="dxa"/>
            <w:vAlign w:val="bottom"/>
            <w:gridSpan w:val="2"/>
            <w:shd w:val="clear" w:color="auto" w:fill="CFF0FC"/>
          </w:tcPr>
          <w:p>
            <w:pPr>
              <w:spacing w:after="0" w:line="20" w:lineRule="exact"/>
              <w:rPr>
                <w:sz w:val="1"/>
                <w:szCs w:val="1"/>
                <w:color w:val="auto"/>
              </w:rPr>
            </w:pPr>
          </w:p>
        </w:tc>
        <w:tc>
          <w:tcPr>
            <w:tcW w:w="1760" w:type="dxa"/>
            <w:vAlign w:val="bottom"/>
            <w:tcBorders>
              <w:right w:val="single" w:sz="8" w:color="0000EE"/>
            </w:tcBorders>
            <w:shd w:val="clear" w:color="auto" w:fill="CFF0FC"/>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gridSpan w:val="3"/>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880" w:type="dxa"/>
            <w:vAlign w:val="bottom"/>
            <w:gridSpan w:val="12"/>
            <w:shd w:val="clear" w:color="auto" w:fill="CFF0FC"/>
          </w:tcPr>
          <w:p>
            <w:pPr>
              <w:spacing w:after="0" w:line="195" w:lineRule="exact"/>
              <w:rPr>
                <w:rFonts w:ascii="Arial" w:cs="Arial" w:eastAsia="Arial" w:hAnsi="Arial"/>
                <w:sz w:val="18"/>
                <w:szCs w:val="18"/>
                <w:color w:val="auto"/>
                <w:w w:val="94"/>
              </w:rPr>
            </w:pPr>
            <w:r>
              <w:rPr>
                <w:rFonts w:ascii="Arial" w:cs="Arial" w:eastAsia="Arial" w:hAnsi="Arial"/>
                <w:sz w:val="18"/>
                <w:szCs w:val="18"/>
                <w:color w:val="auto"/>
                <w:w w:val="94"/>
              </w:rPr>
              <w:t xml:space="preserve">Annual Report on Form 10-K for the year ended December 31, 2014 and Exhibit </w:t>
            </w:r>
            <w:hyperlink r:id="rId313">
              <w:r>
                <w:rPr>
                  <w:rFonts w:ascii="Arial" w:cs="Arial" w:eastAsia="Arial" w:hAnsi="Arial"/>
                  <w:sz w:val="18"/>
                  <w:szCs w:val="18"/>
                  <w:color w:val="0000FF"/>
                  <w:w w:val="94"/>
                </w:rPr>
                <w:t>3.1</w:t>
              </w:r>
              <w:r>
                <w:rPr>
                  <w:rFonts w:ascii="Arial" w:cs="Arial" w:eastAsia="Arial" w:hAnsi="Arial"/>
                  <w:sz w:val="18"/>
                  <w:szCs w:val="18"/>
                  <w:color w:val="auto"/>
                  <w:w w:val="94"/>
                </w:rPr>
                <w:t xml:space="preserve"> </w:t>
              </w:r>
            </w:hyperlink>
            <w:r>
              <w:rPr>
                <w:rFonts w:ascii="Arial" w:cs="Arial" w:eastAsia="Arial" w:hAnsi="Arial"/>
                <w:sz w:val="18"/>
                <w:szCs w:val="18"/>
                <w:color w:val="auto"/>
                <w:w w:val="94"/>
              </w:rPr>
              <w:t>to the Registrant’s Current Report on Form 8-K</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0" w:type="dxa"/>
            <w:vAlign w:val="bottom"/>
            <w:tcBorders>
              <w:top w:val="single" w:sz="8" w:color="CFF0FC"/>
            </w:tcBorders>
            <w:shd w:val="clear" w:color="auto" w:fill="CFF0FC"/>
          </w:tcPr>
          <w:p>
            <w:pPr>
              <w:spacing w:after="0"/>
              <w:rPr>
                <w:sz w:val="21"/>
                <w:szCs w:val="21"/>
                <w:color w:val="auto"/>
              </w:rPr>
            </w:pPr>
          </w:p>
        </w:tc>
        <w:tc>
          <w:tcPr>
            <w:tcW w:w="220" w:type="dxa"/>
            <w:vAlign w:val="bottom"/>
            <w:tcBorders>
              <w:top w:val="single" w:sz="8" w:color="CFF0FC"/>
            </w:tcBorders>
            <w:shd w:val="clear" w:color="auto" w:fill="CFF0FC"/>
          </w:tcPr>
          <w:p>
            <w:pPr>
              <w:spacing w:after="0"/>
              <w:rPr>
                <w:sz w:val="21"/>
                <w:szCs w:val="21"/>
                <w:color w:val="auto"/>
              </w:rPr>
            </w:pPr>
          </w:p>
        </w:tc>
        <w:tc>
          <w:tcPr>
            <w:tcW w:w="340" w:type="dxa"/>
            <w:vAlign w:val="bottom"/>
            <w:tcBorders>
              <w:top w:val="single" w:sz="8" w:color="CFF0FC"/>
            </w:tcBorders>
            <w:shd w:val="clear" w:color="auto" w:fill="CFF0FC"/>
          </w:tcPr>
          <w:p>
            <w:pPr>
              <w:spacing w:after="0"/>
              <w:rPr>
                <w:sz w:val="21"/>
                <w:szCs w:val="21"/>
                <w:color w:val="auto"/>
              </w:rPr>
            </w:pPr>
          </w:p>
        </w:tc>
        <w:tc>
          <w:tcPr>
            <w:tcW w:w="5880" w:type="dxa"/>
            <w:vAlign w:val="bottom"/>
            <w:tcBorders>
              <w:top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filed with the Commission on October 28, 2022).</w:t>
            </w:r>
          </w:p>
        </w:tc>
        <w:tc>
          <w:tcPr>
            <w:tcW w:w="220" w:type="dxa"/>
            <w:vAlign w:val="bottom"/>
            <w:tcBorders>
              <w:top w:val="single" w:sz="8" w:color="0000FF"/>
            </w:tcBorders>
            <w:gridSpan w:val="2"/>
            <w:shd w:val="clear" w:color="auto" w:fill="CFF0FC"/>
          </w:tcPr>
          <w:p>
            <w:pPr>
              <w:spacing w:after="0"/>
              <w:rPr>
                <w:sz w:val="21"/>
                <w:szCs w:val="21"/>
                <w:color w:val="auto"/>
              </w:rPr>
            </w:pPr>
          </w:p>
        </w:tc>
        <w:tc>
          <w:tcPr>
            <w:tcW w:w="3780" w:type="dxa"/>
            <w:vAlign w:val="bottom"/>
            <w:tcBorders>
              <w:top w:val="single" w:sz="8" w:color="CFF0FC"/>
            </w:tcBorders>
            <w:gridSpan w:val="5"/>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0" w:type="dxa"/>
            <w:vAlign w:val="bottom"/>
          </w:tcPr>
          <w:p>
            <w:pPr>
              <w:spacing w:after="0" w:line="189" w:lineRule="exact"/>
              <w:rPr>
                <w:sz w:val="20"/>
                <w:szCs w:val="20"/>
                <w:color w:val="auto"/>
              </w:rPr>
            </w:pPr>
            <w:r>
              <w:rPr>
                <w:rFonts w:ascii="Arial" w:cs="Arial" w:eastAsia="Arial" w:hAnsi="Arial"/>
                <w:sz w:val="18"/>
                <w:szCs w:val="18"/>
                <w:color w:val="auto"/>
              </w:rPr>
              <w:t>31.1*</w:t>
            </w:r>
          </w:p>
        </w:tc>
        <w:tc>
          <w:tcPr>
            <w:tcW w:w="220" w:type="dxa"/>
            <w:vAlign w:val="bottom"/>
          </w:tcPr>
          <w:p>
            <w:pPr>
              <w:spacing w:after="0"/>
              <w:rPr>
                <w:sz w:val="16"/>
                <w:szCs w:val="16"/>
                <w:color w:val="auto"/>
              </w:rPr>
            </w:pPr>
          </w:p>
        </w:tc>
        <w:tc>
          <w:tcPr>
            <w:tcW w:w="10220" w:type="dxa"/>
            <w:vAlign w:val="bottom"/>
            <w:gridSpan w:val="13"/>
          </w:tcPr>
          <w:p>
            <w:pPr>
              <w:ind w:left="120"/>
              <w:spacing w:after="0" w:line="189"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of Chief Executive Officer Pursuant to Rule 13a-14(a)</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5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31.2*</w:t>
            </w:r>
          </w:p>
        </w:tc>
        <w:tc>
          <w:tcPr>
            <w:tcW w:w="220" w:type="dxa"/>
            <w:vAlign w:val="bottom"/>
            <w:shd w:val="clear" w:color="auto" w:fill="CFF0FC"/>
          </w:tcPr>
          <w:p>
            <w:pPr>
              <w:spacing w:after="0"/>
              <w:rPr>
                <w:sz w:val="16"/>
                <w:szCs w:val="16"/>
                <w:color w:val="auto"/>
              </w:rPr>
            </w:pPr>
          </w:p>
        </w:tc>
        <w:tc>
          <w:tcPr>
            <w:tcW w:w="10220" w:type="dxa"/>
            <w:vAlign w:val="bottom"/>
            <w:gridSpan w:val="13"/>
            <w:shd w:val="clear" w:color="auto" w:fill="CFF0FC"/>
          </w:tcPr>
          <w:p>
            <w:pPr>
              <w:ind w:left="120"/>
              <w:spacing w:after="0" w:line="189"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of Chief Financial Officer Pursuant to Rule 13a-14(a)</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3520" w:type="dxa"/>
            <w:vAlign w:val="bottom"/>
            <w:tcBorders>
              <w:top w:val="single" w:sz="8" w:color="0000FF"/>
            </w:tcBorders>
            <w:shd w:val="clear" w:color="auto" w:fill="CFF0FC"/>
          </w:tcPr>
          <w:p>
            <w:pPr>
              <w:spacing w:after="0"/>
              <w:rPr>
                <w:sz w:val="2"/>
                <w:szCs w:val="2"/>
                <w:color w:val="auto"/>
              </w:rPr>
            </w:pPr>
          </w:p>
        </w:tc>
        <w:tc>
          <w:tcPr>
            <w:tcW w:w="780" w:type="dxa"/>
            <w:vAlign w:val="bottom"/>
            <w:tcBorders>
              <w:top w:val="single" w:sz="8" w:color="0000FF"/>
            </w:tcBorders>
            <w:shd w:val="clear" w:color="auto" w:fill="CFF0FC"/>
          </w:tcPr>
          <w:p>
            <w:pPr>
              <w:spacing w:after="0"/>
              <w:rPr>
                <w:sz w:val="2"/>
                <w:szCs w:val="2"/>
                <w:color w:val="auto"/>
              </w:rPr>
            </w:pPr>
          </w:p>
        </w:tc>
        <w:tc>
          <w:tcPr>
            <w:tcW w:w="5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760" w:type="dxa"/>
            <w:vAlign w:val="bottom"/>
            <w:tcBorders>
              <w:top w:val="single" w:sz="8" w:color="CFF0FC"/>
              <w:right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14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80" w:type="dxa"/>
            <w:vAlign w:val="bottom"/>
          </w:tcPr>
          <w:p>
            <w:pPr>
              <w:spacing w:after="0" w:line="189"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6"/>
                <w:szCs w:val="16"/>
                <w:color w:val="auto"/>
              </w:rPr>
            </w:pPr>
          </w:p>
        </w:tc>
        <w:tc>
          <w:tcPr>
            <w:tcW w:w="10220" w:type="dxa"/>
            <w:vAlign w:val="bottom"/>
            <w:gridSpan w:val="13"/>
          </w:tcPr>
          <w:p>
            <w:pPr>
              <w:ind w:left="120"/>
              <w:spacing w:after="0" w:line="189"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Pursuant to 18 U.S.C. Section 1350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520" w:type="dxa"/>
            <w:vAlign w:val="bottom"/>
            <w:tcBorders>
              <w:top w:val="single" w:sz="8" w:color="0000FF"/>
            </w:tcBorders>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80" w:type="dxa"/>
            <w:vAlign w:val="bottom"/>
            <w:shd w:val="clear" w:color="auto" w:fill="CFF0FC"/>
          </w:tcPr>
          <w:p>
            <w:pPr>
              <w:spacing w:after="0"/>
              <w:rPr>
                <w:sz w:val="20"/>
                <w:szCs w:val="20"/>
                <w:color w:val="auto"/>
              </w:rPr>
            </w:pPr>
            <w:r>
              <w:rPr>
                <w:rFonts w:ascii="Arial" w:cs="Arial" w:eastAsia="Arial" w:hAnsi="Arial"/>
                <w:sz w:val="18"/>
                <w:szCs w:val="18"/>
                <w:color w:val="auto"/>
              </w:rPr>
              <w:t>101.INS*</w:t>
            </w:r>
          </w:p>
        </w:tc>
        <w:tc>
          <w:tcPr>
            <w:tcW w:w="220" w:type="dxa"/>
            <w:vAlign w:val="bottom"/>
            <w:shd w:val="clear" w:color="auto" w:fill="CFF0FC"/>
          </w:tcPr>
          <w:p>
            <w:pPr>
              <w:spacing w:after="0"/>
              <w:rPr>
                <w:sz w:val="18"/>
                <w:szCs w:val="18"/>
                <w:color w:val="auto"/>
              </w:rPr>
            </w:pPr>
          </w:p>
        </w:tc>
        <w:tc>
          <w:tcPr>
            <w:tcW w:w="10220" w:type="dxa"/>
            <w:vAlign w:val="bottom"/>
            <w:gridSpan w:val="13"/>
            <w:shd w:val="clear" w:color="auto" w:fill="CFF0FC"/>
          </w:tcPr>
          <w:p>
            <w:pPr>
              <w:ind w:left="120"/>
              <w:spacing w:after="0"/>
              <w:rPr>
                <w:sz w:val="20"/>
                <w:szCs w:val="20"/>
                <w:color w:val="auto"/>
              </w:rPr>
            </w:pPr>
            <w:r>
              <w:rPr>
                <w:rFonts w:ascii="Arial" w:cs="Arial" w:eastAsia="Arial" w:hAnsi="Arial"/>
                <w:sz w:val="18"/>
                <w:szCs w:val="18"/>
                <w:color w:val="auto"/>
                <w:w w:val="96"/>
              </w:rPr>
              <w:t>–  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880" w:type="dxa"/>
            <w:vAlign w:val="bottom"/>
            <w:gridSpan w:val="12"/>
            <w:shd w:val="clear" w:color="auto" w:fill="CFF0FC"/>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94"/>
              </w:rPr>
              <w:t>101.SCH*</w:t>
            </w:r>
          </w:p>
        </w:tc>
        <w:tc>
          <w:tcPr>
            <w:tcW w:w="220" w:type="dxa"/>
            <w:vAlign w:val="bottom"/>
          </w:tcPr>
          <w:p>
            <w:pPr>
              <w:spacing w:after="0"/>
              <w:rPr>
                <w:sz w:val="20"/>
                <w:szCs w:val="20"/>
                <w:color w:val="auto"/>
              </w:rPr>
            </w:pPr>
          </w:p>
        </w:tc>
        <w:tc>
          <w:tcPr>
            <w:tcW w:w="10220" w:type="dxa"/>
            <w:vAlign w:val="bottom"/>
            <w:gridSpan w:val="13"/>
          </w:tcPr>
          <w:p>
            <w:pPr>
              <w:ind w:left="120"/>
              <w:spacing w:after="0"/>
              <w:rPr>
                <w:sz w:val="20"/>
                <w:szCs w:val="20"/>
                <w:color w:val="auto"/>
              </w:rPr>
            </w:pPr>
            <w:r>
              <w:rPr>
                <w:rFonts w:ascii="Arial" w:cs="Arial" w:eastAsia="Arial" w:hAnsi="Arial"/>
                <w:sz w:val="18"/>
                <w:szCs w:val="18"/>
                <w:color w:val="auto"/>
              </w:rPr>
              <w:t>–  Inline XBRL Taxonomy Extension Schema Document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80" w:type="dxa"/>
            <w:vAlign w:val="bottom"/>
            <w:shd w:val="clear" w:color="auto" w:fill="CFF0FC"/>
          </w:tcPr>
          <w:p>
            <w:pPr>
              <w:spacing w:after="0"/>
              <w:rPr>
                <w:sz w:val="20"/>
                <w:szCs w:val="20"/>
                <w:color w:val="auto"/>
              </w:rPr>
            </w:pPr>
            <w:r>
              <w:rPr>
                <w:rFonts w:ascii="Arial" w:cs="Arial" w:eastAsia="Arial" w:hAnsi="Arial"/>
                <w:sz w:val="18"/>
                <w:szCs w:val="18"/>
                <w:color w:val="auto"/>
                <w:w w:val="98"/>
              </w:rPr>
              <w:t>101.CAL*</w:t>
            </w:r>
          </w:p>
        </w:tc>
        <w:tc>
          <w:tcPr>
            <w:tcW w:w="220" w:type="dxa"/>
            <w:vAlign w:val="bottom"/>
            <w:shd w:val="clear" w:color="auto" w:fill="CFF0FC"/>
          </w:tcPr>
          <w:p>
            <w:pPr>
              <w:spacing w:after="0"/>
              <w:rPr>
                <w:sz w:val="21"/>
                <w:szCs w:val="21"/>
                <w:color w:val="auto"/>
              </w:rPr>
            </w:pPr>
          </w:p>
        </w:tc>
        <w:tc>
          <w:tcPr>
            <w:tcW w:w="10220" w:type="dxa"/>
            <w:vAlign w:val="bottom"/>
            <w:gridSpan w:val="13"/>
            <w:shd w:val="clear" w:color="auto" w:fill="CFF0FC"/>
          </w:tcPr>
          <w:p>
            <w:pPr>
              <w:ind w:left="120"/>
              <w:spacing w:after="0"/>
              <w:rPr>
                <w:sz w:val="20"/>
                <w:szCs w:val="20"/>
                <w:color w:val="auto"/>
              </w:rPr>
            </w:pPr>
            <w:r>
              <w:rPr>
                <w:rFonts w:ascii="Arial" w:cs="Arial" w:eastAsia="Arial" w:hAnsi="Arial"/>
                <w:sz w:val="18"/>
                <w:szCs w:val="18"/>
                <w:color w:val="auto"/>
              </w:rPr>
              <w:t>–  Inline XBRL Taxonomy Extension Calculation Linkbase Document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97"/>
              </w:rPr>
              <w:t>101.DEF*</w:t>
            </w:r>
          </w:p>
        </w:tc>
        <w:tc>
          <w:tcPr>
            <w:tcW w:w="220" w:type="dxa"/>
            <w:vAlign w:val="bottom"/>
          </w:tcPr>
          <w:p>
            <w:pPr>
              <w:spacing w:after="0"/>
              <w:rPr>
                <w:sz w:val="20"/>
                <w:szCs w:val="20"/>
                <w:color w:val="auto"/>
              </w:rPr>
            </w:pPr>
          </w:p>
        </w:tc>
        <w:tc>
          <w:tcPr>
            <w:tcW w:w="10220" w:type="dxa"/>
            <w:vAlign w:val="bottom"/>
            <w:gridSpan w:val="13"/>
          </w:tcPr>
          <w:p>
            <w:pPr>
              <w:ind w:left="120"/>
              <w:spacing w:after="0"/>
              <w:rPr>
                <w:sz w:val="20"/>
                <w:szCs w:val="20"/>
                <w:color w:val="auto"/>
              </w:rPr>
            </w:pPr>
            <w:r>
              <w:rPr>
                <w:rFonts w:ascii="Arial" w:cs="Arial" w:eastAsia="Arial" w:hAnsi="Arial"/>
                <w:sz w:val="18"/>
                <w:szCs w:val="18"/>
                <w:color w:val="auto"/>
              </w:rPr>
              <w:t>–  Inline XBRL Taxonomy Extension Definition Linkbase Document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80" w:type="dxa"/>
            <w:vAlign w:val="bottom"/>
            <w:shd w:val="clear" w:color="auto" w:fill="CFF0FC"/>
          </w:tcPr>
          <w:p>
            <w:pPr>
              <w:spacing w:after="0"/>
              <w:rPr>
                <w:sz w:val="20"/>
                <w:szCs w:val="20"/>
                <w:color w:val="auto"/>
              </w:rPr>
            </w:pPr>
            <w:r>
              <w:rPr>
                <w:rFonts w:ascii="Arial" w:cs="Arial" w:eastAsia="Arial" w:hAnsi="Arial"/>
                <w:sz w:val="18"/>
                <w:szCs w:val="18"/>
                <w:color w:val="auto"/>
                <w:w w:val="99"/>
              </w:rPr>
              <w:t>101.LAB*</w:t>
            </w:r>
          </w:p>
        </w:tc>
        <w:tc>
          <w:tcPr>
            <w:tcW w:w="220" w:type="dxa"/>
            <w:vAlign w:val="bottom"/>
            <w:shd w:val="clear" w:color="auto" w:fill="CFF0FC"/>
          </w:tcPr>
          <w:p>
            <w:pPr>
              <w:spacing w:after="0"/>
              <w:rPr>
                <w:sz w:val="21"/>
                <w:szCs w:val="21"/>
                <w:color w:val="auto"/>
              </w:rPr>
            </w:pPr>
          </w:p>
        </w:tc>
        <w:tc>
          <w:tcPr>
            <w:tcW w:w="10220" w:type="dxa"/>
            <w:vAlign w:val="bottom"/>
            <w:gridSpan w:val="13"/>
            <w:shd w:val="clear" w:color="auto" w:fill="CFF0FC"/>
          </w:tcPr>
          <w:p>
            <w:pPr>
              <w:ind w:left="120"/>
              <w:spacing w:after="0"/>
              <w:rPr>
                <w:sz w:val="20"/>
                <w:szCs w:val="20"/>
                <w:color w:val="auto"/>
              </w:rPr>
            </w:pPr>
            <w:r>
              <w:rPr>
                <w:rFonts w:ascii="Arial" w:cs="Arial" w:eastAsia="Arial" w:hAnsi="Arial"/>
                <w:sz w:val="18"/>
                <w:szCs w:val="18"/>
                <w:color w:val="auto"/>
              </w:rPr>
              <w:t>–  Inline XBRL Taxonomy Extension Label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96"/>
              </w:rPr>
              <w:t>101.PRE*</w:t>
            </w:r>
          </w:p>
        </w:tc>
        <w:tc>
          <w:tcPr>
            <w:tcW w:w="220" w:type="dxa"/>
            <w:vAlign w:val="bottom"/>
          </w:tcPr>
          <w:p>
            <w:pPr>
              <w:spacing w:after="0"/>
              <w:rPr>
                <w:sz w:val="20"/>
                <w:szCs w:val="20"/>
                <w:color w:val="auto"/>
              </w:rPr>
            </w:pPr>
          </w:p>
        </w:tc>
        <w:tc>
          <w:tcPr>
            <w:tcW w:w="10220" w:type="dxa"/>
            <w:vAlign w:val="bottom"/>
            <w:gridSpan w:val="13"/>
          </w:tcPr>
          <w:p>
            <w:pPr>
              <w:ind w:left="120"/>
              <w:spacing w:after="0"/>
              <w:rPr>
                <w:sz w:val="20"/>
                <w:szCs w:val="20"/>
                <w:color w:val="auto"/>
              </w:rPr>
            </w:pPr>
            <w:r>
              <w:rPr>
                <w:rFonts w:ascii="Arial" w:cs="Arial" w:eastAsia="Arial" w:hAnsi="Arial"/>
                <w:sz w:val="18"/>
                <w:szCs w:val="18"/>
                <w:color w:val="auto"/>
              </w:rPr>
              <w:t>–  Inline XBRL Taxonomy Extension Presentation Linkbase Document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104*</w:t>
            </w:r>
          </w:p>
        </w:tc>
        <w:tc>
          <w:tcPr>
            <w:tcW w:w="220" w:type="dxa"/>
            <w:vAlign w:val="bottom"/>
            <w:tcBorders>
              <w:bottom w:val="single" w:sz="8" w:color="auto"/>
            </w:tcBorders>
            <w:shd w:val="clear" w:color="auto" w:fill="CFF0FC"/>
          </w:tcPr>
          <w:p>
            <w:pPr>
              <w:spacing w:after="0"/>
              <w:rPr>
                <w:sz w:val="21"/>
                <w:szCs w:val="21"/>
                <w:color w:val="auto"/>
              </w:rPr>
            </w:pPr>
          </w:p>
        </w:tc>
        <w:tc>
          <w:tcPr>
            <w:tcW w:w="10220" w:type="dxa"/>
            <w:vAlign w:val="bottom"/>
            <w:tcBorders>
              <w:bottom w:val="single" w:sz="8" w:color="auto"/>
            </w:tcBorders>
            <w:gridSpan w:val="13"/>
            <w:shd w:val="clear" w:color="auto" w:fill="CFF0FC"/>
          </w:tcPr>
          <w:p>
            <w:pPr>
              <w:ind w:left="120"/>
              <w:spacing w:after="0"/>
              <w:rPr>
                <w:sz w:val="20"/>
                <w:szCs w:val="20"/>
                <w:color w:val="auto"/>
              </w:rPr>
            </w:pPr>
            <w:r>
              <w:rPr>
                <w:rFonts w:ascii="Arial" w:cs="Arial" w:eastAsia="Arial" w:hAnsi="Arial"/>
                <w:sz w:val="18"/>
                <w:szCs w:val="18"/>
                <w:color w:val="auto"/>
              </w:rPr>
              <w:t>–  Cover Page Interactive Data File (embedded within the Inline XBRL document)</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compensatory plan or arrangement.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6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KIRBY CORPORATION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78" w:lineRule="exact"/>
        <w:rPr>
          <w:sz w:val="20"/>
          <w:szCs w:val="20"/>
          <w:color w:val="auto"/>
        </w:rPr>
      </w:pPr>
    </w:p>
    <w:p>
      <w:pPr>
        <w:ind w:left="5640"/>
        <w:spacing w:after="0"/>
        <w:tabs>
          <w:tab w:leader="none" w:pos="8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23495</wp:posOffset>
            </wp:positionV>
            <wp:extent cx="320230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9"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Raj Kumar</w:t>
      </w:r>
    </w:p>
    <w:p>
      <w:pPr>
        <w:spacing w:after="0" w:line="36"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Executive Vice President and</w:t>
      </w:r>
    </w:p>
    <w:p>
      <w:pPr>
        <w:spacing w:after="0" w:line="36"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Chief Financial Officer</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6, 2023</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connection with the filing of the Quarterly Report on Form 10-Q for the quarter ended September 30, 2023 by Kirby Corporation, David W.</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Grzebinski certifies that:</w:t>
      </w:r>
    </w:p>
    <w:p>
      <w:pPr>
        <w:spacing w:after="0" w:line="102"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Kirby Corporation (the “registrant”);</w:t>
      </w:r>
    </w:p>
    <w:p>
      <w:pPr>
        <w:spacing w:after="0" w:line="116" w:lineRule="exact"/>
        <w:rPr>
          <w:rFonts w:ascii="Arial" w:cs="Arial" w:eastAsia="Arial" w:hAnsi="Arial"/>
          <w:sz w:val="18"/>
          <w:szCs w:val="18"/>
          <w:color w:val="auto"/>
        </w:rPr>
      </w:pPr>
    </w:p>
    <w:p>
      <w:pPr>
        <w:jc w:val="both"/>
        <w:ind w:left="380" w:right="400" w:hanging="372"/>
        <w:spacing w:after="0" w:line="263"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380" w:right="360" w:hanging="372"/>
        <w:spacing w:after="0" w:line="307" w:lineRule="auto"/>
        <w:tabs>
          <w:tab w:leader="none" w:pos="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380" w:right="40" w:hanging="372"/>
        <w:spacing w:after="0" w:line="263"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760" w:right="280" w:hanging="378"/>
        <w:spacing w:after="0" w:line="263" w:lineRule="auto"/>
        <w:tabs>
          <w:tab w:leader="none" w:pos="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760" w:right="600" w:hanging="378"/>
        <w:spacing w:after="0" w:line="263" w:lineRule="auto"/>
        <w:tabs>
          <w:tab w:leader="none" w:pos="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760" w:right="780" w:hanging="378"/>
        <w:spacing w:after="0" w:line="341" w:lineRule="auto"/>
        <w:tabs>
          <w:tab w:leader="none" w:pos="7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760" w:right="60" w:hanging="378"/>
        <w:spacing w:after="0" w:line="341" w:lineRule="auto"/>
        <w:tabs>
          <w:tab w:leader="none" w:pos="7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 w:lineRule="exact"/>
        <w:rPr>
          <w:rFonts w:ascii="Arial" w:cs="Arial" w:eastAsia="Arial" w:hAnsi="Arial"/>
          <w:sz w:val="16"/>
          <w:szCs w:val="16"/>
          <w:color w:val="auto"/>
        </w:rPr>
      </w:pPr>
    </w:p>
    <w:p>
      <w:pPr>
        <w:ind w:left="380" w:right="300" w:hanging="372"/>
        <w:spacing w:after="0" w:line="307" w:lineRule="auto"/>
        <w:tabs>
          <w:tab w:leader="none" w:pos="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760" w:right="180" w:hanging="378"/>
        <w:spacing w:after="0" w:line="277" w:lineRule="auto"/>
        <w:tabs>
          <w:tab w:leader="none" w:pos="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760" w:right="140" w:hanging="378"/>
        <w:spacing w:after="0" w:line="277" w:lineRule="auto"/>
        <w:tabs>
          <w:tab w:leader="none" w:pos="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23495</wp:posOffset>
            </wp:positionV>
            <wp:extent cx="356171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David W. Grzebinski</w:t>
      </w:r>
    </w:p>
    <w:p>
      <w:pPr>
        <w:spacing w:after="0" w:line="36" w:lineRule="exact"/>
        <w:rPr>
          <w:sz w:val="20"/>
          <w:szCs w:val="20"/>
          <w:color w:val="auto"/>
        </w:rPr>
      </w:pPr>
    </w:p>
    <w:p>
      <w:pPr>
        <w:ind w:left="70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0" w:lineRule="exact"/>
        <w:rPr>
          <w:sz w:val="20"/>
          <w:szCs w:val="20"/>
          <w:color w:val="auto"/>
        </w:rPr>
      </w:pPr>
    </w:p>
    <w:p>
      <w:pPr>
        <w:ind w:left="380" w:right="500"/>
        <w:spacing w:after="0" w:line="277" w:lineRule="auto"/>
        <w:rPr>
          <w:sz w:val="20"/>
          <w:szCs w:val="20"/>
          <w:color w:val="auto"/>
        </w:rPr>
      </w:pPr>
      <w:r>
        <w:rPr>
          <w:rFonts w:ascii="Arial" w:cs="Arial" w:eastAsia="Arial" w:hAnsi="Arial"/>
          <w:sz w:val="18"/>
          <w:szCs w:val="18"/>
          <w:color w:val="auto"/>
        </w:rPr>
        <w:t>In connection with the filing of the Quarterly Report on Form 10-Q for the quarter ended September 30, 2023 by Kirby Corporation, Raj Kumar certifies that:</w:t>
      </w:r>
    </w:p>
    <w:p>
      <w:pPr>
        <w:spacing w:after="0" w:line="62"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Kirby Corporation (the “registrant”);</w:t>
      </w:r>
    </w:p>
    <w:p>
      <w:pPr>
        <w:spacing w:after="0" w:line="116" w:lineRule="exact"/>
        <w:rPr>
          <w:rFonts w:ascii="Arial" w:cs="Arial" w:eastAsia="Arial" w:hAnsi="Arial"/>
          <w:sz w:val="18"/>
          <w:szCs w:val="18"/>
          <w:color w:val="auto"/>
        </w:rPr>
      </w:pPr>
    </w:p>
    <w:p>
      <w:pPr>
        <w:jc w:val="both"/>
        <w:ind w:left="380" w:right="400" w:hanging="372"/>
        <w:spacing w:after="0" w:line="263"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380" w:right="360" w:hanging="372"/>
        <w:spacing w:after="0" w:line="307" w:lineRule="auto"/>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380" w:right="40" w:hanging="372"/>
        <w:spacing w:after="0" w:line="263"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760" w:right="280" w:hanging="378"/>
        <w:spacing w:after="0" w:line="263" w:lineRule="auto"/>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760" w:right="600" w:hanging="378"/>
        <w:spacing w:after="0" w:line="263" w:lineRule="auto"/>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760" w:right="780" w:hanging="378"/>
        <w:spacing w:after="0" w:line="341" w:lineRule="auto"/>
        <w:tabs>
          <w:tab w:leader="none" w:pos="7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760" w:right="60" w:hanging="378"/>
        <w:spacing w:after="0" w:line="341" w:lineRule="auto"/>
        <w:tabs>
          <w:tab w:leader="none" w:pos="7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 w:lineRule="exact"/>
        <w:rPr>
          <w:rFonts w:ascii="Arial" w:cs="Arial" w:eastAsia="Arial" w:hAnsi="Arial"/>
          <w:sz w:val="16"/>
          <w:szCs w:val="16"/>
          <w:color w:val="auto"/>
        </w:rPr>
      </w:pPr>
    </w:p>
    <w:p>
      <w:pPr>
        <w:ind w:left="380" w:right="300" w:hanging="372"/>
        <w:spacing w:after="0" w:line="307" w:lineRule="auto"/>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760" w:right="180" w:hanging="378"/>
        <w:spacing w:after="0" w:line="277" w:lineRule="auto"/>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760" w:right="140" w:hanging="378"/>
        <w:spacing w:after="0" w:line="277" w:lineRule="auto"/>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23495</wp:posOffset>
            </wp:positionV>
            <wp:extent cx="356171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Raj Kumar</w:t>
      </w:r>
    </w:p>
    <w:p>
      <w:pPr>
        <w:spacing w:after="0" w:line="36" w:lineRule="exact"/>
        <w:rPr>
          <w:sz w:val="20"/>
          <w:szCs w:val="20"/>
          <w:color w:val="auto"/>
        </w:rPr>
      </w:pPr>
    </w:p>
    <w:p>
      <w:pPr>
        <w:jc w:val="center"/>
        <w:ind w:left="5620"/>
        <w:spacing w:after="0"/>
        <w:rPr>
          <w:sz w:val="20"/>
          <w:szCs w:val="20"/>
          <w:color w:val="auto"/>
        </w:rPr>
      </w:pPr>
      <w:r>
        <w:rPr>
          <w:rFonts w:ascii="Arial" w:cs="Arial" w:eastAsia="Arial" w:hAnsi="Arial"/>
          <w:sz w:val="18"/>
          <w:szCs w:val="18"/>
          <w:i w:val="1"/>
          <w:iCs w:val="1"/>
          <w:color w:val="auto"/>
        </w:rPr>
        <w:t>Executive Vice President and</w:t>
      </w:r>
    </w:p>
    <w:p>
      <w:pPr>
        <w:spacing w:after="0" w:line="36" w:lineRule="exact"/>
        <w:rPr>
          <w:sz w:val="20"/>
          <w:szCs w:val="20"/>
          <w:color w:val="auto"/>
        </w:rPr>
      </w:pPr>
    </w:p>
    <w:p>
      <w:pPr>
        <w:jc w:val="center"/>
        <w:ind w:left="562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18 U.S.C. Section 1350</w:t>
      </w:r>
    </w:p>
    <w:p>
      <w:pPr>
        <w:spacing w:after="0" w:line="210" w:lineRule="exact"/>
        <w:rPr>
          <w:sz w:val="20"/>
          <w:szCs w:val="20"/>
          <w:color w:val="auto"/>
        </w:rPr>
      </w:pPr>
    </w:p>
    <w:p>
      <w:pPr>
        <w:ind w:right="300" w:firstLine="374"/>
        <w:spacing w:after="0" w:line="277" w:lineRule="auto"/>
        <w:rPr>
          <w:sz w:val="20"/>
          <w:szCs w:val="20"/>
          <w:color w:val="auto"/>
        </w:rPr>
      </w:pPr>
      <w:r>
        <w:rPr>
          <w:rFonts w:ascii="Arial" w:cs="Arial" w:eastAsia="Arial" w:hAnsi="Arial"/>
          <w:sz w:val="18"/>
          <w:szCs w:val="18"/>
          <w:color w:val="auto"/>
        </w:rPr>
        <w:t>In connection with the filing of the Quarterly Report on Form 10-Q for the quarter ended September 30, 2023 (the “Report”) by Kirby Corporation (the “Company”), each of the undersigned hereby certifies that:</w:t>
      </w:r>
    </w:p>
    <w:p>
      <w:pPr>
        <w:spacing w:after="0" w:line="62"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6" w:lineRule="exact"/>
        <w:rPr>
          <w:rFonts w:ascii="Arial" w:cs="Arial" w:eastAsia="Arial" w:hAnsi="Arial"/>
          <w:sz w:val="18"/>
          <w:szCs w:val="18"/>
          <w:color w:val="auto"/>
        </w:rPr>
      </w:pPr>
    </w:p>
    <w:p>
      <w:pPr>
        <w:ind w:left="380" w:hanging="372"/>
        <w:spacing w:after="0"/>
        <w:tabs>
          <w:tab w:leader="none" w:pos="3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23495</wp:posOffset>
            </wp:positionV>
            <wp:extent cx="356171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David W. Grzebinski</w:t>
      </w:r>
    </w:p>
    <w:p>
      <w:pPr>
        <w:spacing w:after="0" w:line="36" w:lineRule="exact"/>
        <w:rPr>
          <w:sz w:val="20"/>
          <w:szCs w:val="20"/>
          <w:color w:val="auto"/>
        </w:rPr>
      </w:pPr>
    </w:p>
    <w:p>
      <w:pPr>
        <w:ind w:left="70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78"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23495</wp:posOffset>
            </wp:positionV>
            <wp:extent cx="356171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Raj Kumar</w:t>
      </w:r>
    </w:p>
    <w:p>
      <w:pPr>
        <w:spacing w:after="0" w:line="36" w:lineRule="exact"/>
        <w:rPr>
          <w:sz w:val="20"/>
          <w:szCs w:val="20"/>
          <w:color w:val="auto"/>
        </w:rPr>
      </w:pPr>
    </w:p>
    <w:p>
      <w:pPr>
        <w:jc w:val="center"/>
        <w:ind w:left="5620"/>
        <w:spacing w:after="0"/>
        <w:rPr>
          <w:sz w:val="20"/>
          <w:szCs w:val="20"/>
          <w:color w:val="auto"/>
        </w:rPr>
      </w:pPr>
      <w:r>
        <w:rPr>
          <w:rFonts w:ascii="Arial" w:cs="Arial" w:eastAsia="Arial" w:hAnsi="Arial"/>
          <w:sz w:val="18"/>
          <w:szCs w:val="18"/>
          <w:i w:val="1"/>
          <w:iCs w:val="1"/>
          <w:color w:val="auto"/>
        </w:rPr>
        <w:t>Executive Vice President and</w:t>
      </w:r>
    </w:p>
    <w:p>
      <w:pPr>
        <w:spacing w:after="0" w:line="36" w:lineRule="exact"/>
        <w:rPr>
          <w:sz w:val="20"/>
          <w:szCs w:val="20"/>
          <w:color w:val="auto"/>
        </w:rPr>
      </w:pPr>
    </w:p>
    <w:p>
      <w:pPr>
        <w:jc w:val="center"/>
        <w:ind w:left="5620"/>
        <w:spacing w:after="0"/>
        <w:rPr>
          <w:sz w:val="20"/>
          <w:szCs w:val="20"/>
          <w:color w:val="auto"/>
        </w:rPr>
      </w:pPr>
      <w:r>
        <w:rPr>
          <w:rFonts w:ascii="Arial" w:cs="Arial" w:eastAsia="Arial" w:hAnsi="Arial"/>
          <w:sz w:val="18"/>
          <w:szCs w:val="18"/>
          <w:i w:val="1"/>
          <w:iCs w:val="1"/>
          <w:color w:val="auto"/>
        </w:rPr>
        <w:t>Chief Financial Officer</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
      <w:numFmt w:val="bullet"/>
      <w:start w:val="1"/>
    </w:lvl>
  </w:abstractNum>
  <w:abstractNum w:abstractNumId="1">
    <w:nsid w:val="1190CDE7"/>
    <w:multiLevelType w:val="hybridMultilevel"/>
    <w:lvl w:ilvl="0">
      <w:lvlJc w:val="left"/>
      <w:lvlText w:val=" "/>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decimal"/>
      <w:start w:val="5"/>
    </w:lvl>
  </w:abstractNum>
  <w:abstractNum w:abstractNumId="7">
    <w:nsid w:val="7FDCC233"/>
    <w:multiLevelType w:val="hybridMultilevel"/>
    <w:lvl w:ilvl="0">
      <w:lvlJc w:val="left"/>
      <w:lvlText w:val="(%1)"/>
      <w:numFmt w:val="lowerLetter"/>
      <w:start w:val="1"/>
    </w:lvl>
  </w:abstractNum>
  <w:abstractNum w:abstractNumId="8">
    <w:nsid w:val="1BEFD79F"/>
    <w:multiLevelType w:val="hybridMultilevel"/>
    <w:lvl w:ilvl="0">
      <w:lvlJc w:val="left"/>
      <w:lvlText w:val="(%1)"/>
      <w:numFmt w:val="decimal"/>
      <w:start w:val="6"/>
    </w:lvl>
  </w:abstractNum>
  <w:abstractNum w:abstractNumId="9">
    <w:nsid w:val="41A7C4C9"/>
    <w:multiLevelType w:val="hybridMultilevel"/>
    <w:lvl w:ilvl="0">
      <w:lvlJc w:val="left"/>
      <w:lvlText w:val="(%1)"/>
      <w:numFmt w:val="decimal"/>
      <w:start w:val="7"/>
    </w:lvl>
  </w:abstractNum>
  <w:abstractNum w:abstractNumId="10">
    <w:nsid w:val="6B68079A"/>
    <w:multiLevelType w:val="hybridMultilevel"/>
    <w:lvl w:ilvl="0">
      <w:lvlJc w:val="left"/>
      <w:lvlText w:val="(%1)"/>
      <w:numFmt w:val="decimal"/>
      <w:start w:val="8"/>
    </w:lvl>
  </w:abstractNum>
  <w:abstractNum w:abstractNumId="11">
    <w:nsid w:val="4E6AFB66"/>
    <w:multiLevelType w:val="hybridMultilevel"/>
    <w:lvl w:ilvl="0">
      <w:lvlJc w:val="left"/>
      <w:lvlText w:val="(%1)"/>
      <w:numFmt w:val="decimal"/>
      <w:start w:val="12"/>
    </w:lvl>
  </w:abstractNum>
  <w:abstractNum w:abstractNumId="12">
    <w:nsid w:val="25E45D32"/>
    <w:multiLevelType w:val="hybridMultilevel"/>
    <w:lvl w:ilvl="0">
      <w:lvlJc w:val="left"/>
      <w:lvlText w:val="%1"/>
      <w:numFmt w:val="decimal"/>
      <w:start w:val="1"/>
    </w:lvl>
    <w:lvl w:ilvl="1">
      <w:lvlJc w:val="left"/>
      <w:lvlText w:val="(%2)"/>
      <w:numFmt w:val="lowerLetter"/>
      <w:start w:val="1"/>
    </w:lvl>
  </w:abstractNum>
  <w:abstractNum w:abstractNumId="13">
    <w:nsid w:val="519B500D"/>
    <w:multiLevelType w:val="hybridMultilevel"/>
    <w:lvl w:ilvl="0">
      <w:lvlJc w:val="left"/>
      <w:lvlText w:val="(%1)"/>
      <w:numFmt w:val="decimal"/>
      <w:start w:val="13"/>
    </w:lvl>
    <w:lvl w:ilvl="1">
      <w:lvlJc w:val="left"/>
      <w:lvlText w:val="%2"/>
      <w:numFmt w:val="lowerLetter"/>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12" Type="http://schemas.openxmlformats.org/officeDocument/2006/relationships/hyperlink" Target="https://www.sec.gov/Archives/edgar/data/56047/000114036115008395/ex3_1.htm" TargetMode="External"/><Relationship Id="rId313" Type="http://schemas.openxmlformats.org/officeDocument/2006/relationships/hyperlink" Target="https://www.sec.gov/Archives/edgar/data/56047/000095017022020426/kex-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2023-11-06T11:42:42Z</dcterms:created>
  <dcterms:modified xsi:type="dcterms:W3CDTF">2023-11-06T11:42:42Z</dcterms:modified>
</cp:coreProperties>
</file>