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56"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48" w:lineRule="exact"/>
        <w:rPr>
          <w:rFonts w:ascii="MS PGothic" w:cs="MS PGothic" w:eastAsia="MS PGothic" w:hAnsi="MS PGothic"/>
          <w:sz w:val="18"/>
          <w:szCs w:val="18"/>
          <w:color w:val="auto"/>
        </w:rPr>
      </w:pPr>
    </w:p>
    <w:p>
      <w:pPr>
        <w:ind w:left="44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KIRBY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480" w:type="dxa"/>
        <w:tblCellMar>
          <w:top w:w="0" w:type="dxa"/>
          <w:left w:w="0" w:type="dxa"/>
          <w:bottom w:w="0" w:type="dxa"/>
          <w:right w:w="0" w:type="dxa"/>
        </w:tblCellMar>
      </w:tblPr>
      <w:tr>
        <w:trPr>
          <w:trHeight w:val="216"/>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0"/>
              </w:rPr>
              <w:t>Nevada</w:t>
            </w:r>
          </w:p>
        </w:tc>
        <w:tc>
          <w:tcPr>
            <w:tcW w:w="3700" w:type="dxa"/>
            <w:vAlign w:val="bottom"/>
          </w:tcPr>
          <w:p>
            <w:pPr>
              <w:jc w:val="right"/>
              <w:ind w:right="770"/>
              <w:spacing w:after="0"/>
              <w:rPr>
                <w:sz w:val="20"/>
                <w:szCs w:val="20"/>
                <w:color w:val="auto"/>
              </w:rPr>
            </w:pPr>
            <w:r>
              <w:rPr>
                <w:rFonts w:ascii="Arial" w:cs="Arial" w:eastAsia="Arial" w:hAnsi="Arial"/>
                <w:sz w:val="18"/>
                <w:szCs w:val="18"/>
                <w:b w:val="1"/>
                <w:bCs w:val="1"/>
                <w:color w:val="auto"/>
              </w:rPr>
              <w:t>74-1884980</w:t>
            </w:r>
          </w:p>
        </w:tc>
      </w:tr>
      <w:tr>
        <w:trPr>
          <w:trHeight w:val="234"/>
        </w:trPr>
        <w:tc>
          <w:tcPr>
            <w:tcW w:w="5740" w:type="dxa"/>
            <w:vAlign w:val="bottom"/>
          </w:tcPr>
          <w:p>
            <w:pPr>
              <w:jc w:val="center"/>
              <w:ind w:right="101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00" w:type="dxa"/>
            <w:vAlign w:val="bottom"/>
          </w:tcPr>
          <w:p>
            <w:pPr>
              <w:jc w:val="center"/>
              <w:ind w:left="9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55 Waugh Drive, Suite 1000</w:t>
            </w:r>
          </w:p>
        </w:tc>
        <w:tc>
          <w:tcPr>
            <w:tcW w:w="3700" w:type="dxa"/>
            <w:vAlign w:val="bottom"/>
          </w:tcPr>
          <w:p>
            <w:pPr>
              <w:spacing w:after="0"/>
              <w:rPr>
                <w:sz w:val="24"/>
                <w:szCs w:val="24"/>
                <w:color w:val="auto"/>
              </w:rPr>
            </w:pPr>
          </w:p>
        </w:tc>
      </w:tr>
      <w:tr>
        <w:trPr>
          <w:trHeight w:val="216"/>
        </w:trPr>
        <w:tc>
          <w:tcPr>
            <w:tcW w:w="5740" w:type="dxa"/>
            <w:vAlign w:val="bottom"/>
          </w:tcPr>
          <w:p>
            <w:pPr>
              <w:jc w:val="center"/>
              <w:ind w:right="1010"/>
              <w:spacing w:after="0"/>
              <w:rPr>
                <w:sz w:val="20"/>
                <w:szCs w:val="20"/>
                <w:color w:val="auto"/>
              </w:rPr>
            </w:pPr>
            <w:r>
              <w:rPr>
                <w:rFonts w:ascii="Arial" w:cs="Arial" w:eastAsia="Arial" w:hAnsi="Arial"/>
                <w:sz w:val="18"/>
                <w:szCs w:val="18"/>
                <w:b w:val="1"/>
                <w:bCs w:val="1"/>
                <w:color w:val="auto"/>
                <w:w w:val="94"/>
              </w:rPr>
              <w:t>Houston, TX</w:t>
            </w:r>
          </w:p>
        </w:tc>
        <w:tc>
          <w:tcPr>
            <w:tcW w:w="3700" w:type="dxa"/>
            <w:vAlign w:val="bottom"/>
          </w:tcPr>
          <w:p>
            <w:pPr>
              <w:jc w:val="right"/>
              <w:ind w:right="990"/>
              <w:spacing w:after="0"/>
              <w:rPr>
                <w:sz w:val="20"/>
                <w:szCs w:val="20"/>
                <w:color w:val="auto"/>
              </w:rPr>
            </w:pPr>
            <w:r>
              <w:rPr>
                <w:rFonts w:ascii="Arial" w:cs="Arial" w:eastAsia="Arial" w:hAnsi="Arial"/>
                <w:sz w:val="18"/>
                <w:szCs w:val="18"/>
                <w:b w:val="1"/>
                <w:bCs w:val="1"/>
                <w:color w:val="auto"/>
              </w:rPr>
              <w:t>77007</w:t>
            </w:r>
          </w:p>
        </w:tc>
      </w:tr>
      <w:tr>
        <w:trPr>
          <w:trHeight w:val="23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00" w:type="dxa"/>
            <w:vAlign w:val="bottom"/>
          </w:tcPr>
          <w:p>
            <w:pPr>
              <w:jc w:val="center"/>
              <w:ind w:left="101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435-1000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Change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Regulations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spacing w:after="0"/>
              <w:rPr>
                <w:sz w:val="18"/>
                <w:szCs w:val="18"/>
                <w:color w:val="auto"/>
              </w:rPr>
            </w:pPr>
          </w:p>
        </w:tc>
        <w:tc>
          <w:tcPr>
            <w:tcW w:w="2900" w:type="dxa"/>
            <w:vAlign w:val="bottom"/>
          </w:tcPr>
          <w:p>
            <w:pPr>
              <w:ind w:left="66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6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60"/>
              <w:spacing w:after="0"/>
              <w:rPr>
                <w:sz w:val="20"/>
                <w:szCs w:val="20"/>
                <w:color w:val="auto"/>
              </w:rPr>
            </w:pPr>
            <w:r>
              <w:rPr>
                <w:rFonts w:ascii="Arial" w:cs="Arial" w:eastAsia="Arial" w:hAnsi="Arial"/>
                <w:sz w:val="18"/>
                <w:szCs w:val="18"/>
                <w:color w:val="auto"/>
              </w:rPr>
              <w:t>(Do not check if a smaller reporting company)</w:t>
            </w:r>
          </w:p>
        </w:tc>
        <w:tc>
          <w:tcPr>
            <w:tcW w:w="2900" w:type="dxa"/>
            <w:vAlign w:val="bottom"/>
          </w:tcPr>
          <w:p>
            <w:pPr>
              <w:ind w:left="66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900" w:type="dxa"/>
            <w:vAlign w:val="bottom"/>
          </w:tcPr>
          <w:p>
            <w:pPr>
              <w:ind w:left="66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$.10 par value per share, on May 3, 2018 was 59,697,000.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07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98"/>
              </w:rPr>
              <w:t>CONDENSED BALANCE SHEETS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 – less allowance for doubtful accounts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110,640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315,729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80,957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1,056,654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4,860,841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4,360,882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(1,416,973)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Property and equipment – net</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3,443,868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2,959,265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intangibles –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232,808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50,208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5,714,500</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5,127,427</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560" w:type="dxa"/>
            <w:vAlign w:val="bottom"/>
            <w:tcBorders>
              <w:top w:val="single" w:sz="8" w:color="CCEEFF"/>
            </w:tcBorders>
          </w:tcPr>
          <w:p>
            <w:pPr>
              <w:jc w:val="center"/>
              <w:ind w:left="2730"/>
              <w:spacing w:after="0"/>
              <w:rPr>
                <w:sz w:val="20"/>
                <w:szCs w:val="20"/>
                <w:color w:val="auto"/>
              </w:rPr>
            </w:pPr>
            <w:r>
              <w:rPr>
                <w:rFonts w:ascii="Arial" w:cs="Arial" w:eastAsia="Arial" w:hAnsi="Arial"/>
                <w:sz w:val="18"/>
                <w:szCs w:val="18"/>
                <w:color w:val="auto"/>
                <w:w w:val="88"/>
              </w:rPr>
              <w:t>See accompanying notes to condensed financial statements.</w:t>
            </w: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98"/>
              </w:rPr>
              <w:t>CONDENSED BALANCE SHEETS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 notes payable</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196,063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209,760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81,216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531,158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 less current portion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1,423,267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517,421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468,451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100,786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long-term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2,041,474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1,532,898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Kirby stockholders’ equity: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$.10 par value per share. Authorized 120,000,000 shares, issued 65,472,000 shares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810,381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income –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2,677,611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2,646,937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Treasury stock – at cost, 5,800,000 shares at March 31, 2018 and 5,783,000 at December 31, 2017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(316,564)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Kirby stockholders’ equity</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3,138,495</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3,110,820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3,141,868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5,714,500</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5,127,427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vMerge w:val="restart"/>
          </w:tcPr>
          <w:p>
            <w:pPr>
              <w:jc w:val="center"/>
              <w:ind w:left="2730"/>
              <w:spacing w:after="0"/>
              <w:rPr>
                <w:sz w:val="20"/>
                <w:szCs w:val="20"/>
                <w:color w:val="auto"/>
              </w:rPr>
            </w:pPr>
            <w:r>
              <w:rPr>
                <w:rFonts w:ascii="Arial" w:cs="Arial" w:eastAsia="Arial" w:hAnsi="Arial"/>
                <w:sz w:val="18"/>
                <w:szCs w:val="18"/>
                <w:color w:val="auto"/>
                <w:w w:val="88"/>
              </w:rPr>
              <w:t>See accompanying notes to condensed financial statements.</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w w:val="98"/>
              </w:rPr>
              <w:t>CONDENSED STATEMENTS OF EARNINGS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jc w:val="center"/>
              <w:ind w:left="47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7"/>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 in thousands, except</w:t>
            </w:r>
          </w:p>
        </w:tc>
        <w:tc>
          <w:tcPr>
            <w:tcW w:w="0" w:type="dxa"/>
            <w:vAlign w:val="bottom"/>
          </w:tcPr>
          <w:p>
            <w:pPr>
              <w:spacing w:after="0"/>
              <w:rPr>
                <w:sz w:val="1"/>
                <w:szCs w:val="1"/>
                <w:color w:val="auto"/>
              </w:rPr>
            </w:pPr>
          </w:p>
        </w:tc>
      </w:tr>
      <w:tr>
        <w:trPr>
          <w:trHeight w:val="234"/>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88"/>
              </w:rPr>
              <w:t>per share amounts)</w:t>
            </w:r>
          </w:p>
        </w:tc>
        <w:tc>
          <w:tcPr>
            <w:tcW w:w="0" w:type="dxa"/>
            <w:vAlign w:val="bottom"/>
          </w:tcPr>
          <w:p>
            <w:pPr>
              <w:spacing w:after="0"/>
              <w:rPr>
                <w:sz w:val="1"/>
                <w:szCs w:val="1"/>
                <w:color w:val="auto"/>
              </w:rPr>
            </w:pPr>
          </w:p>
        </w:tc>
      </w:tr>
      <w:tr>
        <w:trPr>
          <w:trHeight w:val="216"/>
        </w:trPr>
        <w:tc>
          <w:tcPr>
            <w:tcW w:w="88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401,285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148,053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741,688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553,317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344,799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Gain on disposition of 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(1,898)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690,968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Earnings before taxes on income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Provision for taxes on income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(9,865)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Net earnings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32,666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27,645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earnings attributable to Kirby</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32,471</w:t>
            </w:r>
          </w:p>
        </w:tc>
        <w:tc>
          <w:tcPr>
            <w:tcW w:w="1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attributable to Kirby common stockholders: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rPr>
              <w:t>CONDENSED STATEMENTS OF COMPREHENSIVE INCOME</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56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32,666</w:t>
            </w:r>
          </w:p>
        </w:tc>
        <w:tc>
          <w:tcPr>
            <w:tcW w:w="1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Pension and postretirement benefits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 to retained earnings of stranded tax effects from tax reform</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Total other comprehensive income (loss), net of taxes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(7,075)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Total comprehensive income, net of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Comprehensive income attributable to Kirby</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25,396</w:t>
            </w:r>
          </w:p>
        </w:tc>
        <w:tc>
          <w:tcPr>
            <w:tcW w:w="1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28,229</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560" w:type="dxa"/>
            <w:vAlign w:val="bottom"/>
            <w:tcBorders>
              <w:top w:val="single" w:sz="8" w:color="CCEEFF"/>
            </w:tcBorders>
          </w:tcPr>
          <w:p>
            <w:pPr>
              <w:jc w:val="center"/>
              <w:ind w:left="2730"/>
              <w:spacing w:after="0"/>
              <w:rPr>
                <w:sz w:val="20"/>
                <w:szCs w:val="20"/>
                <w:color w:val="auto"/>
              </w:rPr>
            </w:pPr>
            <w:r>
              <w:rPr>
                <w:rFonts w:ascii="Arial" w:cs="Arial" w:eastAsia="Arial" w:hAnsi="Arial"/>
                <w:sz w:val="18"/>
                <w:szCs w:val="18"/>
                <w:color w:val="auto"/>
                <w:w w:val="88"/>
              </w:rPr>
              <w:t>See accompanying notes to condensed financial statements.</w:t>
            </w: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98"/>
              </w:rPr>
              <w:t>CONDENSED STATEMENTS OF CASH FLOWS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32,666</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54,218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Provision for deferred income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unearned share-based compensation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Amortization of major maintenance costs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cash flows resulting from changes in operating assets and liabilities, net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18,734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85,202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Acquisitions of businesses and marine equipment, net of cash acquired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(429,977)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disposition of assets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12,181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(458,757)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(37,807)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bank credit facilities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Borrowings on long-term debt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debt issue costs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related to tax withholding for share-based compensation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426,931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80"/>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(13,092)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20,102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Cash paid during the period: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paid</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10,763</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Income taxes paid (refunded)</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(721)</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 included in accounts payable</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Non-cash investing activity:</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acquired in acquisition</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FOR PREPARATION OF THE CONDENSED FINANCIAL STATEMENTS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condensed financial statements included herein have been prepared by Kirby Corporation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STANDARDS ADOPTIONS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February 2018, the Financial Accounting Standards Board (“FASB”) issued Accounting Standards Update (“ASU”) 2018-02, “Income Statement</w:t>
      </w:r>
    </w:p>
    <w:p>
      <w:pPr>
        <w:spacing w:after="0" w:line="4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Reporting Comprehensive Income (Topic 220): Reclassification of Certain Tax Effects from Accumulated Other Comprehensive Income” which allows a reclassification from accumulated other comprehensive income to retained earnings for stranded tax effects resulting from the recent federal tax reform legislation. ASU 2018-02 eliminates the stranded tax effects resulting from the recent federal tax reform legislation and will improve the usefulness of information reported to financial statement users. The amendments in ASU 2018-02 will be applied either in the period of adoption or retrospectively to each period (or periods) in which the effect of the change in the recent federal tax reform legislation is recognized. ASU 2018-02 is effective for fiscal years, and interim periods within those fiscal years, beginning after December 15, 2018. Early adoption is permitted, including adoption in any interim period, for which financial statements have not yet been made available for issuance. The Company elected to early adopt ASU 2018-02 in the 2018 first quarter, which resulted in the reclassification of $7,925,000 from accumulated other comprehensive income (loss) to retained earnings due to the change in the federal corporate tax rate.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March 2017, the FASB issued ASU 2017-07, “Compensation – Retirement Benefits (Topic 715): Improving the Presentation of Net Periodic Pension Cost and Net Periodic Postretirement Benefit Cost” (“ASU 2017-07”) which requires employers to include only the service cost component of net periodic pension cost and net periodic postretirement benefit cost in operating expenses. The other components of net benefit cost are required to be presented in the income statement separately from the service cost component and outside a subtotal of income from operations. The standard allows only the service cost component to be eligible for capitalization when applicable. ASU 2017-07 is effective for annual and interim periods beginning after December 15, 2017 with early adoption permitted. This standard shall be applied retrospectively for the presentation of the service cost component and the other components of net periodic pension cost and net periodic postretirement benefit cost in the income statement and prospectively for the capitalization of the service cost benefit in assets. The Company adopted ASU 2017-07 on January 1, 2018 and applied the standard retrospectively. The other components of net benefit cost are shown in Note 13, Retirement Plans. As a result of the adoption, for the three months ended March 31, 2017, the Company reclassified $473,000 from operating expense into non-operating expense in the condensed statement of earnings.</w:t>
      </w:r>
    </w:p>
    <w:p>
      <w:pPr>
        <w:spacing w:after="0" w:line="19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(“ASU 2017-04”) which simplifies the subsequent measurement of goodwill by eliminating Step 2 in the goodwill impairment test that required an entity to perform procedures to determine the fair value of its assets and liabilities at the testing date. An entity instead will perform its annual, or interim, goodwill impairment test by comparing the fair value of a reporting unit with its carrying value and record an impairment charge based on the excess of a reporting unit’s carrying amount over its fair value. An entity still has the option to perform the qualitative assessment for a reporting unit to determine if the quantitative impairment test is necessary. ASU 2017-04 will be applied prospectively and is effective for annual and interim goodwill impairment tests conducted in fiscal years beginning after December 15, 2019. Early adoption is permitted for interim or annual goodwill impairment testing dates after January 1, 2017. The Company is currently evaluating the impact, if any, that the adoption of this standard will have on its consolidated financial statements.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both"/>
        <w:ind w:firstLine="648"/>
        <w:spacing w:after="0" w:line="302"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(“ASU 2016-15”) to create consistency in practice in how certain cash receipts and cash payments are presented and classified in the statement of cash flows. ASU 2016-15 is effective for annual and interim periods beginning after December 15, 2017. Early adoption is permitted. The Company adopted ASU 2016-15 on January 1, 2018 and the adoption of the standard did not have a material impact on the consolidated financial statements.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February 2016, the FASB issued ASU No. 2016-02, “Leases (Topic 842)” (“ASU 2016-02”) to increase transparency and comparability among organizations by requiring recognition of lease assets and lease liabilities on the balance sheet and disclosure of key information about leasing arrangements. ASU 2016-02 is effective for annual and interim periods beginning after December 15, 2018, with early adoption permitted. A modified retrospective approach is required. The Company has formed a project team to evaluate the impact that the adoption of this standard will have on its consolidated financial statements and disclosures. The project team has completed training on the new standard and has started lease review and documentation, but the Company has not yet determined the effect of ASU 2016-02 on its ongoing financial reporting.</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May 2014, the FASB issued ASU 2014-09, “Revenue from Contracts with Customers (ASC Topic 606)” (“ASU 2014-09” or “ASC 606”). ASU 2014-09 requires an entity to recognize the amount of revenue to which it expects to be entitled for the transfer of promised goods or services to customers. ASU 2014-09 replaces most existing revenue recognition guidance in United States Generally Accepted Accounting Principles and is effective for fiscal years, and interim periods within those years, beginning after December 15, 2017. ASU 2014-09 permits the use of either the retrospective, modified retrospective or prospective with a cumulative catch-up approach. The Company adopted ASU 2014-09 on January 1, 2018 under the modified retrospective approach with a cumulative adjustment that decreased the opening balance of retained earnings by $9,722,000. Prior period amounts were not adjusted and the prior period amounts continue to be reported under the accounting standards in effect for those periods. The cumulative adjustment primarily relates to recognition of revenue on certain contract manufacturing activities, primarily construction of new pressure pumping units in the Company’s distribution and services segment. The Company previously recognized revenue on manufacturing and assembly projects on a percentage of completion method using measurements of progress towards completion appropriate for the work performed. Upon the adoption of ASU 2014-09, the Company recognizes the revenues on contract manufacturing activities upon shipment and transfer of control versus the percentage of completion method.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6"/>
          <w:szCs w:val="16"/>
          <w:color w:val="auto"/>
        </w:rPr>
        <w:t>The following table summarizes the financial statement line items within the Company’s condensed consolidated financial statements impacted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ASU 2014-09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90"/>
              </w:rPr>
              <w:t>Three months ended March 31, 2018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5"/>
              </w:rPr>
              <w:t>Balances</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without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Adoption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Effect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As Reported</w:t>
            </w:r>
          </w:p>
        </w:tc>
        <w:tc>
          <w:tcPr>
            <w:tcW w:w="1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ASC 606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Statements of earnings:</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 and services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428,585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553,317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574,817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56,520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Earnings before taxes on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42,531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48,331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taxes on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(11,216)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earnings attributable to Kirby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32,471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36,920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Statements of comprehensive income: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37,115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Comprehensive income attributable to Kirby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25,396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29,845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Balance sheets: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receivables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485,865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495,875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372,182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350,682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5,714,500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5,703,010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81,216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63,926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517,421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518,772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2,677,611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2,682,060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5,714,500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5,703,010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Statements of cash flows: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32,666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37,115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deferred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10,197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Decrease in cash flows resulting from changes in operating assets and liabilities,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(87,926)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(76,436)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(11,490)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sets forth the Company’s revenues by major source for the three months ended March 31, 2018 and 2017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22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9"/>
                <w:szCs w:val="19"/>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Marine transportation segment:</w:t>
            </w: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Inland transportation</w:t>
            </w:r>
          </w:p>
        </w:tc>
        <w:tc>
          <w:tcPr>
            <w:tcW w:w="3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252,355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237,238</w:t>
            </w:r>
          </w:p>
        </w:tc>
      </w:tr>
      <w:tr>
        <w:trPr>
          <w:trHeight w:val="223"/>
        </w:trPr>
        <w:tc>
          <w:tcPr>
            <w:tcW w:w="20" w:type="dxa"/>
            <w:vAlign w:val="bottom"/>
          </w:tcPr>
          <w:p>
            <w:pPr>
              <w:spacing w:after="0"/>
              <w:rPr>
                <w:sz w:val="19"/>
                <w:szCs w:val="19"/>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Coastal transportation</w:t>
            </w:r>
          </w:p>
        </w:tc>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88,048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106,414</w:t>
            </w:r>
          </w:p>
        </w:tc>
      </w:tr>
      <w:tr>
        <w:trPr>
          <w:trHeight w:val="257"/>
        </w:trPr>
        <w:tc>
          <w:tcPr>
            <w:tcW w:w="20" w:type="dxa"/>
            <w:vAlign w:val="bottom"/>
          </w:tcPr>
          <w:p>
            <w:pPr>
              <w:spacing w:after="0"/>
              <w:rPr>
                <w:sz w:val="22"/>
                <w:szCs w:val="22"/>
                <w:color w:val="auto"/>
              </w:rPr>
            </w:pPr>
          </w:p>
        </w:tc>
        <w:tc>
          <w:tcPr>
            <w:tcW w:w="56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343,652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Distribution and services segment:</w:t>
            </w: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Oil and gas</w:t>
            </w:r>
          </w:p>
        </w:tc>
        <w:tc>
          <w:tcPr>
            <w:tcW w:w="3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274,491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97,104</w:t>
            </w:r>
          </w:p>
        </w:tc>
      </w:tr>
      <w:tr>
        <w:trPr>
          <w:trHeight w:val="223"/>
        </w:trPr>
        <w:tc>
          <w:tcPr>
            <w:tcW w:w="20" w:type="dxa"/>
            <w:vAlign w:val="bottom"/>
          </w:tcPr>
          <w:p>
            <w:pPr>
              <w:spacing w:after="0"/>
              <w:rPr>
                <w:sz w:val="19"/>
                <w:szCs w:val="19"/>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126,794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50,949</w:t>
            </w:r>
          </w:p>
        </w:tc>
      </w:tr>
      <w:tr>
        <w:trPr>
          <w:trHeight w:val="257"/>
        </w:trPr>
        <w:tc>
          <w:tcPr>
            <w:tcW w:w="20" w:type="dxa"/>
            <w:vAlign w:val="bottom"/>
          </w:tcPr>
          <w:p>
            <w:pPr>
              <w:spacing w:after="0"/>
              <w:rPr>
                <w:sz w:val="22"/>
                <w:szCs w:val="22"/>
                <w:color w:val="auto"/>
              </w:rPr>
            </w:pPr>
          </w:p>
        </w:tc>
        <w:tc>
          <w:tcPr>
            <w:tcW w:w="56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148,053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revenue is measured based on consideration specified in its contracts with its customers. The Company recognizes revenue as it satisfies performance obligations in its contracts which occur as the Company delivers a service over time to its customers, or transfers control over a part or product to its customer.</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Marine Transportation Revenues</w:t>
      </w:r>
      <w:r>
        <w:rPr>
          <w:rFonts w:ascii="Arial" w:cs="Arial" w:eastAsia="Arial" w:hAnsi="Arial"/>
          <w:sz w:val="17"/>
          <w:szCs w:val="17"/>
          <w:color w:val="auto"/>
        </w:rPr>
        <w:t>. The Company’s marine transportation segment utilizes contracts with its customers to transport cargo from a</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designated origin to a designated destination at a set rate or at a daily rate. The Company uses a voyage accounting method of revenue recognition for its marine transportation revenues which allocates voyage revenue based on the percent of the voyage completed during the period. The performance of the service is invoiced as the transaction occurs and payment is required depending on each specific customer’s credit terms.</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 w:name="page10"/>
    <w:bookmarkEnd w:id="9"/>
    <w:p>
      <w:pPr>
        <w:jc w:val="both"/>
        <w:ind w:firstLine="648"/>
        <w:spacing w:after="0" w:line="271" w:lineRule="auto"/>
        <w:rPr>
          <w:sz w:val="20"/>
          <w:szCs w:val="20"/>
          <w:color w:val="auto"/>
        </w:rPr>
      </w:pPr>
      <w:r>
        <w:rPr>
          <w:rFonts w:ascii="Arial" w:cs="Arial" w:eastAsia="Arial" w:hAnsi="Arial"/>
          <w:sz w:val="17"/>
          <w:szCs w:val="17"/>
          <w:i w:val="1"/>
          <w:iCs w:val="1"/>
          <w:color w:val="auto"/>
        </w:rPr>
        <w:t>Distribution and Services Revenues</w:t>
      </w:r>
      <w:r>
        <w:rPr>
          <w:rFonts w:ascii="Arial" w:cs="Arial" w:eastAsia="Arial" w:hAnsi="Arial"/>
          <w:sz w:val="17"/>
          <w:szCs w:val="17"/>
          <w:color w:val="auto"/>
        </w:rPr>
        <w:t>. Distribution products and services are generally sold based upon purchase orders or preferential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the customer that include fixed or determinable prices. Parts sales are recognized when control transfers to the customer, generally when title passes upon shipment to customers. Service revenue is recognized over time as the service is provided using measures of progress utilizing hours worked or costs incurred as a percentage of estimated hours or expected costs. Revenue from rental agreements is recognized on a straight-line basis over the rental period. The Company recognizes the revenues on contract manufacturing activities upon shipment and transfer of control to the customer. The transactions in the distribution and services segment are typically invoiced as parts are shipped or upon the completion of the service job. Contract manufacturing activities are generally invoiced upon shipment and the Company will often get deposits from its customers prior to starting work, or progress payments during the project depending on the credit worthiness of the customer and the size of the project.</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the adoption of ASU 2014-09, distribution and services manufacturing and assembly projects revenue was reported on the percentage of completion method of accounting using measurements of progress towards completion appropriate for the work performed. Upon the adoption of ASU 2014-09 on January 1, 2018, the Company recognizes the revenues on contract manufacturing activities upon shipment and transfer of control versus the percentage of completion method.</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Contract Assets and Liabilities</w:t>
      </w:r>
      <w:r>
        <w:rPr>
          <w:rFonts w:ascii="Arial" w:cs="Arial" w:eastAsia="Arial" w:hAnsi="Arial"/>
          <w:sz w:val="16"/>
          <w:szCs w:val="16"/>
          <w:color w:val="auto"/>
        </w:rPr>
        <w:t>. Contract liabilities represent advance consideration received from customers, and are recognized as revenue over</w:t>
      </w:r>
      <w:r>
        <w:rPr>
          <w:rFonts w:ascii="Arial" w:cs="Arial" w:eastAsia="Arial" w:hAnsi="Arial"/>
          <w:sz w:val="16"/>
          <w:szCs w:val="16"/>
          <w:i w:val="1"/>
          <w:iCs w:val="1"/>
          <w:color w:val="auto"/>
        </w:rPr>
        <w:t xml:space="preserve"> </w:t>
      </w:r>
      <w:r>
        <w:rPr>
          <w:rFonts w:ascii="Arial" w:cs="Arial" w:eastAsia="Arial" w:hAnsi="Arial"/>
          <w:sz w:val="16"/>
          <w:szCs w:val="16"/>
          <w:color w:val="auto"/>
        </w:rPr>
        <w:t>time as the related performance obligation is satisfied. The amount of revenue recognized in the first quarter of 2018 that was included in the opening contract liability balance was $33,806,000. The Company has recognized all contract liabilities within the deferred revenues financial statement caption on the balance sheet. The Company expects to recognize revenue of $79,562,000 in the nine months ending December 31, 2018 and $1,654,000 in the 2019 year related to deferred revenue as of March 31, 2018. The Company did not have any contract assets at March 31, 2018 or December 31, 2017.</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Performance Obligations</w:t>
      </w:r>
      <w:r>
        <w:rPr>
          <w:rFonts w:ascii="Arial" w:cs="Arial" w:eastAsia="Arial" w:hAnsi="Arial"/>
          <w:sz w:val="18"/>
          <w:szCs w:val="18"/>
          <w:color w:val="auto"/>
        </w:rPr>
        <w:t>. The Company applies the practical expedient in ASC 606-10-50-14(a) and does not disclose information about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that have original expected durations of one year or less.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15, 2018, the Company purchased two inland pressure tank barges from a competitor for $10,400,000 in cash. The average age of the two tank barges was five years.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14, 2018, the Company completed the acquisition of Higman Marine, Inc. and its affiliated companies (“Higman”) for $421,922,000 in cash, subject to certain post-closing adjustments. Higman’s fleet consisted of 163 inland tank barges, of which two are under construction and scheduled to be delivered in May 2018 and October 2018, with 4.8 million barrels of capacity, and 75 inland towboats, transporting petrochemicals, black oil, including crude oil and natural gas condensate, and refined petroleum products on the Mississippi River System and the Gulf Intracoastal Waterway. Financing of the acquisition was through the issuance of $500,000,000 of 4.2% senior unsecured notes due March 1, 2028. The notes were issued on February 12, 2018 in preparation for closing of the acquisition.</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Higman to be a natural extension of the current marine transportation segment, expanding the capabilities of the Company’s inland based marine transportation business and lowering the average age of its inland tank barge and towboat fleet.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The fair values of the assets acquired and liabilities assumed recorded at the acquisition date were as follows (in thousands):</w:t>
      </w:r>
    </w:p>
    <w:p>
      <w:pPr>
        <w:spacing w:after="0" w:line="252"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20,381</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496,114</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19,666</w:t>
            </w:r>
          </w:p>
        </w:tc>
        <w:tc>
          <w:tcPr>
            <w:tcW w:w="0" w:type="dxa"/>
            <w:vAlign w:val="bottom"/>
          </w:tcPr>
          <w:p>
            <w:pPr>
              <w:spacing w:after="0"/>
              <w:rPr>
                <w:sz w:val="1"/>
                <w:szCs w:val="1"/>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43,059</w:t>
            </w:r>
          </w:p>
        </w:tc>
        <w:tc>
          <w:tcPr>
            <w:tcW w:w="0" w:type="dxa"/>
            <w:vAlign w:val="bottom"/>
          </w:tcPr>
          <w:p>
            <w:pPr>
              <w:spacing w:after="0"/>
              <w:rPr>
                <w:sz w:val="1"/>
                <w:szCs w:val="1"/>
                <w:color w:val="auto"/>
              </w:rPr>
            </w:pPr>
          </w:p>
        </w:tc>
      </w:tr>
      <w:tr>
        <w:trPr>
          <w:trHeight w:val="223"/>
        </w:trPr>
        <w:tc>
          <w:tcPr>
            <w:tcW w:w="556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36,016</w:t>
            </w:r>
          </w:p>
        </w:tc>
        <w:tc>
          <w:tcPr>
            <w:tcW w:w="0" w:type="dxa"/>
            <w:vAlign w:val="bottom"/>
          </w:tcPr>
          <w:p>
            <w:pPr>
              <w:spacing w:after="0"/>
              <w:rPr>
                <w:sz w:val="1"/>
                <w:szCs w:val="1"/>
                <w:color w:val="auto"/>
              </w:rPr>
            </w:pPr>
          </w:p>
        </w:tc>
      </w:tr>
      <w:tr>
        <w:trPr>
          <w:trHeight w:val="257"/>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102,239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48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analysis of the Higman fair values is substantially complete but all fair values have not been finalized pending obtaining the information necessary to complete the analysis. As additional information becomes known concerning the assets acquired and liabilities assumed, the Company may make adjustments to the opening balance sheet of Higman up to a one year period following the acquisition date.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Acquisition related costs of $3,261,000, consisting primarily of legal, audit and other professional fees plus other expenses, were expensed as incurred to selling, general and administrative expense in the 2018 first quarter.</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 forma results of the acquisitions made in the 2018 first quarter have not been presented as the pro forma revenues, earnings before taxes on income, net earnings and net earnings per share would not be materially different from the Company’s actual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details of inventories as of March 31, 2018 and December 31, 2017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March 31,</w:t>
            </w: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3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254,631</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Work in process</w:t>
            </w:r>
          </w:p>
        </w:tc>
        <w:tc>
          <w:tcPr>
            <w:tcW w:w="3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117,551</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372,182</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315,729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estimated fair value of total debt outstanding at March 31, 2018 and December 31, 2017 was $1,410,192,000 and $984,017,000, respectively, which differs from the carrying amounts of $1,423,294,000 and $992,406,000, respectively, included in the consolidated financial statements. The fair value was determined using an income approach that relies on inputs such as yield curves. Cash and cash equivalents, accounts receivable, accounts payable and accrued liabilities have carrying values that approximate fair value due to the short-term maturity of these financial instruments.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assets are measured at fair value on a nonrecurring basis. These assets are adjusted to fair value when there is evidence of impairment. During the 2017 fourth quarter, the Company reduced certain vessels to fair value due to its decision to put certain older out-of-service vessels up for sale in its marine transportation segment. The fair value of these vessels is $9,850,000 and $12,550,000 at March 31, 2018 and December 31, 2017, respectively, and is presented in prepaid expenses and other current assets.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b w:val="1"/>
          <w:bCs w:val="1"/>
          <w:color w:val="auto"/>
        </w:rPr>
        <w:t>(7) LONG-TERM DEBT</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February 12, 2018, the Company issued $500,000,000 of 4.2% senior unsecured notes due March 1, 2028 (the “2028 Notes”) with U.S. Bank National Association, as trustee. Interest payments of $10,500,000 are due semi-annually on March 1 and September 1 of each year, with the exception of the first payment on September 1, 2018, which will be $11,550,000. The Company received cash proceeds of $495,044,000, net of the original issue discount of $705,000 and debt issuance costs of $4,251,000.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 The Company used the proceeds from the issuance of the 2028 Notes to fund the acquisition of Higman. The remaining net proceeds of the sale of the 2028 Notes were used for the repayment of indebtedness on the Company’s bank credit facilities.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AWARD PLANS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share-based compensation plans which are described below. The compensation cost that has been charged against earnings for the Company’s stock award plans and the income tax benefit recognized in the statement of earnings for stock awards for the three months ended March 31, 2018 and 2017 were as follows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Income tax benefit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1,760</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0"/>
                <w:szCs w:val="20"/>
                <w:color w:val="auto"/>
              </w:rPr>
            </w:pPr>
          </w:p>
        </w:tc>
      </w:tr>
    </w:tbl>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an employee stock award plan for selected officers and other key employees which provides for the issuance of stock options, restricted stock awards and performance awards. On February 19, 2018, the employee stock award plan was amended to also allow for the granting of restricted stock units (“RSUs”) to selected officers and other key employees. The amendment included a provision for the continued vesting of unvested stock options and RSUs for employees who meet certain years of service and age requirements at the time of their retirement. The vesting change resulted in shorter expense accrual periods on stock options and RSUs granted after February 19, 2018 to employees who are nearing retirement and meeting the service and age requirements.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exercise price for each option equals the fair market value per share of the Company’s common stock on the date of grant. Substantially all stock options outstanding under the plan have terms of seven years and vest ratably over three years. No performance awards payable in stock have been awarded under the plan. At March 31, 2018, 1,550,414 shares were available for future grants under the employee plan and no outstanding stock options under the employee plan were issued with stock appreciation rights.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summary of the stock option activity under the employee plan described above for the three months ended March 31, 2018:</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Qualified 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38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Granted</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115,797</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75.50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8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12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March 31, 2018</w:t>
            </w:r>
          </w:p>
        </w:tc>
        <w:tc>
          <w:tcPr>
            <w:tcW w:w="386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675,987</w:t>
            </w: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69.91</w:t>
            </w:r>
          </w:p>
        </w:tc>
        <w:tc>
          <w:tcPr>
            <w:tcW w:w="12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860" w:type="dxa"/>
            <w:vAlign w:val="bottom"/>
            <w:vMerge w:val="restart"/>
          </w:tcPr>
          <w:p>
            <w:pPr>
              <w:jc w:val="right"/>
              <w:ind w:right="2379"/>
              <w:spacing w:after="0"/>
              <w:rPr>
                <w:sz w:val="20"/>
                <w:szCs w:val="20"/>
                <w:color w:val="auto"/>
              </w:rPr>
            </w:pPr>
            <w:r>
              <w:rPr>
                <w:rFonts w:ascii="Arial" w:cs="Arial" w:eastAsia="Arial" w:hAnsi="Arial"/>
                <w:sz w:val="14"/>
                <w:szCs w:val="14"/>
                <w:color w:val="auto"/>
              </w:rPr>
              <w:t>11</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6"/>
          <w:szCs w:val="16"/>
          <w:color w:val="auto"/>
        </w:rPr>
        <w:t>The following table summarizes information about the Company’s outstanding and exercisable stock options under the employee plan at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Options Outstanding</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Options Exercisable</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8"/>
              </w:rPr>
              <w:t>Range of</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Life in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4"/>
              </w:rPr>
              <w:t>Intrinsic</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0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7"/>
              </w:rPr>
              <w:t>Exercise Prices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Exercisable</w:t>
            </w:r>
          </w:p>
        </w:tc>
        <w:tc>
          <w:tcPr>
            <w:tcW w:w="1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$ 51.23</w:t>
            </w:r>
          </w:p>
        </w:tc>
        <w:tc>
          <w:tcPr>
            <w:tcW w:w="1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126,140</w:t>
            </w: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79"/>
              </w:rPr>
              <w:t>4.8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81,926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83"/>
              </w:rPr>
              <w:t>$ 64.65</w:t>
            </w:r>
          </w:p>
        </w:tc>
        <w:tc>
          <w:tcPr>
            <w:tcW w:w="1680" w:type="dxa"/>
            <w:vAlign w:val="bottom"/>
          </w:tcPr>
          <w:p>
            <w:pPr>
              <w:ind w:left="40"/>
              <w:spacing w:after="0"/>
              <w:rPr>
                <w:sz w:val="20"/>
                <w:szCs w:val="20"/>
                <w:color w:val="auto"/>
              </w:rPr>
            </w:pPr>
            <w:r>
              <w:rPr>
                <w:rFonts w:ascii="Arial" w:cs="Arial" w:eastAsia="Arial" w:hAnsi="Arial"/>
                <w:sz w:val="18"/>
                <w:szCs w:val="18"/>
                <w:color w:val="auto"/>
              </w:rPr>
              <w:t>- $75.50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487,672</w:t>
            </w:r>
          </w:p>
        </w:tc>
        <w:tc>
          <w:tcPr>
            <w:tcW w:w="22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71.14</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270,208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70.69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$ 93.64</w:t>
            </w:r>
          </w:p>
        </w:tc>
        <w:tc>
          <w:tcPr>
            <w:tcW w:w="1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$96.85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33,987</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33,987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$ 101.46 - $104.37</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28,188</w:t>
            </w:r>
          </w:p>
        </w:tc>
        <w:tc>
          <w:tcPr>
            <w:tcW w:w="22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102.88</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28,188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102.88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3"/>
              </w:rPr>
              <w:t>$ 51.23</w:t>
            </w:r>
          </w:p>
        </w:tc>
        <w:tc>
          <w:tcPr>
            <w:tcW w:w="1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$104.37</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675,987</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6,080,000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414,309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3,799,000</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the restricted stock award activity under the employee plan described above for the three months ended March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2018:</w:t>
            </w:r>
          </w:p>
        </w:tc>
        <w:tc>
          <w:tcPr>
            <w:tcW w:w="7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7"/>
        </w:trPr>
        <w:tc>
          <w:tcPr>
            <w:tcW w:w="5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Unvested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Grant Date</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20" w:type="dxa"/>
            <w:vAlign w:val="bottom"/>
            <w:shd w:val="clear" w:color="auto" w:fill="CCEEFF"/>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(113,215)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69.26</w:t>
            </w:r>
          </w:p>
        </w:tc>
        <w:tc>
          <w:tcPr>
            <w:tcW w:w="120" w:type="dxa"/>
            <w:vAlign w:val="bottom"/>
          </w:tcPr>
          <w:p>
            <w:pPr>
              <w:spacing w:after="0"/>
              <w:rPr>
                <w:sz w:val="19"/>
                <w:szCs w:val="19"/>
                <w:color w:val="auto"/>
              </w:rPr>
            </w:pPr>
          </w:p>
        </w:tc>
      </w:tr>
      <w:tr>
        <w:trPr>
          <w:trHeight w:val="257"/>
        </w:trPr>
        <w:tc>
          <w:tcPr>
            <w:tcW w:w="580" w:type="dxa"/>
            <w:vAlign w:val="bottom"/>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at March 31, 2018</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250,906</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 activity under the employee plan described above for the three months ended March 31, 2018:</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Grant Date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Unvested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RSUs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5"/>
              </w:rPr>
              <w:t>Per Unit</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139,085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75.50</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at March 31, 2018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139,085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a stock award plan for nonemployee directors of the Company which provides for the issuance of stock options and restricted stock. The director plan provides for automatic grants of restricted stock to nonemployee directors after each annual meeting of stockholders. In addition, the director plan allows for the issuance of stock options or restricted stock in lieu of cash for all or part of the annual director fee at the option of the director. The exercise prices for all options granted under the plan are equal to the fair market value per share of the Company’s common stock on the date of grant. The terms of the options are ten years. The restricted stock issued after each annual meeting of stockholders vests six months after the date of grant. Options granted and restricted stock issued in lieu of cash director fees vest in equal quarterly increments during the year to which they relate. At March 31, 2018, 510,071 shares were available for future grants under the director plan. The director stock award plan is intended as an incentive to attract and retain qualified independent directors.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The following is a summary of the stock option activity under the director plan described above for the three months ended March 31,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Qualified 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55.49</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2018</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145,617</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68.53</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about the Company’s outstanding and exercisable stock options under the director plan at March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rPr>
              <w:t>Options Outstanding</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8"/>
                <w:szCs w:val="18"/>
                <w:b w:val="1"/>
                <w:bCs w:val="1"/>
                <w:color w:val="auto"/>
              </w:rPr>
              <w:t>Options Exercisable</w:t>
            </w: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Aggregate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Range of</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Life in</w:t>
            </w: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Intrinsic</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0" w:type="dxa"/>
            <w:vAlign w:val="bottom"/>
          </w:tcPr>
          <w:p>
            <w:pPr>
              <w:spacing w:after="0"/>
              <w:rPr>
                <w:sz w:val="20"/>
                <w:szCs w:val="20"/>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Exercise Prices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Exercisable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$ 29.60</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79"/>
              </w:rPr>
              <w:t>1.1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$ 41.24 – $56.45</w:t>
            </w:r>
          </w:p>
        </w:tc>
        <w:tc>
          <w:tcPr>
            <w:tcW w:w="1140" w:type="dxa"/>
            <w:vAlign w:val="bottom"/>
          </w:tcPr>
          <w:p>
            <w:pPr>
              <w:jc w:val="right"/>
              <w:spacing w:after="0"/>
              <w:rPr>
                <w:sz w:val="20"/>
                <w:szCs w:val="20"/>
                <w:color w:val="auto"/>
              </w:rPr>
            </w:pPr>
            <w:r>
              <w:rPr>
                <w:rFonts w:ascii="Arial" w:cs="Arial" w:eastAsia="Arial" w:hAnsi="Arial"/>
                <w:sz w:val="18"/>
                <w:szCs w:val="18"/>
                <w:color w:val="auto"/>
              </w:rPr>
              <w:t>41,276</w:t>
            </w:r>
          </w:p>
        </w:tc>
        <w:tc>
          <w:tcPr>
            <w:tcW w:w="22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41,276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51.98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$ 61.89 – $62.48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35,153</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62.31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$ 70.65 – $99.52</w:t>
            </w:r>
          </w:p>
        </w:tc>
        <w:tc>
          <w:tcPr>
            <w:tcW w:w="1140" w:type="dxa"/>
            <w:vAlign w:val="bottom"/>
          </w:tcPr>
          <w:p>
            <w:pPr>
              <w:jc w:val="right"/>
              <w:spacing w:after="0"/>
              <w:rPr>
                <w:sz w:val="20"/>
                <w:szCs w:val="20"/>
                <w:color w:val="auto"/>
              </w:rPr>
            </w:pPr>
            <w:r>
              <w:rPr>
                <w:rFonts w:ascii="Arial" w:cs="Arial" w:eastAsia="Arial" w:hAnsi="Arial"/>
                <w:sz w:val="18"/>
                <w:szCs w:val="18"/>
                <w:color w:val="auto"/>
              </w:rPr>
              <w:t>63,188</w:t>
            </w:r>
          </w:p>
        </w:tc>
        <w:tc>
          <w:tcPr>
            <w:tcW w:w="22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5.8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63,188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87.50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$ 29.60 – $99.52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145,617</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1,903,000</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68.53</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1,903,000</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summary of the restricted stock award activity under the director plan described above for the 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2018:</w:t>
            </w:r>
          </w:p>
        </w:tc>
        <w:tc>
          <w:tcPr>
            <w:tcW w:w="7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7"/>
        </w:trPr>
        <w:tc>
          <w:tcPr>
            <w:tcW w:w="5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Unvested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Grant Date</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120" w:type="dxa"/>
            <w:vAlign w:val="bottom"/>
            <w:shd w:val="clear" w:color="auto" w:fill="CCEEFF"/>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70.65</w:t>
            </w:r>
          </w:p>
        </w:tc>
        <w:tc>
          <w:tcPr>
            <w:tcW w:w="120" w:type="dxa"/>
            <w:vAlign w:val="bottom"/>
          </w:tcPr>
          <w:p>
            <w:pPr>
              <w:spacing w:after="0"/>
              <w:rPr>
                <w:sz w:val="19"/>
                <w:szCs w:val="19"/>
                <w:color w:val="auto"/>
              </w:rPr>
            </w:pPr>
          </w:p>
        </w:tc>
      </w:tr>
      <w:tr>
        <w:trPr>
          <w:trHeight w:val="257"/>
        </w:trPr>
        <w:tc>
          <w:tcPr>
            <w:tcW w:w="580" w:type="dxa"/>
            <w:vAlign w:val="bottom"/>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at March 31, 2018</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intrinsic value of all stock options exercised under all of the Company’s plans was $2,051,000 and $1,267,000 for the three months ended March 31, 2018 and 2017, respectively. The actual tax benefit realized for tax deductions from stock option exercises was $478,000 and $414,000 for the three months ended March 31, 2018 and 2017, respectively.</w:t>
      </w:r>
    </w:p>
    <w:p>
      <w:pPr>
        <w:spacing w:after="0" w:line="20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total intrinsic value of all the restricted stock vestings under all of the Company’s plans was $8,764,000 and $6,989,000 for the three months ended March 31, 2018 and 2017, respectively. The actual tax benefit realized for tax deductions from restricted stock vestings was $2,042,000 and $2,285,000 for the three months ended March 31, 2018 and 2017, respectively.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RSU vestings for the three months ended March 31, 2018.</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March 31, 2018, there was $4,123,000 of unrecognized compensation cost related to nonvested stock options, $14,530,000 related to nonvested restricted stock awards and $7,118,000 related to nonvested RSUs. The stock options are expected to be recognized over a weighted average period of approximately 2.1 years, restricted stock awards over approximately 3.0 years and RSUs over approximately 4.6 years. The total fair value of options vested was $2,489,000 and $2,473,000 during the three months ended March 31, 2018 and 2017, respectively. The fair value of the restricted stock vested was $8,764,000 and $6,989,000 for the three months ended March 31, 2018 and 2017, respectively.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both"/>
        <w:ind w:firstLine="648"/>
        <w:spacing w:after="0" w:line="257" w:lineRule="auto"/>
        <w:rPr>
          <w:sz w:val="20"/>
          <w:szCs w:val="20"/>
          <w:color w:val="auto"/>
        </w:rPr>
      </w:pPr>
      <w:r>
        <w:rPr>
          <w:rFonts w:ascii="Arial" w:cs="Arial" w:eastAsia="Arial" w:hAnsi="Arial"/>
          <w:sz w:val="18"/>
          <w:szCs w:val="18"/>
          <w:color w:val="auto"/>
        </w:rPr>
        <w:t>The weighted average per share fair value of stock options granted during the three months ended March 31, 2018 and 2017 was $23.37 and $20.65, respectively. The fair value of the stock options granted during the three months ended March 31, 2018 and 2017 was $2,706,000 and $2,517,000, respectively. The Company currently uses treasury stock shares for restricted stock grants and stock option exercises. The fair value of each stock option was determined using the Black-Scholes option pricing model. The key input variables used in valuing the options during the three months ended March 31, 2018 and 2017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28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Three months ended</w:t>
            </w:r>
          </w:p>
        </w:tc>
      </w:tr>
      <w:tr>
        <w:trPr>
          <w:trHeight w:val="241"/>
        </w:trPr>
        <w:tc>
          <w:tcPr>
            <w:tcW w:w="8620" w:type="dxa"/>
            <w:vAlign w:val="bottom"/>
          </w:tcPr>
          <w:p>
            <w:pPr>
              <w:spacing w:after="0"/>
              <w:rPr>
                <w:sz w:val="20"/>
                <w:szCs w:val="20"/>
                <w:color w:val="auto"/>
              </w:rPr>
            </w:pPr>
          </w:p>
        </w:tc>
        <w:tc>
          <w:tcPr>
            <w:tcW w:w="17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3"/>
              </w:rPr>
              <w:t>March 31,</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62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2017</w:t>
            </w:r>
          </w:p>
        </w:tc>
        <w:tc>
          <w:tcPr>
            <w:tcW w:w="160" w:type="dxa"/>
            <w:vAlign w:val="bottom"/>
          </w:tcPr>
          <w:p>
            <w:pPr>
              <w:spacing w:after="0"/>
              <w:rPr>
                <w:sz w:val="19"/>
                <w:szCs w:val="19"/>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Dividend yield</w:t>
            </w:r>
          </w:p>
        </w:tc>
        <w:tc>
          <w:tcPr>
            <w:tcW w:w="1240" w:type="dxa"/>
            <w:vAlign w:val="bottom"/>
          </w:tcPr>
          <w:p>
            <w:pPr>
              <w:jc w:val="right"/>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Stock price volatility</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Estimated option term</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Six years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Six years</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COMPREHENSIVE INCOME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changes in other comprehensive income for the three months ended March 31, 2018 and 2017 were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8"/>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Income Tax</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Income Tax</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(Provision)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(Provision)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Benefit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Net Amount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Amount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Pension and postretirement benefits (a):</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net actuarial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w w:val="97"/>
              </w:rPr>
              <w:t>Adoption of ASU 2018-02 – reclassification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140"/>
              <w:spacing w:after="0"/>
              <w:rPr>
                <w:sz w:val="20"/>
                <w:szCs w:val="20"/>
                <w:color w:val="auto"/>
              </w:rPr>
            </w:pPr>
            <w:r>
              <w:rPr>
                <w:rFonts w:ascii="Arial" w:cs="Arial" w:eastAsia="Arial" w:hAnsi="Arial"/>
                <w:sz w:val="18"/>
                <w:szCs w:val="18"/>
                <w:color w:val="auto"/>
              </w:rPr>
              <w:t>to retained earnings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(7,925)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(7,925)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(8,063)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(7,075)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(463)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r>
      <w:tr>
        <w:trPr>
          <w:trHeight w:val="21"/>
        </w:trPr>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hanging="277"/>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Actuarial losses are amortized into other income (expense). (See Note 13 – Retirement Plans)</w:t>
      </w:r>
    </w:p>
    <w:p>
      <w:pPr>
        <w:spacing w:after="0" w:line="248"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operations are aggregated into two reportable business segments as follows: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Marine Transportation </w:t>
      </w:r>
      <w:r>
        <w:rPr>
          <w:rFonts w:ascii="Arial" w:cs="Arial" w:eastAsia="Arial" w:hAnsi="Arial"/>
          <w:sz w:val="17"/>
          <w:szCs w:val="17"/>
          <w:color w:val="auto"/>
        </w:rPr>
        <w:t>— Provides marine transportation principally by United States flag vessels of liquid cargoes throughout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inland waterway system, along all three United States coasts, in Alaska and Hawaii and, to a lesser extent, in United States coastal transportation of dry-bulk cargoes. The principal products transported include petrochemicals, black oil, refined petroleum products and agricultural chemicals.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Distribution and Services </w:t>
      </w:r>
      <w:r>
        <w:rPr>
          <w:rFonts w:ascii="Arial" w:cs="Arial" w:eastAsia="Arial" w:hAnsi="Arial"/>
          <w:sz w:val="17"/>
          <w:szCs w:val="17"/>
          <w:color w:val="auto"/>
        </w:rPr>
        <w:t>— Provides after-market services and parts for engines, transmissions, reduction gears and related equipment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oilfield service, marine, power generation, mining,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r>
        <w:rPr>
          <w:rFonts w:ascii="Arial" w:cs="Arial" w:eastAsia="Arial" w:hAnsi="Arial"/>
          <w:sz w:val="17"/>
          <w:szCs w:val="17"/>
          <w:i w:val="1"/>
          <w:iCs w:val="1"/>
          <w:color w:val="auto"/>
        </w:rPr>
        <w:t>.</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two reportable business segments are managed separately based on fundamental differences in their operations. The Company evaluates the performance of its segments based on the contributions to operating income of the respective segments, and before income taxes, interest, gains or losses on disposition of assets, other nonoperating income, noncontrolling interests, accounting changes, and nonrecurring items. Intersegment revenues, based on market-based pricing, of the distribution and services segment from the marine transportation segment of $8,150,000 and $5,430,000 for the three months ended March 31, 2018 and 2017, respectively, as well as the related intersegment profit of $815,000 and $543,000 for the three months ending March 31, 2018 and 2017, respectively, have been eliminated from the tables below.</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ind w:firstLine="648"/>
        <w:spacing w:after="0" w:line="277" w:lineRule="auto"/>
        <w:rPr>
          <w:sz w:val="20"/>
          <w:szCs w:val="20"/>
          <w:color w:val="auto"/>
        </w:rPr>
      </w:pPr>
      <w:r>
        <w:rPr>
          <w:rFonts w:ascii="Arial" w:cs="Arial" w:eastAsia="Arial" w:hAnsi="Arial"/>
          <w:sz w:val="18"/>
          <w:szCs w:val="18"/>
          <w:color w:val="auto"/>
        </w:rPr>
        <w:t>The following table sets forth the Company’s revenues and profit or loss by reportable segment for the three months ended March 31, 2018 and 2017 and total assets as of March 31, 2018 and December 31, 2017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9"/>
                <w:szCs w:val="19"/>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340,403</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343,652</w:t>
            </w: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401,285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148,053</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741,688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491,705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Segment profit (loss):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16,180</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35,768</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13,705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(8,475)</w:t>
            </w: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42,531</w:t>
            </w:r>
          </w:p>
        </w:tc>
        <w:tc>
          <w:tcPr>
            <w:tcW w:w="14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40,998</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5" w:lineRule="exact"/>
        <w:rPr>
          <w:sz w:val="20"/>
          <w:szCs w:val="20"/>
          <w:color w:val="auto"/>
        </w:rPr>
      </w:pPr>
    </w:p>
    <w:p>
      <w:pPr>
        <w:jc w:val="center"/>
        <w:ind w:left="9000"/>
        <w:spacing w:after="0"/>
        <w:rPr>
          <w:sz w:val="20"/>
          <w:szCs w:val="20"/>
          <w:color w:val="auto"/>
        </w:rPr>
      </w:pPr>
      <w:r>
        <w:rPr>
          <w:rFonts w:ascii="Arial" w:cs="Arial" w:eastAsia="Arial" w:hAnsi="Arial"/>
          <w:sz w:val="16"/>
          <w:szCs w:val="16"/>
          <w:b w:val="1"/>
          <w:bCs w:val="1"/>
          <w:color w:val="auto"/>
        </w:rPr>
        <w:t>March 31,</w:t>
      </w:r>
    </w:p>
    <w:p>
      <w:pPr>
        <w:spacing w:after="0" w:line="50" w:lineRule="exact"/>
        <w:rPr>
          <w:sz w:val="20"/>
          <w:szCs w:val="20"/>
          <w:color w:val="auto"/>
        </w:rPr>
      </w:pPr>
    </w:p>
    <w:p>
      <w:pPr>
        <w:jc w:val="center"/>
        <w:ind w:left="9000"/>
        <w:spacing w:after="0"/>
        <w:rPr>
          <w:sz w:val="20"/>
          <w:szCs w:val="20"/>
          <w:color w:val="auto"/>
        </w:rPr>
      </w:pP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60"/>
        <w:spacing w:after="0"/>
        <w:rPr>
          <w:sz w:val="20"/>
          <w:szCs w:val="20"/>
          <w:color w:val="auto"/>
        </w:rPr>
      </w:pPr>
      <w:r>
        <w:rPr>
          <w:rFonts w:ascii="Arial" w:cs="Arial" w:eastAsia="Arial" w:hAnsi="Arial"/>
          <w:sz w:val="15"/>
          <w:szCs w:val="15"/>
          <w:b w:val="1"/>
          <w:bCs w:val="1"/>
          <w:color w:val="auto"/>
        </w:rPr>
        <w:t>December 31,</w:t>
      </w:r>
    </w:p>
    <w:p>
      <w:pPr>
        <w:spacing w:after="0" w:line="6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2017</w:t>
      </w:r>
    </w:p>
    <w:p>
      <w:pPr>
        <w:spacing w:after="0" w:line="9" w:lineRule="exact"/>
        <w:rPr>
          <w:sz w:val="20"/>
          <w:szCs w:val="20"/>
          <w:color w:val="auto"/>
        </w:rPr>
      </w:pPr>
    </w:p>
    <w:p>
      <w:pPr>
        <w:sectPr>
          <w:pgSz w:w="11900" w:h="16838" w:orient="portrait"/>
          <w:cols w:equalWidth="0" w:num="2">
            <w:col w:w="9780" w:space="440"/>
            <w:col w:w="12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4,022,420</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3,485,099</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Distribution and services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1,631,520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1,567,085</w:t>
            </w: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75,243</w:t>
            </w:r>
          </w:p>
        </w:tc>
      </w:tr>
      <w:tr>
        <w:trPr>
          <w:trHeight w:val="27"/>
        </w:trPr>
        <w:tc>
          <w:tcPr>
            <w:tcW w:w="88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5,714,500</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5,127,427</w:t>
            </w:r>
          </w:p>
        </w:tc>
      </w:tr>
      <w:tr>
        <w:trPr>
          <w:trHeight w:val="21"/>
        </w:trPr>
        <w:tc>
          <w:tcPr>
            <w:tcW w:w="8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details of “Other” segment loss for the three months ended March 31, 2018 and 2017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Gain on disposition of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(4,457)</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details of “Other” total assets as of March 31, 2018 and December 31, 2017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assets</w:t>
            </w:r>
          </w:p>
        </w:tc>
        <w:tc>
          <w:tcPr>
            <w:tcW w:w="5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1,890</w:t>
            </w:r>
          </w:p>
        </w:tc>
      </w:tr>
      <w:tr>
        <w:trPr>
          <w:trHeight w:val="257"/>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60,560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20" w:type="dxa"/>
            <w:vAlign w:val="bottom"/>
          </w:tcPr>
          <w:p>
            <w:pPr>
              <w:jc w:val="right"/>
              <w:ind w:right="29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(11) TAXES ON INCOME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Earnings before taxes on income and details of the provision for taxes on income for the three months ended March 31, 2018 and 2017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Earnings (loss) before taxes on income:</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32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43,544</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Foreign</w:t>
            </w:r>
          </w:p>
        </w:tc>
        <w:tc>
          <w:tcPr>
            <w:tcW w:w="2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 on income:</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Federal:</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32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Deferred</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and local:</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Current</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w:t>
            </w:r>
          </w:p>
        </w:tc>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Foreign - current</w:t>
            </w:r>
          </w:p>
        </w:tc>
        <w:tc>
          <w:tcPr>
            <w:tcW w:w="2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components of basic and diluted earnings per share for the three months ended March 31, 2018 and 2017 (in thousands, except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attributable to Kirby</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available to Kirby common stockholders – basic</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Undistributed earnings reallocated to restricted shares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Income available to Kirby common stockholders – diluted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32,315</w:t>
            </w:r>
          </w:p>
        </w:tc>
        <w:tc>
          <w:tcPr>
            <w:tcW w:w="12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27,294</w:t>
            </w:r>
          </w:p>
        </w:tc>
        <w:tc>
          <w:tcPr>
            <w:tcW w:w="0" w:type="dxa"/>
            <w:vAlign w:val="bottom"/>
          </w:tcPr>
          <w:p>
            <w:pPr>
              <w:spacing w:after="0"/>
              <w:rPr>
                <w:sz w:val="1"/>
                <w:szCs w:val="1"/>
                <w:color w:val="auto"/>
              </w:rPr>
            </w:pPr>
          </w:p>
        </w:tc>
      </w:tr>
      <w:tr>
        <w:trPr>
          <w:trHeight w:val="21"/>
        </w:trPr>
        <w:tc>
          <w:tcPr>
            <w:tcW w:w="884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Shares outstanding: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issued and outstanding</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Weighted average unvested restricted stock</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outstanding – basic</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 units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outstanding – diluted</w:t>
            </w:r>
          </w:p>
        </w:tc>
        <w:tc>
          <w:tcPr>
            <w:tcW w:w="2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59,493</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per share attributable to Kirby common stockholders:</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Certain outstanding options to purchase approximately 467,000 and 487,000 shares of common stock were excluded in the computation of diluted earnings per share as of March 31, 2018 and 2017, respectively, as such stock options would have been antidilutive.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(13) RETIREMENT PLANS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sponsors a defined benefit plan for its inland vessel personnel and shore based tankermen. The plan benefits are based on an employee’s years of service and compensation. The plan assets consist primarily of equity and fixed income securities.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 The Company did not incur any one-time charges related to this amendment but the pension plan’s projected benefit obligation decreased by $33,433,000.</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its pension plan during 2018.</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14, 2018, with the acquisition of Higman, the Company assumed Higman’s pension plan for its inland vessel personnel and office staff. The plan was previously closed to non-office employees. On March 27, 2018, the Company amended the Higman pension plan to close it to all new entrants, including office employees, and cease all benefit accruals for periods after May 15, 2018 for all participants. The Company did not incur any one-time charges related to this amendment but the Higman pension plan’s projected benefit obligation decreased by $3,692,000. The Company made a pension contribution to the Higman plan of $6,717,000 in March 2018 to complete all required funding for the 2016 and 2017 years and make its 2018 first quarter contribution. The Company expects to make additional contributions to the Higman pension plan of approximately $1,925,000 for the remainder of 2018 for the 2018 year.</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sponsors an unfunded defined benefit health care plan that provides limited postretirement medical benefits to employees who meet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components of net periodic benefit cost for the Company’s defined benefit plans for the three months ended March 31, 2018 and 2017 were as follows (in thousands):</w:t>
      </w:r>
    </w:p>
    <w:p>
      <w:pPr>
        <w:spacing w:after="0" w:line="193"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332740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840"/>
        <w:spacing w:after="0"/>
        <w:tabs>
          <w:tab w:leader="none" w:pos="9820" w:val="left"/>
        </w:tabs>
        <w:rPr>
          <w:sz w:val="20"/>
          <w:szCs w:val="20"/>
          <w:color w:val="auto"/>
        </w:rPr>
      </w:pPr>
      <w:r>
        <w:rPr>
          <w:rFonts w:ascii="Arial" w:cs="Arial" w:eastAsia="Arial" w:hAnsi="Arial"/>
          <w:sz w:val="18"/>
          <w:szCs w:val="18"/>
          <w:b w:val="1"/>
          <w:bCs w:val="1"/>
          <w:color w:val="auto"/>
        </w:rPr>
        <w:t>Pension Plan</w:t>
      </w:r>
      <w:r>
        <w:rPr>
          <w:sz w:val="20"/>
          <w:szCs w:val="20"/>
          <w:color w:val="auto"/>
        </w:rPr>
        <w:tab/>
      </w:r>
      <w:r>
        <w:rPr>
          <w:rFonts w:ascii="Arial" w:cs="Arial" w:eastAsia="Arial" w:hAnsi="Arial"/>
          <w:sz w:val="16"/>
          <w:szCs w:val="16"/>
          <w:b w:val="1"/>
          <w:bCs w:val="1"/>
          <w:color w:val="auto"/>
        </w:rPr>
        <w:t>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332740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6" w:lineRule="exact"/>
        <w:rPr>
          <w:sz w:val="20"/>
          <w:szCs w:val="20"/>
          <w:color w:val="auto"/>
        </w:rPr>
      </w:pPr>
    </w:p>
    <w:p>
      <w:pPr>
        <w:jc w:val="center"/>
        <w:ind w:left="6120"/>
        <w:spacing w:after="0"/>
        <w:rPr>
          <w:sz w:val="20"/>
          <w:szCs w:val="20"/>
          <w:color w:val="auto"/>
        </w:rPr>
      </w:pPr>
      <w:r>
        <w:rPr>
          <w:rFonts w:ascii="Arial" w:cs="Arial" w:eastAsia="Arial" w:hAnsi="Arial"/>
          <w:sz w:val="15"/>
          <w:szCs w:val="15"/>
          <w:b w:val="1"/>
          <w:bCs w:val="1"/>
          <w:color w:val="auto"/>
        </w:rPr>
        <w:t>Three months ended</w:t>
      </w:r>
    </w:p>
    <w:p>
      <w:pPr>
        <w:spacing w:after="0" w:line="62"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p>
      <w:pPr>
        <w:sectPr>
          <w:pgSz w:w="11900" w:h="16838" w:orient="portrait"/>
          <w:cols w:equalWidth="0" w:num="2">
            <w:col w:w="8560" w:space="720"/>
            <w:col w:w="21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Components of net periodic benefit cost:</w:t>
            </w:r>
          </w:p>
        </w:tc>
        <w:tc>
          <w:tcPr>
            <w:tcW w:w="17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3,680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Expected return on plan assets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Amortization of actuarial loss</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1,369</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57"/>
        </w:trPr>
        <w:tc>
          <w:tcPr>
            <w:tcW w:w="20" w:type="dxa"/>
            <w:vAlign w:val="bottom"/>
          </w:tcPr>
          <w:p>
            <w:pPr>
              <w:spacing w:after="0"/>
              <w:rPr>
                <w:sz w:val="22"/>
                <w:szCs w:val="22"/>
                <w:color w:val="auto"/>
              </w:rPr>
            </w:pPr>
          </w:p>
        </w:tc>
        <w:tc>
          <w:tcPr>
            <w:tcW w:w="4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periodic benefit cost</w:t>
            </w:r>
          </w:p>
        </w:tc>
        <w:tc>
          <w:tcPr>
            <w:tcW w:w="17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80" w:type="dxa"/>
            <w:vAlign w:val="bottom"/>
          </w:tcPr>
          <w:p>
            <w:pPr>
              <w:jc w:val="right"/>
              <w:ind w:right="228"/>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type w:val="continuous"/>
        </w:sectPr>
      </w:pPr>
    </w:p>
    <w:bookmarkStart w:id="18" w:name="page19"/>
    <w:bookmarkEnd w:id="18"/>
    <w:p>
      <w:pPr>
        <w:jc w:val="both"/>
        <w:ind w:firstLine="648"/>
        <w:spacing w:after="0" w:line="277" w:lineRule="auto"/>
        <w:rPr>
          <w:sz w:val="20"/>
          <w:szCs w:val="20"/>
          <w:color w:val="auto"/>
        </w:rPr>
      </w:pPr>
      <w:r>
        <w:rPr>
          <w:rFonts w:ascii="Arial" w:cs="Arial" w:eastAsia="Arial" w:hAnsi="Arial"/>
          <w:sz w:val="18"/>
          <w:szCs w:val="18"/>
          <w:color w:val="auto"/>
        </w:rPr>
        <w:t>The components of net periodic benefit cost for the Company’s postretirement benefit plan for the three months ended March 31, 2018 and 2017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40" w:type="dxa"/>
            <w:vAlign w:val="bottom"/>
          </w:tcPr>
          <w:p>
            <w:pPr>
              <w:spacing w:after="0"/>
              <w:rPr>
                <w:sz w:val="18"/>
                <w:szCs w:val="18"/>
                <w:color w:val="auto"/>
              </w:rPr>
            </w:pPr>
          </w:p>
        </w:tc>
        <w:tc>
          <w:tcPr>
            <w:tcW w:w="2140" w:type="dxa"/>
            <w:vAlign w:val="bottom"/>
            <w:gridSpan w:val="5"/>
          </w:tcPr>
          <w:p>
            <w:pPr>
              <w:jc w:val="center"/>
              <w:ind w:left="223"/>
              <w:spacing w:after="0"/>
              <w:rPr>
                <w:sz w:val="20"/>
                <w:szCs w:val="20"/>
                <w:color w:val="auto"/>
              </w:rPr>
            </w:pPr>
            <w:r>
              <w:rPr>
                <w:rFonts w:ascii="Arial" w:cs="Arial" w:eastAsia="Arial" w:hAnsi="Arial"/>
                <w:sz w:val="18"/>
                <w:szCs w:val="18"/>
                <w:b w:val="1"/>
                <w:bCs w:val="1"/>
                <w:color w:val="auto"/>
                <w:w w:val="91"/>
              </w:rPr>
              <w:t>Other Postretirement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8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87"/>
              </w:rPr>
              <w:t>Benefits</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8840" w:type="dxa"/>
            <w:vAlign w:val="bottom"/>
          </w:tcPr>
          <w:p>
            <w:pPr>
              <w:spacing w:after="0"/>
              <w:rPr>
                <w:sz w:val="17"/>
                <w:szCs w:val="17"/>
                <w:color w:val="auto"/>
              </w:rPr>
            </w:pPr>
          </w:p>
        </w:tc>
        <w:tc>
          <w:tcPr>
            <w:tcW w:w="2140" w:type="dxa"/>
            <w:vAlign w:val="bottom"/>
            <w:gridSpan w:val="5"/>
          </w:tcPr>
          <w:p>
            <w:pPr>
              <w:jc w:val="center"/>
              <w:ind w:left="223"/>
              <w:spacing w:after="0" w:line="198" w:lineRule="exact"/>
              <w:rPr>
                <w:sz w:val="20"/>
                <w:szCs w:val="20"/>
                <w:color w:val="auto"/>
              </w:rPr>
            </w:pPr>
            <w:r>
              <w:rPr>
                <w:rFonts w:ascii="Arial" w:cs="Arial" w:eastAsia="Arial" w:hAnsi="Arial"/>
                <w:sz w:val="18"/>
                <w:szCs w:val="18"/>
                <w:b w:val="1"/>
                <w:bCs w:val="1"/>
                <w:color w:val="auto"/>
                <w:w w:val="91"/>
              </w:rPr>
              <w:t>Postretirement Welfare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88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8"/>
                <w:szCs w:val="18"/>
                <w:b w:val="1"/>
                <w:bCs w:val="1"/>
                <w:color w:val="auto"/>
                <w:w w:val="94"/>
              </w:rPr>
              <w:t>Plan</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8840" w:type="dxa"/>
            <w:vAlign w:val="bottom"/>
          </w:tcPr>
          <w:p>
            <w:pPr>
              <w:spacing w:after="0"/>
              <w:rPr>
                <w:sz w:val="17"/>
                <w:szCs w:val="17"/>
                <w:color w:val="auto"/>
              </w:rPr>
            </w:pPr>
          </w:p>
        </w:tc>
        <w:tc>
          <w:tcPr>
            <w:tcW w:w="2140" w:type="dxa"/>
            <w:vAlign w:val="bottom"/>
            <w:gridSpan w:val="5"/>
          </w:tcPr>
          <w:p>
            <w:pPr>
              <w:jc w:val="center"/>
              <w:ind w:left="243"/>
              <w:spacing w:after="0" w:line="198" w:lineRule="exact"/>
              <w:rPr>
                <w:sz w:val="20"/>
                <w:szCs w:val="20"/>
                <w:color w:val="auto"/>
              </w:rPr>
            </w:pPr>
            <w:r>
              <w:rPr>
                <w:rFonts w:ascii="Arial" w:cs="Arial" w:eastAsia="Arial" w:hAnsi="Arial"/>
                <w:sz w:val="18"/>
                <w:szCs w:val="18"/>
                <w:b w:val="1"/>
                <w:bCs w:val="1"/>
                <w:color w:val="auto"/>
                <w:w w:val="89"/>
              </w:rPr>
              <w:t>Three months ended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88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8"/>
                <w:szCs w:val="18"/>
                <w:b w:val="1"/>
                <w:bCs w:val="1"/>
                <w:color w:val="auto"/>
                <w:w w:val="96"/>
              </w:rPr>
              <w:t>March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8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760" w:type="dxa"/>
            <w:vAlign w:val="bottom"/>
            <w:shd w:val="clear" w:color="auto" w:fill="CCEEFF"/>
          </w:tcPr>
          <w:p>
            <w:pPr>
              <w:jc w:val="right"/>
              <w:ind w:right="623"/>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88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actuarial gain</w:t>
            </w: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(167)</w:t>
            </w:r>
          </w:p>
        </w:tc>
      </w:tr>
      <w:tr>
        <w:trPr>
          <w:trHeight w:val="27"/>
        </w:trPr>
        <w:tc>
          <w:tcPr>
            <w:tcW w:w="884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40" w:type="dxa"/>
            <w:vAlign w:val="bottom"/>
          </w:tcPr>
          <w:p>
            <w:pPr>
              <w:ind w:left="340"/>
              <w:spacing w:after="0"/>
              <w:rPr>
                <w:sz w:val="20"/>
                <w:szCs w:val="20"/>
                <w:color w:val="auto"/>
              </w:rPr>
            </w:pPr>
            <w:r>
              <w:rPr>
                <w:rFonts w:ascii="Arial" w:cs="Arial" w:eastAsia="Arial" w:hAnsi="Arial"/>
                <w:sz w:val="18"/>
                <w:szCs w:val="18"/>
                <w:color w:val="auto"/>
              </w:rPr>
              <w:t>Net periodic benefit cost</w:t>
            </w:r>
          </w:p>
        </w:tc>
        <w:tc>
          <w:tcPr>
            <w:tcW w:w="760" w:type="dxa"/>
            <w:vAlign w:val="bottom"/>
          </w:tcPr>
          <w:p>
            <w:pPr>
              <w:jc w:val="right"/>
              <w:ind w:right="623"/>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(143)</w:t>
            </w:r>
          </w:p>
        </w:tc>
        <w:tc>
          <w:tcPr>
            <w:tcW w:w="8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(160)</w:t>
            </w:r>
          </w:p>
        </w:tc>
      </w:tr>
      <w:tr>
        <w:trPr>
          <w:trHeight w:val="21"/>
        </w:trPr>
        <w:tc>
          <w:tcPr>
            <w:tcW w:w="8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October 13, 2016, the tug Nathan E. Stewart and barge DBL 55, an articulated tank barge and tugboat unit (“ATB”), ran aground at the entrance to Seaforth Channel on Atholone Island, British Columbia. The grounding resulted in a breach of a portion of the Nathan E. Stewart’s fuel tanks causing a discharge of diesel fuel into the water. The USCG and the National Transportation Safety Board (“NTSB”) designated the Company as a party of interest in their investigation as to the cause of the incident. The Canadian authorities including Transport Canada and the Canadian Transportation Safety Board investigated the cause of the incident. The Company is subject to potential claims from third parties as well as the provincial and federal government as a result of the incident.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 has accrued adequate reserves for the incident and does not expect the incident to have a material adverse effect on its business or financial condition.</w:t>
      </w:r>
    </w:p>
    <w:p>
      <w:pPr>
        <w:spacing w:after="0" w:line="2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March 22, 2014, two tank barges and a towboat (the M/V Miss Susan), owned by Kirby Inland Marine, LP, a wholly owned subsidiary of the Company, were involved in a collision with the M/S Summer Wind on the Houston Ship Channel near Texas City, Texas. The lead tank barge was damaged in the collision resulting in a discharge of intermediate fuel oil from one of its cargo tanks. The USCG and the NTSB named the Company and the Captain of the M/V Miss Susan, as well as the owner and the pilot of the M/S Summer Wind, as parties of interest in their investigation as to the cause of the incident. Sea Galaxy Ltd is the owner of the M/S Summer Wind. The Company is participating in the natural resource damage assessment and restoration process with federal and state government natural resource trustees. The Company believes it has adequate insurance coverage for pollution, marine and other potential liabilities arising from the incident. The Company believes it has accrued adequate reserves for the incident and does not expect the incident to have a material adverse effect on its business or financial condition.</w:t>
      </w:r>
    </w:p>
    <w:p>
      <w:pPr>
        <w:spacing w:after="0" w:line="20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that it has recorded adequate reserves and believes that it has adequate insurance coverage or has meritorious defenses for these other claims and contingencies.</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$20,348,000 at March 31, 2018, including $9,442,000 in letters of credit and $10,906,000 in performance bonds. All of these instruments have an expiration date within three years. The Company does not believe demand for payment under these instruments is likely and expects no material cash outlays to occur in connection with these instruments.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(15) SUBSEQUENT EVENTS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 2018, the Company signed an agreement to acquire Targa Resources Corporation’s (“Targa”) inland marine tank barge business for approximately $69,300,000 in cash. Targa’s inland marine tank barge fleet consists of 16 pressure barges with a total capacity of 258,000 barrels, many of which are under long-term multi-year contracts. The closing of the acquisition is expected to occur in the 2018 second quarter and is subject to customary closing conditions.</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April 23, 2018, Joseph H. Pyne, Chairman of the Board of the Company, informed the Board of Directors of the Company of his retirement as executive Chairman of the Board, effective April 30, 2018. He will continue as Chairman of the Board of Directors in a non-executive role. In connection with his retirement, the independent directors of the Company approved the payment to Mr. Pyne of a special one-time bonus of $15,000,000 and acceleration of the vesting of unvested stock options covering 26,819 shares of the Company’s common stock and 30,643 unvested shares of restricted stock held by Mr. Pyne. Including a value of $3,057,000 attributable to the noncash accelerated vesting of the equity awards, the compensation to Mr. Pyne will result in an $18,057,000, or approximately $0.30 per share, one-time nondeductible expense in the 2018 second quarter. Stock options for 21,396 shares and 13,245 RSUs granted to Mr. Pyne in February 2018 will continue to vest in accordance with the terms of the employee stock award plan. Mr. Pyne will also be entitled to receive prorated payments of previously awarded incentive compensation in amounts and at times to be determined according to the terms of the plans under which the awards were made. Mr. Pyne will no longer be compensated as an executive officer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continues to be subject to the risk factors previously disclosed in its “Risk Factors” in the Company’s Annual Report on Form 10-K for the year ended December 31, 2017.</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Statements contained in this Form 10-Q that are not historical facts, including, but not limited to, any projections contained herein, are forward-looking statements and involve a number of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tornadoes,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10-K for the year ended December 31, 2017. Forward-looking statements are based on currently available information and the Company assumes no obligation to update any such statements.</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purposes of the Management’s Discussion, all net earnings per share attributable to Kirby common stockholders are “diluted earnings per share.” The weighted average number of common shares applicable to diluted earnings per share for the first quarter of 2018 and 2017 were 59,493,000 and 53,609,000, respectively. The increase in the weighted average number of common shares for the 2018 first quarter compared with the 2017 first quarter primarily reflected the issuance of 5,696,259 shares of common stock associated with the acquisition of Stewart &amp; Stevenson LLC (“S&amp;S”) on September 13, 2017, and the issuance of restricted stock and the exercise of stock options.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March 31, 2018, the Company operated a fleet of 993 inland tank barges with 21.9 million barrels of capacity, and operated an average of 262 inland towboats. The Company’s coastal fleet consisted of 55 tank barges with 5.2 million barrels of capacity and 50 coastal tugboats. The Company also owns and operates five offshore dry-bulk cargo barges, five offshore tugboats and one docking tugboat transporting dry-bulk commodities in United States coastal trade. Through its distribution and services segment, the Company provides after-market service and parts for engines, transmissions,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both"/>
        <w:ind w:firstLine="648"/>
        <w:spacing w:after="0" w:line="254" w:lineRule="auto"/>
        <w:rPr>
          <w:sz w:val="20"/>
          <w:szCs w:val="20"/>
          <w:color w:val="auto"/>
        </w:rPr>
      </w:pPr>
      <w:r>
        <w:rPr>
          <w:rFonts w:ascii="Arial" w:cs="Arial" w:eastAsia="Arial" w:hAnsi="Arial"/>
          <w:sz w:val="18"/>
          <w:szCs w:val="18"/>
          <w:color w:val="auto"/>
        </w:rPr>
        <w:t>For the 2018 first quarter, net earnings attributable to Kirby were $32,471,000, or $0.54 per share, on revenues of $741,688,000, compared with 2017 first quarter net earnings attributable to Kirby of $27,483,000, or $0.51 per share, on revenues of $491,705,000. The 2018 first quarter results reflect the acquisition of Higman on February 14, 2018 and included $3,261,000 before taxes, or $.04 per share, of one-time transaction costs associated with the acquisition, as well as $2,912,000 before taxes, or $.04 per share, of severance and retirement expenses, primarily related to cost reduction initiatives in the coastal marine transportation market and the integration of Higman. In addition, the Company incurred $3,938,000 before taxes, or $.05 per share, of non-cash expenses related to an amendment to the employee stock award plan during the 2018 first quarter. The result of the amendment is shorter expense accrual periods on stock options and RSUs granted after February 19, 2018 to employees who are nearing retirement and meet certain years of service and age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2018 first quarter, 46% of the Company’s revenue was generated by its marine transportation segment.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2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marine transportation segment’s revenues for the 2018 first quarter decreased 1% when compared with the 2017 first quarter revenues. The decrease was primarily due to lower term contract pricing in both inland and coastal markets, lower coastal spot contract pricing, poor seasonal weather conditions, fewer coastal tank barges with the impairment and retirement of 12 coastal tank barges and 21 tugboats in the 2017 fourth quarter, and an increase in the number of coastal vessels operating in the spot market which led to increased idle time and decreased revenues, partially offset by the addition of the Higman inland tank barges and towboats acquired on February 14, 2018. The segment’s operating income for the 2018 first quarter decreased 55% compared with the 2017 first quarter. The decrease was primarily due to lower inland term contract pricing, lower coastal spot contract pricing, lower coastal equipment utilization, poor seasonal weather conditions and more coastal equipment operating in the spot market which adds increased idle time and voyage costs. The 2018 first quarter was also impacted by the Higman transaction costs, severance and retirement costs, and the amendment to the employee stock award plan discussed above. For the 2018 and 2017 first quarters, the inland tank barge fleet contributed 74% and 69%, respectively, and the coastal fleet contributed 26% and 31%, respectively, of marine transportation revenues.</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Tank barge utilization levels of the Company’s inland marine transportation markets were in the mid-90% range during the 2018 first quarter compared with low to mid-90% range during the 2017 fourth quarter and high 80% to low 90% range during the 2017 first quarter. Increased customer demand and poor seasonal operating conditions contributed to a tight market across the entire inland tank barge industry. Demand for tank barges moving petrochemicals and agricultural chemicals was stable, while demand for black oil and refined products was higher compared to demand in the 2017 first quarter.</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Coastal tank barge utilization levels were in the high 70% range during the 2018 first quarter compared with low to mid-60% range during the 2017 fourth quarter and mid-70% to low 80% range during the 2017 first quarter. The improvement in utilization primarily reflected the impairment and retirement of 12 out-of-service coastal barges during the 2017 fourth quarter. Utilization in the coastal marine fleet continued to be impacted by the oversupply of tank barges in the coastal industry. Demand for the coastal transportation of petrochemicals was stable, while demand for the transportation of black oil and refined products was lower compared with the 2017 first quarter.</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2018 and 2017 first quarters, approximately 70% and 75%, respectively, of marine transportation’s inland revenues were under term contracts and 30% and 25%, respectively, were spot contract revenues. Inland time charters represented 58% of the inland revenues under term contracts during the 2018 first quarter compared with 48% during the 2017 first quarter. Rates on inland term contracts renewed in the 2018 first quarter decreased in the 4% to 6% average range compared with term contracts renewed in the first quarter of 2017. However, spot contract rates, which include the cost of fuel, increased in the 10% to 15% range, compared with both the 2017 first and fourth quarters. Effective January 1, 2018, annual escalators for labor and the producer price index on a number of inland multi-year contracts resulted in rate increases on those contracts of approximately 1.0%, excluding fuel.</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both"/>
        <w:ind w:firstLine="648"/>
        <w:spacing w:after="0" w:line="302" w:lineRule="auto"/>
        <w:rPr>
          <w:sz w:val="20"/>
          <w:szCs w:val="20"/>
          <w:color w:val="auto"/>
        </w:rPr>
      </w:pPr>
      <w:r>
        <w:rPr>
          <w:rFonts w:ascii="Arial" w:cs="Arial" w:eastAsia="Arial" w:hAnsi="Arial"/>
          <w:sz w:val="16"/>
          <w:szCs w:val="16"/>
          <w:color w:val="auto"/>
        </w:rPr>
        <w:t>During the 2018 and 2017 first quarters, approximately 80% of the coastal revenues were under term contracts and 20% were spot contract revenues. Coastal time charters represented approximately 85% of coastal revenues under term contracts during the 2018 and 2017 first quarters. Term and spot contract pricing for the 2018 first quarter were stable compared with pricing for the 2017 fourth quarter. Compared with the 2017 first quarter, pricing declined in the 10% to 15% range, contingent on various factors including geographic location, vessel capacity, vessel type and product serviced.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marine transportation segment operating margin was 4.8% for the 2018 first quarter compared with 10.4% for the 2017 first quarter.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2018 first quarter, the distribution and services segment generated 54% of the Company’s revenue, of which 38% was generated from overhauls and service, 35% from direct parts sales and 27% from manufacturing. The results of the distribution and services segment are largely influenced by the economic cycles of the oilfield service and oil and gas operator and producer markets, marine, mining, power generation, on-highway and other industrial markets.</w:t>
      </w:r>
    </w:p>
    <w:p>
      <w:pPr>
        <w:spacing w:after="0" w:line="21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Distribution and services revenues for the 2018 first quarter increased 171% and operating income increased 170% compared with the 2017 first quarter. The higher revenues and operating income were primarily attributable to the acquisition of S&amp;S, completed on September 13, 2017, as well as accelerated demand in the oil and gas market for the remanufacture of pressure pumping units and transmission overhauls, the manufacturing of oilfield service equipment, including pressure pumping units, and for the sale and distribution of engines, transmissions and related parts. The oil and gas market contributed 68% of the distribution and services revenues for the 2018 first quarter. However, the strong demand challenged the Company’s vendor supply chain, creating delays for the delivery of new engines, transmissions and parts required for the completion of both new and remanufactured oilfield service equipment, including pressure pumping units, and impacted the recognition of revenue. In the commercial and industrial market, which contributed 32% of the distribution and services revenues for the 2018 first quarter, the marine sector experienced higher service levels for medium-speed diesel engine overhauls and related parts sales throughout the 2018 first quarter. The power generation sector saw higher demand from nuclear and commercial customers, but a seasonal decline in the rental of stand-by power generators following the significant hurricane related demand in the 2017 fourth quarter.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distribution and services segment operating margin for the 2018 first quarter was 9.2% compared with 9.3% for the 2017 first quarter.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Capital Expenditures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Net cash provided by operating activities for the 2018 first quarter was $18,734,000 compared with $85,202,000 for the 2017 first quarter, a 78% decrease, primarily due to an $87,926,000 net decrease in cash flows resulting from changes in operating assets and liabilities for the 2018 first quarter. The net decrease in operating assets and liabilities was primarily due to an increase in trade receivables from strong 2018 first quarter revenues and increased billings in the distribution and services segment and higher inventories in the distribution and services oil and gas market, primarily to support the increased business activity levels. In addition, during the 2018 and 2017 first quarters, the Company generated cash of $12,181,000 and $7,958,000, respectively, from proceeds from the disposition of assets, and $292,000 and $1,258,000, respectively, from proceeds from the exercise of stock options.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2018 first quarter, cash generated and borrowings under the Company’s revolving credit facility were used for capital expenditures of $40,961,000, including $4,728,000 for inland tank barge and towboat construction, $6,710,000 for progress payments on six 5000 horsepower coastal ATB tugboats, $29,523,000 primarily for upgrading existing marine equipment and marine transportation and distribution and services facilities, and $429,977,000 for acquisitions of businesses and marine equipment.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jc w:val="both"/>
        <w:ind w:firstLine="648"/>
        <w:spacing w:after="0" w:line="276" w:lineRule="auto"/>
        <w:rPr>
          <w:sz w:val="20"/>
          <w:szCs w:val="20"/>
          <w:color w:val="auto"/>
        </w:rPr>
      </w:pPr>
      <w:r>
        <w:rPr>
          <w:rFonts w:ascii="Arial" w:cs="Arial" w:eastAsia="Arial" w:hAnsi="Arial"/>
          <w:sz w:val="17"/>
          <w:szCs w:val="17"/>
          <w:color w:val="auto"/>
        </w:rPr>
        <w:t>The Company’s debt-to-capitalization ratio increased to 31.2% at March 31, 2018 from 24.2% at December 31, 2017, primarily due to borrowings under the 2028 Notes to purchase Higman, less the increase in total equity from net earnings attributable to Kirby for the 2018 first quarter of $32,471,000 and the exercise of stock options and the amortization of unearned equity compensation. As of March 31, 2018, the Company had $423,085,000 outstanding under its Revolving Credit Facility, $8,321,000 outstanding under its Credit Line, $500,000,000 of senior notes outstanding and $500,000,000 of the 2028 Notes outstanding, offset by $8,139,000 in unamortized debt discount and issuance costs.</w:t>
      </w:r>
    </w:p>
    <w:p>
      <w:pPr>
        <w:spacing w:after="0" w:line="20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2018 first quarter, the Company took delivery of one new inland tank barge with a capacity of approximately 29,000 barrels, acquired 161 inland tank barges with the Higman acquisition with a total capacity of approximately 4,750,000 barrels, acquired two inland tank barges with a total capacity of approximately 35,000 barrels and retired 12 inland tank barges, reducing its capacity by approximately 179,000 barrels. The net result was an increase of 152 inland tank barges and approximately 4,635,000 barrels of capacity during the first quarter of 2018.</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projects that capital expenditures for 2018 will be in the $200,000,000 to $225,000,000 range. The 2018 construction program will consist of one 30,000 barrel inland tank barge, progress payments on the construction of 15 inland towboats, five of which will be placed in service in 2018 and the remaining ten in 2019 and 2020, and progress payments on the construction of six 5000 horsepower coastal ATB tugboats, three of which will be placed in service in 2018 and three in 2019. Based on current commitments, steel prices and projected delivery schedules, the Company’s 2018 payments on the new inland tank barge and towboats will be approximately $35,000,000 and 2018 progress payments on the construction of the six 5000 horsepower coastal ATB tugboats will be approximately $40,000,000. Approximately $100,000,000 to $120,000,000 is primarily capital upgrades and improvements to existing marine equipment and facilities. The balance of $25,000,000 to $30,000,000 will be for rental fleet growth, new machinery and equipment, and facilities improvements in the distribution and services segment.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Reduced crude oil volumes to be moved by tank barge due to a decline in oil prices, a decline in domestic drilling and additional pipeline capacity, coupled with the large number of inland tank barges built during 2015 and 2016, and coastal tank barges built during 2016 and 2017, many of which were originally built for the movement of crude oil and natural gas condensate, resulted in excess industry-wide tank barge capacity and lower equipment utilization for both the inland and coastal marine transportation markets. This extra capacity placed inland and coastal tank barge utilization and rates under pressure throughout 2016, 2017 and the 2018 first quarter.</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However, with continued industry-wide inland tank barge retirements, minimal new inland tank barge construction and higher customer demand, the result of increased production from current facilities, plant expansions and the opening of new facilities, inland utilization is anticipated to be in the low to mid-90% range for 2018. With utilization in the inland market in the mid-90% level during the 2018 first quarter, which led to improved spot contract pricing during the quarter, the Company anticipates a modest mid-single digit pricing improvement on term contracts renewed in the 2018 second half.</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March 31, 2018, the Company estimated there were approximately 3,800 inland tank barges in the industry fleet, of which approximately 400 were over 30 years old and approximately 250 of those over 40 years old. Given the age profile of the industry inland tank barge fleet, the expectation is that many older tank barges will be removed from service during 2018. The Company estimates that approximately 40 tank barges were ordered during 2017 for delivery throughout 2018, three of which are for the Company, and many older tank barges, including an expected 28 by the Company, will be retired, dependent on 2018 market conditions. Historically, 75 to 150 older inland tank barges are retired from service each year industry-wide, with the extent of the retirements dependent on petrochemical and refinery production levels, and crude oil and natural gas condensate movements, both of which can have a direct effect on industry-wide tank barge utilization, as well as term and spot contract rates.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jc w:val="both"/>
        <w:ind w:firstLine="648"/>
        <w:spacing w:after="0" w:line="254" w:lineRule="auto"/>
        <w:rPr>
          <w:sz w:val="20"/>
          <w:szCs w:val="20"/>
          <w:color w:val="auto"/>
        </w:rPr>
      </w:pPr>
      <w:r>
        <w:rPr>
          <w:rFonts w:ascii="Arial" w:cs="Arial" w:eastAsia="Arial" w:hAnsi="Arial"/>
          <w:sz w:val="18"/>
          <w:szCs w:val="18"/>
          <w:color w:val="auto"/>
        </w:rPr>
        <w:t>In the coastal marine transportation market, a decline in crude oil and natural gas condensate transportation volumes increased available capacity and resulted in some reluctance among certain customers to extend term contracts, which led to an increase in the number of coastal vessels operating in the spot market. In addition, the Company and the industry added new coastal tank barge capacity during 2015, 2016 and 2017. Throughout 2017, the Company released chartered tugboats, idled owned barges and tugboats and reduced headcount accordingly. With additional coastal industry tank barge capacity still under construction with deliveries scheduled for 2018 and 2019, and utilization rates in the mid-60% range, during the 2017 fourth quarter, the Company impaired and retired 12 out-of-service coastal tank barges and 21 inactive coastal tugboats. With its reduced coastal fleet, the Company expects coastal tank barge utilization to be in the high 70% to low 80% range for the balance of 2018, with a stabilized pricing environment and no material change in market fundamentals.</w:t>
      </w:r>
    </w:p>
    <w:p>
      <w:pPr>
        <w:spacing w:after="0" w:line="21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March 31, 2018, the Company estimated there were approximately 290 tank barges operating in the 195,000 barrel or less coastal industry fleet, the sector of the market in which the Company operates, and approximately 20 of those were over 30 years old. The Company is aware of six announced coastal tank barge and tugboat units in the 195,000 barrel or less category under construction by competitors for delivery in 2018 and 2019.</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results of the distribution and services segment are largely influenced by the economic cycles of the land-based oilfield service and oil and gas operator and producer markets, marine, mining, power generation, on-highway and other industrial markets. During 2015 and 2016, lower crude oil prices resulted in a decrease in the number of oil and gas wells being drilled. Oilfield service companies reduced their capital spending, resulting in decreased demand for new parts and equipment, including pressure pumping units, provided by the distribution and services segment. In early 2015, an estimated 19.5 million horsepower of pressure pumping units were working in North America. By late 2016, the working horsepower in North America had declined to an estimated 9.0 million. The Company also services offshore supply vessels and offshore drilling rigs operating in the Gulf of Mexico, as well as internationally. Low energy prices also negatively impacted the number of wells drilled in the Gulf of Mexico and international waters. These contributing factors resulted in a negative impact on the distribution and services segment’s revenues and profits in 2015 and 2016.</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United States land rig count improved in 2017 and the 2018 first quarter from the lows in 2016, oil prices traded in the $40 to $65 per barrel range, and service intensity in the well completion business increased. In addition, the condition of the industry’s inactive pressure pumping fleet remains poor. Based on these positive conditions, the Company experienced a better market in 2017 and anticipates the trend to continue throughout 2018 for the strong demand for pressure pumping unit remanufacturing and the increased demand is anticipated to generate orders for the manufacture of pressure pumping units and ancillary oilfield service support equipment. These positive conditions and the acquisition of S&amp;S are expected to result in increased revenues and profits in the distribution and services oil and gas market for the 2018 year.</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distribution and services commercial and industrial market, the Company anticipates an improved marine market for 2018 as the inland tank barge industry improves, and maintenance deferrals implemented by inland and coastal marine transportation customers for much of 2017 are no longer sustainable and should lead to higher demand for overhauls, new engines and parts sales as 2018 progresses. The power generation market should remain stable, benefiting from engine-generator set upgrades and parts sales for both domestic and international customers, customized power generation systems, and the rental of generators.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March 15, 2018, the Company purchased two inland pressure tank barges from a competitor for $10,400,000 in cash. Financing of the equipment acquisition was through borrowings under the Company’s revolving credit facility.</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February 14, 2018, the Company completed the acquisition of Higman for $421,922,000 in cash, subject to certain post-closing adjustments. Higman’s fleet consisted of 163 inland tank barges, of which two are under construction and scheduled to be delivered in May 2018 and October 2018, with 4.8 million barrels of capacity, and 75 inland towboats, transporting petrochemicals, black oil, including crude oil and natural gas condensate, and refined petroleum products on the Mississippi River System and the Gulf Intracoastal Waterway. Financing of the acquisition was through the issuance of $500,000,000 of 4.2% senior unsecured notes due March 1, 2028. The notes were issued on February 12, 2018 in preparation for closing of the acquisition.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reported 2018 first quarter net earnings attributable to Kirby of $32,471,000, or $0.54 per share, on revenues of $741,688,000, compared with 2017 first quarter net earnings attributable to Kirby of $27,483,000, or $0.51 per share, on revenues of $491,705,000. The 2018 first quarter results reflect the acquisition of Higman on February 14, 2018 and included $3,261,000 before taxes, or $.04 per share, of one-time transaction costs associated with the acquisition, as well as $2,912,000 before taxes, or $.04 per share, of severance and retirement expenses, primarily related to cost reduction initiatives in the coastal market and the integration of Higman. In addition, the Company incurred $3,938,000, or $.05 per share, of non-cash expenses related to an amendment to the employee stock award plan during the 2018 first quarter. The result of the amendment is shorter expense accrual periods on stock options and RSUs granted after February 19, 2018 to employees who are nearing retirement and meet certain years of service and age requirements.</w:t>
      </w:r>
    </w:p>
    <w:p>
      <w:pPr>
        <w:spacing w:after="0" w:line="194" w:lineRule="exact"/>
        <w:rPr>
          <w:sz w:val="20"/>
          <w:szCs w:val="20"/>
          <w:color w:val="auto"/>
        </w:rPr>
      </w:pPr>
    </w:p>
    <w:p>
      <w:pPr>
        <w:jc w:val="both"/>
        <w:ind w:firstLine="710"/>
        <w:spacing w:after="0" w:line="264" w:lineRule="auto"/>
        <w:rPr>
          <w:sz w:val="20"/>
          <w:szCs w:val="20"/>
          <w:color w:val="auto"/>
        </w:rPr>
      </w:pPr>
      <w:r>
        <w:rPr>
          <w:rFonts w:ascii="Arial" w:cs="Arial" w:eastAsia="Arial" w:hAnsi="Arial"/>
          <w:sz w:val="18"/>
          <w:szCs w:val="18"/>
          <w:color w:val="auto"/>
        </w:rPr>
        <w:t>Marine transportation revenues for the 2018 first quarter were $340,403,000, or 46% of total revenues, compared with $343,652,000, or 70% of total revenues, for the 2017 first quarter. Distribution and services revenues for the 2018 first quarter were $401,285,000, or 54% of total revenues, compared with $148,053,000, or 30% of total revenues, for the 2017 first quarter.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through its marine transportation segment, is a provider of marine transportation services, operating tank barges and towing vessels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March 31, 2018, the Company operated 993 inland tank barges, including 31 leased barges, with a total capacity of 21.9 million barrels. This compares with 864 inland tank barges operated as of March 31, 2017, including 37 leased barges, with a total capacity of 17.6 million barrels. The Company operated an average of 262 inland towboats during the 2018 first quarter, of which an average of 77 were chartered, compared with 235 during the 2017 first quarter, of which an average of 72 were chartered. The Company’s coastal tank barge fleet as of March 31, 2018, consisted of 55 tank barges, seven of which were leased, with 5.2 million barrels of capacity, and 50 tugboats, four of which were chartered. This compares with 68 coastal tank barges operated as of March 31, 2017, seven of which were leased, with 6.1 million barrels of capacity, and 71 tugboats, five of which were chartered. The Company owns and operates five offshore dry-bulk cargo barges and five offshore tugboats engaged in the offshore transportation of dry-bulk cargoes. The Company also owns shifting operations and fleeting facilities for dry cargo barges and tank barges on the Houston Ship Channel and in Freeport, Texas, a shipyard for building towboats and performing routine maintenance near the Houston Ship Channel, as well as a two-thirds interest in Osprey Line, L.L.C., which transports project cargoes and cargo containers by barge.</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Company’s marine transportation segment’s revenues, costs and expenses, operating income and operating margins for the three months ended March 31, 2018 compared with the three months ended March 31, 2017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Marine transportation revenues</w:t>
            </w:r>
          </w:p>
        </w:tc>
        <w:tc>
          <w:tcPr>
            <w:tcW w:w="30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340,403</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343,652</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238,785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229,620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35,576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27,878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6,522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6,098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44,288</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324,223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307,844</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30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16,180</w:t>
            </w:r>
          </w:p>
        </w:tc>
        <w:tc>
          <w:tcPr>
            <w:tcW w:w="2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35,768</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margins</w:t>
            </w:r>
          </w:p>
        </w:tc>
        <w:tc>
          <w:tcPr>
            <w:tcW w:w="30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240" w:type="dxa"/>
            <w:vAlign w:val="bottom"/>
            <w:tcBorders>
              <w:top w:val="single" w:sz="8" w:color="CCEEFF"/>
            </w:tcBorders>
          </w:tcPr>
          <w:p>
            <w:pPr>
              <w:spacing w:after="0"/>
              <w:rPr>
                <w:sz w:val="24"/>
                <w:szCs w:val="24"/>
                <w:color w:val="auto"/>
              </w:rPr>
            </w:pPr>
          </w:p>
        </w:tc>
        <w:tc>
          <w:tcPr>
            <w:tcW w:w="3000" w:type="dxa"/>
            <w:vAlign w:val="bottom"/>
            <w:tcBorders>
              <w:top w:val="single" w:sz="8" w:color="CCEEFF"/>
            </w:tcBorders>
          </w:tcPr>
          <w:p>
            <w:pPr>
              <w:jc w:val="right"/>
              <w:ind w:right="1408"/>
              <w:spacing w:after="0"/>
              <w:rPr>
                <w:sz w:val="20"/>
                <w:szCs w:val="20"/>
                <w:color w:val="auto"/>
              </w:rPr>
            </w:pPr>
            <w:r>
              <w:rPr>
                <w:rFonts w:ascii="Arial" w:cs="Arial" w:eastAsia="Arial" w:hAnsi="Arial"/>
                <w:sz w:val="14"/>
                <w:szCs w:val="14"/>
                <w:color w:val="auto"/>
              </w:rPr>
              <w:t>24</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shows the marine transportation markets serviced by the Company, the marine transportation revenue distribution for the first quarter of 2018, products moved and the drivers of the demand for the products the Company transports: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2018 First</w:t>
            </w:r>
          </w:p>
        </w:tc>
        <w:tc>
          <w:tcPr>
            <w:tcW w:w="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5"/>
              </w:rPr>
              <w:t>Quarter</w:t>
            </w:r>
          </w:p>
        </w:tc>
        <w:tc>
          <w:tcPr>
            <w:tcW w:w="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gridSpan w:val="2"/>
          </w:tcPr>
          <w:p>
            <w:pPr>
              <w:ind w:left="960"/>
              <w:spacing w:after="0"/>
              <w:rPr>
                <w:sz w:val="20"/>
                <w:szCs w:val="20"/>
                <w:color w:val="auto"/>
              </w:rPr>
            </w:pPr>
            <w:r>
              <w:rPr>
                <w:rFonts w:ascii="Arial" w:cs="Arial" w:eastAsia="Arial" w:hAnsi="Arial"/>
                <w:sz w:val="18"/>
                <w:szCs w:val="18"/>
                <w:b w:val="1"/>
                <w:bCs w:val="1"/>
                <w:color w:val="auto"/>
              </w:rPr>
              <w:t>Markets Serviced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160" w:type="dxa"/>
            <w:vAlign w:val="bottom"/>
          </w:tcPr>
          <w:p>
            <w:pPr>
              <w:spacing w:after="0"/>
              <w:rPr>
                <w:sz w:val="20"/>
                <w:szCs w:val="20"/>
                <w:color w:val="auto"/>
              </w:rPr>
            </w:pPr>
          </w:p>
        </w:tc>
        <w:tc>
          <w:tcPr>
            <w:tcW w:w="4020" w:type="dxa"/>
            <w:vAlign w:val="bottom"/>
            <w:gridSpan w:val="2"/>
          </w:tcPr>
          <w:p>
            <w:pPr>
              <w:ind w:left="1320"/>
              <w:spacing w:after="0"/>
              <w:rPr>
                <w:sz w:val="20"/>
                <w:szCs w:val="20"/>
                <w:color w:val="auto"/>
              </w:rPr>
            </w:pPr>
            <w:r>
              <w:rPr>
                <w:rFonts w:ascii="Arial" w:cs="Arial" w:eastAsia="Arial" w:hAnsi="Arial"/>
                <w:sz w:val="18"/>
                <w:szCs w:val="18"/>
                <w:b w:val="1"/>
                <w:bCs w:val="1"/>
                <w:color w:val="auto"/>
              </w:rPr>
              <w:t>Products Moved</w:t>
            </w:r>
          </w:p>
        </w:tc>
        <w:tc>
          <w:tcPr>
            <w:tcW w:w="2620" w:type="dxa"/>
            <w:vAlign w:val="bottom"/>
          </w:tcPr>
          <w:p>
            <w:pPr>
              <w:ind w:left="1020"/>
              <w:spacing w:after="0"/>
              <w:rPr>
                <w:sz w:val="20"/>
                <w:szCs w:val="20"/>
                <w:color w:val="auto"/>
              </w:rPr>
            </w:pPr>
            <w:r>
              <w:rPr>
                <w:rFonts w:ascii="Arial" w:cs="Arial" w:eastAsia="Arial" w:hAnsi="Arial"/>
                <w:sz w:val="18"/>
                <w:szCs w:val="18"/>
                <w:b w:val="1"/>
                <w:bCs w:val="1"/>
                <w:color w:val="auto"/>
              </w:rPr>
              <w:t>Drivers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Petrochemicals</w:t>
            </w: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55%</w:t>
            </w:r>
          </w:p>
        </w:tc>
        <w:tc>
          <w:tcPr>
            <w:tcW w:w="160" w:type="dxa"/>
            <w:vAlign w:val="bottom"/>
            <w:tcBorders>
              <w:top w:val="single" w:sz="8" w:color="CCEEFF"/>
            </w:tcBorders>
            <w:shd w:val="clear" w:color="auto" w:fill="CCEEFF"/>
          </w:tcPr>
          <w:p>
            <w:pPr>
              <w:spacing w:after="0"/>
              <w:rPr>
                <w:sz w:val="17"/>
                <w:szCs w:val="17"/>
                <w:color w:val="auto"/>
              </w:rPr>
            </w:pPr>
          </w:p>
        </w:tc>
        <w:tc>
          <w:tcPr>
            <w:tcW w:w="39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6"/>
              </w:rPr>
              <w:t>Benzene, Styrene, Methanol, Acrylonitrile, Xylene,</w:t>
            </w:r>
          </w:p>
        </w:tc>
        <w:tc>
          <w:tcPr>
            <w:tcW w:w="12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Consumer non-durables — 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Naphtha, Caustic Soda, Butadiene, Propylene</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Consumer durables — 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Black Oil</w:t>
            </w: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21%</w:t>
            </w:r>
          </w:p>
        </w:tc>
        <w:tc>
          <w:tcPr>
            <w:tcW w:w="41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Residual Fuel Oil, Coker Feedstock, Vacuum Gas</w:t>
            </w: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Fuel for Power Plants and 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Oil, Asphalt, Carbon Black Feedstock, Crude Oil,</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Feedstock for Refineries, Road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Natural Gas Condensate, Ship Bunkers</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Refined Petroleum Products</w:t>
            </w: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20%</w:t>
            </w:r>
          </w:p>
        </w:tc>
        <w:tc>
          <w:tcPr>
            <w:tcW w:w="41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Gasoline, No. 2 Oil, Jet Fuel, Heating Oil, Diesel</w:t>
            </w: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Vehicle Usage, Air Travel, Weather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Fuel, Ethanol</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Conditions, Refinery Utilization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Agricultural Chemicals</w:t>
            </w: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4%</w:t>
            </w:r>
          </w:p>
        </w:tc>
        <w:tc>
          <w:tcPr>
            <w:tcW w:w="41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Anhydrous Ammonia, Nitrogen-Based Liquid</w:t>
            </w: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Corn, Cotton and Wheat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Fertilizer, Industrial Ammonia</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Production, Chemical Feedstock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Marine transportation revenues for the 2018 first quarter decreased 1% when compared with the 2017 first quarter, primarily due to lower term contract pricing in both the inland and coastal markets and lower coastal spot contract pricing, partially offset by improved utilization in the inland market and the revenue contribution from the Higman fleet, acquired on February 14, 2018. Poor seasonal weather conditions and favorable prices for customer’s products contributed to increased tank barge utilization levels and corresponding higher spot market pricing. Demand in the coastal markets continued to be impacted by the oversupply of tank barges in the coastal industry. For the 2018 and 2017 first quarters, the inland tank barge fleet contributed 74% and 69%, respectively, and the coastal fleet 26% and 31%, respectively, of marine transportation revenues. Tank barge utilization levels of the Company’s inland marine transportation markets improved to the mid-90% range during the 2018 first quarter compared to the low to mid-90% range during the 2017 fourth quarter and the high 80% to low 90% range for the 2017 first quarter. Coastal tank barge utilization levels improved to the high 70% range during the 2018 first quarter compared to the low to mid-60% range during the 2017 fourth quarter and the mid-70% to low 80% range in the 2017 first quarter. The coastal improvement was primarily due to the impairment and retirement of 12 coastal tank barges in the 2017 fourth quarter.</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petrochemical market, the Company’s largest market, contributed 55% of marine transportation revenues for the 2018 first quarter, reflecting stable volumes from Gulf Coast petrochemical plants for both domestic consumption and to terminals for export destinations, and the addition of tank barges acquired in the 2017 second half. Low priced domestic natural gas, a basic feedstock for the United States petrochemical industry, provides the industry with a competitive advantage relative to naphtha-based foreign petrochemical producers. In addition, favorable commodity prices and the addition of new petrochemical industry capacity during 2017 and the 2018 first quarter benefited the segment.</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black oil market, which contributed 21% of marine transportation revenues for the 2018 first quarter, reflected higher revenues in the inland market primarily due to the addition of the Higman fleet. The Company continued to transport crude oil and natural gas condensate produced from the Eagle Ford and Permian Basin shale formations in Texas both along the Gulf Intracoastal Waterway with inland vessels and in the Gulf of Mexico with coastal equipment, and continued to transport Utica natural gas condensate downriver from the Mid-Atlantic to the Gulf Coast. Revenues for the transportation of black oil products in the coastal market during the 2018 first quarter were lower compared with the 2017 first quarter due to the continued industry-wide over supply of tank barges in the coastal industry.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both"/>
        <w:ind w:firstLine="648"/>
        <w:spacing w:after="0" w:line="264" w:lineRule="auto"/>
        <w:rPr>
          <w:sz w:val="20"/>
          <w:szCs w:val="20"/>
          <w:color w:val="auto"/>
        </w:rPr>
      </w:pPr>
      <w:r>
        <w:rPr>
          <w:rFonts w:ascii="Arial" w:cs="Arial" w:eastAsia="Arial" w:hAnsi="Arial"/>
          <w:sz w:val="18"/>
          <w:szCs w:val="18"/>
          <w:color w:val="auto"/>
        </w:rPr>
        <w:t>The refined petroleum products market, which contributed 20% of marine transportation revenues for the 2018 first quarter, reflected stronger volumes in the inland market primarily due to the addition of the Higman fleet, partially offset by lower utilization in the coastal market, primarily a result of the oversupply of coastal tank barge capacity.</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agricultural chemical market, which contributed 4% of marine transportation revenues for the 2018 first quarter, saw typical seasonal demand for transportation of both domestically produced and imported products during the quarter.</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first quarter of 2018, the inland operations incurred 3,182 delay days, 40% more than the 2,267 delay days that occurred during the 2017 first quarter and 61% more than the 1,978 delay days that occurred during the 2017 fourth quarter. Delay days measure the lost time incurred by a tow (towboat and one or more tank barges) during transit when the tow is stopped due to weather, lock conditions or other navigational factors. Operating conditions during the 2018 first quarter were challenged by ice on the Illinois River, high water on the Ohio and Mississippi Rivers, and continued infrastructure issues on the Ohio River. Seasonal fog and high winds, as well as lock delays along the Gulf Intracoastal Waterway, also increased delay days. These conditions challenged inland operations for much of the 2018 first quarter.</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During the 2018 and 2017 first quarters, approximately 70% and 75%, respectively, of marine transportation’s inland revenues were under term contracts and 30% and 25%, respectively, were spot contract revenues. Inland time charters represented 58% of the inland revenues under term contracts during the 2018 first quarter compared with 48% during the 2017 first quarter. The 10% increase in inland time charters was primarily due to the acquisition of Higman. Inland term contract pricing was at lower levels relative to the 2017 first quarter as contracts renewed at lower levels throughout 2017. Contracts that renewed during the 2018 first quarter decreased in the 4% to 6% average range compared with term contracts renewed in the 2017 first quarter. With utilization rates in the mid-90% level for both the Company and the industry during the 2018 first quarter, spot contract rates, which include the cost of fuel, increased in the 10% to 15% range compared with both the 2017 first and fourth quarters. Effective January 1, 2018, annual escalators for labor and the producer price index on a number of inland multi-year contracts resulted in rate increases on those contracts of approximately 1.0%, excluding fuel.</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the 2018 and 2017 first quarters, approximately 80% of the coastal revenues were under term contracts and 20% were spot contract revenues. Coastal time charters represented approximately 85% of coastal revenues under term contracts during the 2018 and 2017 first quarters. Term and spot contract pricing for the 2018 first quarter were stable compared with pricing for the 2017 fourth quarter. Compared with the 2017 first quarter, pricing declined in the 10% to 15% range, contingent on various factors including geographic location, vessel capacity, vessel type and product serviced.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Costs and expenses for the 2018 first quarter increased 5% when compared with the 2017 first quarter. Costs of sales and operating expenses increased 4% for the 2018 first quarter compared with the 2017 first quarter, primarily due to the addition of the Higman fleet of inland tank barges and towboats in February 2018 and higher fuel costs.</w:t>
      </w:r>
    </w:p>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inland marine transportation fleet operated an average of 262 towboats during the 2018 first quarter, of which an average of 77 were chartered, compared with 235 during the 2017 first quarter, of which an average of 72 were chartered. The increase was primarily due to the addition of 75 inland towboats with the Higman acquisition on February 14, 2018. Generally as demand, or anticipated demand, increases or decreases, as new tank barges are added to the fleet, as chartered towboat availability changes, or as weather or water conditions dictate, such as the ice on the Illinois River, high water on the Ohio and Mississippi Rivers, infrastructure issues on the Ohio River, and seasonal high winds and heavy fog conditions along the Gulf Intracoastal Waterway that occurred in the 2018 first quarter, the Company charters in or releases chartered towboats in an effort to balance horsepower needs with current requirements. The Company has historically used chartered towboats for approximately one-third of its horsepower requirements.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both"/>
        <w:ind w:firstLine="648"/>
        <w:spacing w:after="0" w:line="257" w:lineRule="auto"/>
        <w:rPr>
          <w:sz w:val="20"/>
          <w:szCs w:val="20"/>
          <w:color w:val="auto"/>
        </w:rPr>
      </w:pPr>
      <w:r>
        <w:rPr>
          <w:rFonts w:ascii="Arial" w:cs="Arial" w:eastAsia="Arial" w:hAnsi="Arial"/>
          <w:sz w:val="18"/>
          <w:szCs w:val="18"/>
          <w:color w:val="auto"/>
        </w:rPr>
        <w:t>During the 2018 first quarter, the inland operations consumed 11.3 million gallons of diesel fuel compared to 10.6 million gallons consumed during the 2017 first quarter. The average price per gallon of diesel fuel consumed during the 2018 first quarter was $2.04 per gallon compared with $1.78 per gallon for the 2017 first quarter. Fuel escalation and de-escalation clauses on term contracts are designed to rebate fuel costs when prices decline and recover additional fuel costs when fuel prices rise; however, there is generally a 30 to 90 day delay before the contracts are adjusted. Spot contracts do not have escalators for fuel.</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Selling, general and administrative expenses for the 2018 first quarter increased 28% compared with the 2017 first quarter. The increase included $3,261,000 of transaction costs, consisting primarily of legal, audit and other professional fees, associated with the Higman acquisition, severance charges of $2,591,000 associated with the integration of Higman into the Company and further reduction in headcount in the coastal sector in order to manage costs, and $2,378,000 of non-cash expenses related to the amendment of the employee stock award plan.</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Taxes, other than on income for the 2018 first quarter increased 7% compared with the 2017 first quarter, mainly due to higher property taxes on marine transportation equipment, including the Higman fleet.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Marine transportation operating income for the 2018 first quarter decreased 55% compared with the 2017 first quarter. The 2018 first quarter operating margin was 4.8% compared with 10.4% for the 2017 first quarter. The results primarily reflected lower term contract pricing in both the inland and coastal markets and lower coastal spot contract pricing, more coastal equipment operating in the spot market which adds increased idle time and voyage costs, Higman transaction costs, severance charges, and expenses related to the amendment of the employee stock award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Company’s distribution and services segment’s revenues, costs and expenses, operating income and operating margins for the three months ended March 31, 2018 compared with the three months ended March 31, 2017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260" w:type="dxa"/>
            <w:vAlign w:val="bottom"/>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Distribution and services</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401,285</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148,053</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1"/>
              </w:rPr>
              <w:t>171%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314,532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115,179</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37,754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15,706</w:t>
            </w:r>
          </w:p>
        </w:tc>
        <w:tc>
          <w:tcPr>
            <w:tcW w:w="1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541</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10,032</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2,922</w:t>
            </w:r>
          </w:p>
        </w:tc>
        <w:tc>
          <w:tcPr>
            <w:tcW w:w="1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CEEFF"/>
            </w:tcBorders>
          </w:tcPr>
          <w:p>
            <w:pPr>
              <w:spacing w:after="0"/>
              <w:rPr>
                <w:sz w:val="19"/>
                <w:szCs w:val="19"/>
                <w:color w:val="auto"/>
              </w:rPr>
            </w:pPr>
          </w:p>
        </w:tc>
        <w:tc>
          <w:tcPr>
            <w:tcW w:w="30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364,320</w:t>
            </w:r>
          </w:p>
        </w:tc>
        <w:tc>
          <w:tcPr>
            <w:tcW w:w="28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134,348</w:t>
            </w: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6"/>
              </w:rPr>
              <w:t>171</w:t>
            </w: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30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36,965</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13,705</w:t>
            </w: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1"/>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Operating margins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60" w:type="dxa"/>
            <w:vAlign w:val="bottom"/>
            <w:vMerge w:val="restart"/>
          </w:tcPr>
          <w:p>
            <w:pPr>
              <w:jc w:val="right"/>
              <w:ind w:right="1468"/>
              <w:spacing w:after="0"/>
              <w:rPr>
                <w:sz w:val="20"/>
                <w:szCs w:val="20"/>
                <w:color w:val="auto"/>
              </w:rPr>
            </w:pPr>
            <w:r>
              <w:rPr>
                <w:rFonts w:ascii="Arial" w:cs="Arial" w:eastAsia="Arial" w:hAnsi="Arial"/>
                <w:sz w:val="14"/>
                <w:szCs w:val="14"/>
                <w:color w:val="auto"/>
              </w:rPr>
              <w:t>27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markets serviced by the Company’s distribution and services segment, the revenue distribution for the first quarter of 2018, and the customers for each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2018 First Qtr.</w:t>
            </w:r>
          </w:p>
        </w:tc>
        <w:tc>
          <w:tcPr>
            <w:tcW w:w="1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Markets Serviced</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120" w:type="dxa"/>
            <w:vAlign w:val="bottom"/>
          </w:tcPr>
          <w:p>
            <w:pPr>
              <w:spacing w:after="0"/>
              <w:rPr>
                <w:sz w:val="20"/>
                <w:szCs w:val="20"/>
                <w:color w:val="auto"/>
              </w:rPr>
            </w:pPr>
          </w:p>
        </w:tc>
        <w:tc>
          <w:tcPr>
            <w:tcW w:w="5400" w:type="dxa"/>
            <w:vAlign w:val="bottom"/>
          </w:tcPr>
          <w:p>
            <w:pPr>
              <w:ind w:left="2280"/>
              <w:spacing w:after="0"/>
              <w:rPr>
                <w:sz w:val="20"/>
                <w:szCs w:val="20"/>
                <w:color w:val="auto"/>
              </w:rPr>
            </w:pPr>
            <w:r>
              <w:rPr>
                <w:rFonts w:ascii="Arial" w:cs="Arial" w:eastAsia="Arial" w:hAnsi="Arial"/>
                <w:sz w:val="18"/>
                <w:szCs w:val="18"/>
                <w:b w:val="1"/>
                <w:bCs w:val="1"/>
                <w:color w:val="auto"/>
              </w:rPr>
              <w:t>Customers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Oil and Gas</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68%</w:t>
            </w:r>
          </w:p>
        </w:tc>
        <w:tc>
          <w:tcPr>
            <w:tcW w:w="120" w:type="dxa"/>
            <w:vAlign w:val="bottom"/>
            <w:tcBorders>
              <w:top w:val="single" w:sz="8" w:color="CCEEFF"/>
            </w:tcBorders>
            <w:shd w:val="clear" w:color="auto" w:fill="CCEEFF"/>
          </w:tcPr>
          <w:p>
            <w:pPr>
              <w:spacing w:after="0"/>
              <w:rPr>
                <w:sz w:val="18"/>
                <w:szCs w:val="18"/>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Oilfield Services, Oil and Gas Operators and Producers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Commercial and Industrial</w:t>
            </w:r>
          </w:p>
        </w:tc>
        <w:tc>
          <w:tcPr>
            <w:tcW w:w="1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32%</w:t>
            </w:r>
          </w:p>
        </w:tc>
        <w:tc>
          <w:tcPr>
            <w:tcW w:w="55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Inland River Carriers — Dry and Liquid, Offshore Towing — Dry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Liquid, Offshore Oilfield Services — Drilling Rigs &amp; Supply Boats,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Harbor Towing, Dredging, Great Lakes Ore Carriers, Pleasure Crafts,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and Off-Highway Transportation, Power Generation, Standby Power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5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Generation, Pumping Stations, Mining</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Distribution and services revenues for the 2018 first quarter increased 171% and operating income increased 170% compared with the 2017 first quarter. The higher revenues and operating income were primarily attributable to the acquisition of S&amp;S, completed on September 13, 2017, as well as accelerated demand in the oil and gas market for the remanufacture of pressure pumping units and transmission overhauls, the manufacturing of oilfield service equipment, including pressure pumping units, and for the sale and distribution of engines, transmissions and related parts. However, the strong demand challenged the Company’s vendor supply chain, creating delays for the delivery of new engines, transmissions and parts required for the completion of both new and remanufactured oilfield service equipment, including pressure pumping units, and impacted the recognition of revenue. The oil and gas market contributed 68% of distribution and services revenues for the 2018 first quarter. In the commercial and industrial market, which contributed 32% of distribution and services revenues for the 2018 first quarter, the marine sector experienced higher service levels for medium-speed diesel engine overhauls and related parts that had previously been deferred throughout 2017. The power generation sector saw higher demand from nuclear and commercial customers, but saw a seasonal decline in the rental of stand-by power generators following the significant hurricane related demand in the 2017 fourth quarter.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Costs and expenses for the 2018 first quarter increased 171% compared with the 2017 first quarter. Costs of sales and operating expenses for the 2018 first quarter increased 173% compared with the 2017 first quarter, reflecting the acquisition of S&amp;S on September 13, 2017, as well as increased demand for the remanufacture of pressure pumping units and transmission overhauls, improvement in the manufacturing of oilfield service equipment, including pressure pumping units, and an increase in demand for the sale and distribution of engines, transmissions and related parts in the oil and gas market.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Selling, general and administrative expenses for the 2018 first quarter increased 140% compared with the 2017 first quarter, primarily due to the S&amp;S acquisition, as well as increased activity in the oil and gas market. The 2018 first quarter included a $171,000 severance charge associated with the integration of S&amp;S into the Company and $1,168,000 of non-cash expenses related to the amendment of the employee stock award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Services Operating Income and Operating Margins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income for the distribution and services segment for the 2018 first quarter increased 170% compared with the 2017 first quarter. The operating margin for the 2018 first quarter was 9.2% compared with 9.3% for the 2017 first quarter. The results primarily reflected the earnings contribution of S&amp;S and continued strong demand for the remanufacture of pressure pumping units and transmission overhauls, the manufacturing of oilfield service equipment, and the sale of new transmissions and related parts.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General Corporate Expenses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corporate expenses for the 2018 first quarter were $4,323,000 compared with $3,528,000 for the first quarter of 2017. The 22% increase was primarily due to the corporate portion of the amendment of the employee stock award plan of $392,000.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Assets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reported a net gain on disposition of assets of $1,898,000 for the 2018 first quarter compared with a net gain of $99,000 for the 2017 first quarter. The net gains were predominantly from the sale or retirement of marine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other income (expense), noncontrolling interests and interest expense for the three months ended March 31, 2018 compared with the three months ended March 31, 2017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8"/>
              </w:rPr>
              <w:t>Three months ended</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Pr>
          <w:p>
            <w:pPr>
              <w:spacing w:after="0"/>
              <w:rPr>
                <w:sz w:val="19"/>
                <w:szCs w:val="19"/>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Due to the Company’s adoption of ASU 2017-07 on January 1, 2018, other income for the 2018 first quarter includes income of $1,112,000 for all components of net benefit costs except the service cost component related to the Company’s defined benefit plans. The standard was applied retrospectively resulting in a reclassification of $473,000 in the 2017 first quarter from operating expense to non-operating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expense for the 2018 first quarter increased 119% compared with the 2017 first quarter primarily due to borrowings to finance the cash portion of the S&amp;S acquisition in September 2017 and Higman acquisition in February 2018. During the 2018 and 2017 first quarters, the average debt and average interest rate (excluding capitalized interest) were $1,266,421,000 and 3.1%, and $706,110,000 and 2.9%, respectively. Interest expense excludes capitalized interest of $198,000 and $614,000 for the three months ended March 31, 2018 and 2017,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assets as of March 31, 2018 were $5,714,500,000 compared with $5,127,427,000 as of December 31, 2017. The following table sets forth the significant components of the balance sheet as of March 31, 2018 compared with December 31, 2017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assets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957,082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3,443,868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2,959,265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935,755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935,135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Other intangibles, net</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228,015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232,808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43,137</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5,714,500</w:t>
            </w:r>
          </w:p>
        </w:tc>
        <w:tc>
          <w:tcPr>
            <w:tcW w:w="22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5,127,427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531,158</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480,306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 – less current portion</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1,423,267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992,403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517,421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468,451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100,786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72,044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Total equity</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3,141,868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3,114,223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5,714,500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5,127,427</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jc w:val="both"/>
        <w:ind w:firstLine="648"/>
        <w:spacing w:after="0" w:line="273" w:lineRule="auto"/>
        <w:rPr>
          <w:sz w:val="20"/>
          <w:szCs w:val="20"/>
          <w:color w:val="auto"/>
        </w:rPr>
      </w:pPr>
      <w:r>
        <w:rPr>
          <w:rFonts w:ascii="Arial" w:cs="Arial" w:eastAsia="Arial" w:hAnsi="Arial"/>
          <w:sz w:val="17"/>
          <w:szCs w:val="17"/>
          <w:color w:val="auto"/>
        </w:rPr>
        <w:t>Current assets as of March 31, 2018 increased 11% compared with December 31, 2017. Trade accounts receivable increased 7%, primarily reflecting the increase in business activity levels in the distribution and services oil and gas market, partially offset by decreased business activity levels in the coastal marine transportation market. Inventories, net increased 18%, primarily reflecting higher inventories in the distribution and services oil and gas market due to the adoption of ASU 2014-09 and increased inventories to meet current business activity levels. Prepaid expenses and other current assets increased 29% primarily due to a building acquired with the Higman acquisition valued at $18,995,000 being reclassified to assets held for sale, partially offset by the sale of marine vessels in the 2018 first quarter that were classified as assets held for sale in the 2017 fourth quarter.</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Property and equipment, net of accumulated depreciation, at March 31, 2018 increased 16% compared with December 31, 2017. The increase reflected $46,409,000 of capital expenditures for the first quarter of 2018, more fully described under Capital Expenditures Reflected on the Balance Sheet below, the fair value of the property and equipment acquired in the Higman acquisition of $477,119,000 and the two inland pressure tank barges purchased in March 2018 of $10,400,000, less $49,675,000 of depreciation expense and $7,307,000 of property disposals during the 2018 first quarter.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intangibles, net, as of March 31, 2018 decreased 2% compared with December 31, 2017 due to amortization of $4,794,000.</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assets at March 31, 2018 increased 16% compared with December 31, 2017 primarily due to the addition of deferred major maintenance dry-dock expenditures on ocean-going vessels, net of amortization.</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Current liabilities as of March 31, 2018 increased 11% compared with December 31, 2017. Accounts payable increased 13%, primarily due to increased business activity levels in the distribution and services segment, the acquisition of Higman and higher accrued capital expenditures. Accrued liabilities decreased 7%, primarily from payment during the 2018 first quarter of employee incentive compensation bonuses accrued during 2017, insurance claim payments during the 2018 first quarter, partially offset by a $5,036,000 increase in taxes other than on income, primarily waterway use taxes and property taxes associated with the Higman acquisition. Deferred revenues increased 67%, primarily in the distribution and services segment, reflecting changes in revenue recognition with the adoption of ASU 2014-09.</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Long-term debt, less current portion, as of March 31, 2018 increased 43% compared with December 31, 2017, primarily reflecting the issuance on February 12, 2018 of $500,000,000 of 4.2% senior unsecured notes due March 1, 2028 to fund the acquisition of Higman, partially offset by payments of $64,414,000 on the revolving credit facilities during the 2018 first quarter. Net debt discount and deferred issuance costs were $8,139,000 and $3,442,000 at March 31, 2018 and December 31, 2017, respectively.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Deferred income taxes as of March 31, 2018 increased 10% compared with December 31, 2017, primarily reflecting $43,059,000 of deferred income taxes recorded with the Higman acquisition and the 2018 first quarter deferred tax provision of $8,846,000.</w:t>
      </w:r>
    </w:p>
    <w:p>
      <w:pPr>
        <w:spacing w:after="0" w:line="19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Other long-term liabilities as of March 31, 2018 increased 40% compared with December 31, 2017. The increase was primarily due to pension plan liability assumed with the Higman acquisition of $36,016,000, partially offset by a $6,717,000 contribution to the Higman pension plan during the 2018 first quarter.</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equity as of March 31, 2018 increased 1% compared with December 31, 2017. The increase was primarily the result of $32,471,000 of net earnings attributable to Kirby for the first quarter of 2018, an increase in additional paid-in capital of $7,240,000, primarily due to the employee stock award plan amendment which resulted in shorter expense accrual periods on stock options and RSUs granted after February 19, 2018 to employees who are nearing retirement and meet certain years of service and age requirements, a $3,344,000 increase in treasury stock and a $9,722,000 decrease in the opening balance of retained earnings with the adoption of ASU 2014-09.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Long-Term Financing</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February 12, 2018, the Company issued $500,000,000 of 2028 Notes with U.S. Bank National Association, as trustee. Interest payments of $10,500,000 are due semi-annually on March 1 and September 1 of each year, with the exception of the first payment on September 1, 2018, which will be $11,550,000. The Company received cash proceeds of $495,044,000, net of the original issue discount of $705,000 and debt issuance costs of $4,251,000.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 The Company used the proceeds from the issuance of the 2028 Notes to fund the acquisition of Higman. The remaining net proceeds of the sale of the 2028 Notes were used for the repayment of indebtedness on the Company’s bank credit facilities. As of March 31, 2018, the Company was in compliance with all the 2028 Notes covenants and had $500,000,000 outstanding under the 2028 Notes.</w:t>
      </w:r>
    </w:p>
    <w:p>
      <w:pPr>
        <w:spacing w:after="0" w:line="2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has an $850,000,000 unsecured revolving credit facility (“Revolving Credit Facility”) with a syndicate of banks, with JPMorgan Chase Bank, N.A. as the administrative agent bank, with a maturity date of June 26, 2022. In addition, the credit agreement allows for a $300,000,000 increase in the aggregate commitments of the banks in the form of revolving credit loans or term loans, subject to the consent of each bank that elects to participate in the increased commitment. The variable interest rate spread varies with the Company’s senior debt rating and, effective February 20, 2018, due to a change in one of the Company’s credit ratings, the spread over LIBOR increased from 1.00% to 1.125% and the Alternate Base Rate spread is currently.125% over the agent bank’s prime rate. The commitment fee increased as well from 0.10% to 0.15%. The Revolving Credit Facility contains certain restrictive financial covenants including an interest coverage ratio and a debt-to-capitalization ratio. In addition to financial covenants, the Revolving Credit Facility contains covenants that, subject to exceptions, restrict debt incurrence, mergers and acquisitions, sales of assets, dividends and investments, liquidations and dissolutions, capital leases, transactions with affiliates and changes in lines of business. Borrowings under the Revolving Credit Facility may be used for general corporate purposes, the purchase of existing or new equipment, the purchase of the Company’s common stock, or for business acquisitions. As of March 31, 2018, the Company was in compliance with all Revolving Credit Facility covenants and had $423,085,000 of debt outstanding under the Revolving Credit Facility. The Revolving Credit Facility includes a $25,000,000 commitment which may be used for standby letters of credit. Outstanding letters of credit under the Revolving Credit Facility were $8,068,000 as of March 31, 2018.</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$500,000,000 of unsecured senior notes (“Senior Notes Series A” and “Senior Notes Series B”) with a group of institutional investors, consisting of $150,000,000 of 2.72% Senior Notes Series A due February 27, 2020 and $350,000,000 of 3.29% Senior Notes Series B due February 27, 2023. No principal payments are required until maturity. The Senior Notes Series A and Series B contain certain covenants on the part of the Company, including an interest coverage covenant, a debt-to-capitalization covenant and covenants relating to liens, asset sales and mergers, among others. The Senior Notes Series A and Series B also specify certain events of default, upon the occurrence of which the maturity of the notes may be accelerated, including failure to pay principal and interest, violation of covenants or default on other indebtedness, among others. As of March 31, 2018, the Company was in compliance with all Senior Notes Series A and Series B covenants and had $150,000,000 of Senior Notes Series A outstanding and $350,000,000 of Senior Notes Series B outstanding.</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 $10,000,000 line of credit (“Credit Line”) with Bank of America, N.A. (“Bank of America”) for short-term liquidity needs and letters of credit, with a maturity date of June 30, 2019. The Credit Line allows the Company to borrow at an interest rate agreed to by Bank of America and the Company at the time each borrowing is made or continued. The Company had $8,321,000 of debt outstanding under the Credit Line as of March 31, 2018. Outstanding letters of credit under the Credit Line were $1,146,000 as of March 31, 2018.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Reflected on the Balance Sheet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Capital expenditures for the 2018 first quarter were $46,409,000, including $4,728,000 for inland tank barge and towboat construction, $6,710,000 for progress payments on six 5000 horsepower coastal ATB tugboats, and $34,971,000 primarily for upgrading existing marine equipment and marine transportation and distribution and services facilities.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both"/>
        <w:ind w:right="20" w:firstLine="648"/>
        <w:spacing w:after="0" w:line="342" w:lineRule="auto"/>
        <w:rPr>
          <w:sz w:val="20"/>
          <w:szCs w:val="20"/>
          <w:color w:val="auto"/>
        </w:rPr>
      </w:pPr>
      <w:r>
        <w:rPr>
          <w:rFonts w:ascii="Arial" w:cs="Arial" w:eastAsia="Arial" w:hAnsi="Arial"/>
          <w:sz w:val="16"/>
          <w:szCs w:val="16"/>
          <w:color w:val="auto"/>
        </w:rPr>
        <w:t>Financing of the construction of the inland tank barge and towboats, coastal tugboats, upgrades of existing marine equipment and marine transportation and distribution and services facilities was through operating cash flows and available credit under the Company’s Revolving Credit Facility.</w:t>
      </w:r>
    </w:p>
    <w:p>
      <w:pPr>
        <w:spacing w:after="0" w:line="15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2018 first quarter, the Company took delivery of one new inland tank barge with a capacity of approximately 29,000 barrels, acquired 161 inland tank barges with the Higman acquisition with a total capacity of approximately 4,750,000 barrels, acquired two inland tank barges with a total capacity of approximately 35,000 barrels and retired 12 inland tank barges, reducing its capacity by approximately 179,000 barrels. The net result was an increase of 152 inland tank barges and approximately 4,635,000 barrels of capacity during the first quarter of 2018.</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projects that capital expenditures for 2018 will be in the $200,000,000 to $225,000,000 range. The 2018 construction program will consist of one 30,000 barrel inland tank barge, progress payments on the construction of 15 inland towboats, five of which will be placed in service in 2018 and the remaining ten in 2019 and 2020, and progress payments on the construction of six 5000 horsepower coastal ATB tugboats, three of which will be placed in service in 2018 and three in 2019. Based on current commitments, steel prices and projected delivery schedules, the Company’s 2018 payments on the new inland tank barge and towboats will be approximately $35,000,000 and 2018 progress payments on the construction of the six 5000 horsepower coastal ATB tugboats will be approximately $40,000,000. Approximately $100,000,000 to $120,000,000 is primarily capital upgrades and improvements to existing marine equipment and facilities. The balance of $25,000,000 to $30,000,000 will be for rental fleet growth, new machinery and equipment, and facilities improvements in the distribution and services segment.</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Funding for future capital expenditures is expected to be provided through operating cash flows and available credit under the Company’s Revolving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did not purchase any treasury stock during the 2018 first three months. As of May 3, 2018, the Company had approximately 1,411,000 shares available under its existing repurchase authorization. Historically, treasury stock purchases have been financed through operating cash flows and borrowing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generated net cash provided by operating activities of $18,734,000 for the 2018 first quarter compared with $85,202,000 for the 2017 first quarter. The 2018 and 2017 first quarters experienced a net decrease in cash flows from changes in operating assets and liabilities of $87,926,000 and $8,140,000, respectively. The net decrease for the 2018 first quarter in operating assets and liabilities was primarily due to an increase in trade receivables from strong 2018 first quarter revenues and increased billings in the distribution and services segment and higher inventories in the distribution and services oil and gas market, primarily to support increased business activity levels.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Funds generated from operations are available for acquisitions, capital expenditure projects, common stock repurchases, repayments of borrowings, and for other corporate and operating requirements. In addition to net cash flow provided by operating activities, the Company also had available as of May 3, 2018, $444,358,000 under its Revolving Credit Facility and $8,854,000 available under its Credit Line.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the pricing grid on its Revolving Credit Facility.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jc w:val="both"/>
        <w:ind w:right="20" w:firstLine="648"/>
        <w:spacing w:after="0" w:line="264" w:lineRule="auto"/>
        <w:rPr>
          <w:sz w:val="20"/>
          <w:szCs w:val="20"/>
          <w:color w:val="auto"/>
        </w:rPr>
      </w:pPr>
      <w:r>
        <w:rPr>
          <w:rFonts w:ascii="Arial" w:cs="Arial" w:eastAsia="Arial" w:hAnsi="Arial"/>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Revolving Credit Facility’s commitment is in the amount of $850,000,000 and expires June 26, 2022. As of March 31, 2018, the Company had $418,847,000 available under the Revolving Credit Facility. The Senior Notes Series A and Senior Notes Series B do not mature until February 27, 2020 and February 27, 2023, respectively, and require no prepayments. The 2028 Notes do not mature until March 1, 2028 and require no prepayments.</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numerous factors that may negatively impact the Company’s cash flow in 2018. For a list of significant risks and uncertainties that could impact cash flows, see Note 14, Contingencies, in the financial statements, and Item 1A — Risk Factors and Note 14, Contingencies and Commitments, in the Company’s Annual Report on Form 10-K for the year ended December 31, 2017. Amounts available under the Company’s existing financial arrangements are subject to the Company continuing to meet the covenants of the credit facilities as described in Item 2, Management’s Discussion and Analysis of Financial Condition and Results of Operations under Long-Term Financing.</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$20,348,000 at March 31, 2018, including $9,442,000 in letters of credit and $10,906,000 in performance bonds. All of these instruments have an expiration date within three years. The Company does not believe demand for payment under these instruments is likely and expects no material cash outlays to occur in connection with these instruments.</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last three years, inflation has had a relatively minor effect on the financial results of the Company. The marine transportation segment has long-term contracts which generally contain cost escalation clauses whereby certain costs, including fuel as noted above, can be passed through to its customers. Spot contract rates include the cost of fuel and are subject to market volatility. The repair portion of the distribution and services segment is based on prevailing current market rates.</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10% change in variable interest rates would impact the 2018 interest expense by $715,000 based on balances outstanding at December 31, 2017, and would change the fair value of the Company’s debt by less than 1%.</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management, with the participation of the Chief Executive Officer and the Chief Financial Officer, has evaluated the Company’s disclosure controls and procedures (as defined in Rule 13a-15(e) under the Securities Exchange Act of 1934 (“Exchange Act”)), as of March 31, 2018, as required by Rule 13a-15(b) under the Exchange Act. Based on that evaluation, the Chief Executive Officer and the Chief Financial Officer concluded that, as of March 31, 2018,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 There were no changes in the Company’s internal control over financial reporting during the quarter ended March 31, 2018 that have materially affected, or are reasonably likely to materially affect, the Company’s internal control over financial reporting.</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740" w:type="dxa"/>
            <w:vAlign w:val="bottom"/>
          </w:tcPr>
          <w:p>
            <w:pPr>
              <w:ind w:left="3600"/>
              <w:spacing w:after="0"/>
              <w:rPr>
                <w:sz w:val="20"/>
                <w:szCs w:val="20"/>
                <w:color w:val="auto"/>
              </w:rPr>
            </w:pPr>
            <w:r>
              <w:rPr>
                <w:rFonts w:ascii="Arial" w:cs="Arial" w:eastAsia="Arial" w:hAnsi="Arial"/>
                <w:sz w:val="18"/>
                <w:szCs w:val="18"/>
                <w:b w:val="1"/>
                <w:bCs w:val="1"/>
                <w:color w:val="auto"/>
              </w:rPr>
              <w:t>PART II – OTHER INFORMATION</w:t>
            </w:r>
          </w:p>
        </w:tc>
        <w:tc>
          <w:tcPr>
            <w:tcW w:w="0" w:type="dxa"/>
            <w:vAlign w:val="bottom"/>
          </w:tcPr>
          <w:p>
            <w:pPr>
              <w:spacing w:after="0"/>
              <w:rPr>
                <w:sz w:val="1"/>
                <w:szCs w:val="1"/>
                <w:color w:val="auto"/>
              </w:rPr>
            </w:pPr>
          </w:p>
        </w:tc>
      </w:tr>
      <w:tr>
        <w:trPr>
          <w:trHeight w:val="459"/>
        </w:trPr>
        <w:tc>
          <w:tcPr>
            <w:tcW w:w="68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7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3"/>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7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   2005 Stock and Incentive Plan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3"/>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740" w:type="dxa"/>
            <w:vAlign w:val="bottom"/>
          </w:tcPr>
          <w:p>
            <w:pPr>
              <w:ind w:left="240"/>
              <w:spacing w:after="0" w:line="176" w:lineRule="exact"/>
              <w:rPr>
                <w:sz w:val="20"/>
                <w:szCs w:val="20"/>
                <w:color w:val="auto"/>
              </w:rPr>
            </w:pPr>
            <w:r>
              <w:rPr>
                <w:rFonts w:ascii="Arial" w:cs="Arial" w:eastAsia="Arial" w:hAnsi="Arial"/>
                <w:sz w:val="18"/>
                <w:szCs w:val="18"/>
                <w:color w:val="auto"/>
              </w:rPr>
              <w:t>–   Nonemployee Director Compensation Program</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74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   Certification of Chief Executive Officer Pursuant to Rule 13a-14(a)</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30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740" w:type="dxa"/>
            <w:vAlign w:val="bottom"/>
            <w:tcBorders>
              <w:top w:val="single" w:sz="8" w:color="CCEEFF"/>
            </w:tcBorders>
          </w:tcPr>
          <w:p>
            <w:pPr>
              <w:ind w:left="240"/>
              <w:spacing w:after="0" w:line="176" w:lineRule="exact"/>
              <w:rPr>
                <w:sz w:val="20"/>
                <w:szCs w:val="20"/>
                <w:color w:val="auto"/>
              </w:rPr>
            </w:pPr>
            <w:r>
              <w:rPr>
                <w:rFonts w:ascii="Arial" w:cs="Arial" w:eastAsia="Arial" w:hAnsi="Arial"/>
                <w:sz w:val="18"/>
                <w:szCs w:val="18"/>
                <w:color w:val="auto"/>
              </w:rPr>
              <w:t>–   Certification of Chief Financial Officer Pursuant to Rule 13a-14(a)</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920" w:hanging="912"/>
        <w:spacing w:after="0"/>
        <w:tabs>
          <w:tab w:leader="none" w:pos="920" w:val="left"/>
        </w:tabs>
        <w:numPr>
          <w:ilvl w:val="0"/>
          <w:numId w:val="6"/>
        </w:numPr>
        <w:rPr>
          <w:rFonts w:ascii="Arial" w:cs="Arial" w:eastAsia="Arial" w:hAnsi="Arial"/>
          <w:sz w:val="18"/>
          <w:szCs w:val="18"/>
          <w:u w:val="single" w:color="auto"/>
          <w:color w:val="0000EE"/>
        </w:rPr>
      </w:pPr>
      <w:r>
        <w:rPr>
          <w:rFonts w:ascii="Arial" w:cs="Arial" w:eastAsia="Arial" w:hAnsi="Arial"/>
          <w:sz w:val="18"/>
          <w:szCs w:val="18"/>
          <w:color w:val="auto"/>
        </w:rPr>
        <w:t>–   Certification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028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028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028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These exhibits are furnished herewith. In accordance with Rule 406T of Regulation S-T, these exhibits are not deemed to be filed or part of a</w:t>
      </w:r>
    </w:p>
    <w:p>
      <w:pPr>
        <w:spacing w:after="0" w:line="35" w:lineRule="exact"/>
        <w:rPr>
          <w:sz w:val="20"/>
          <w:szCs w:val="20"/>
          <w:color w:val="auto"/>
        </w:rPr>
      </w:pPr>
    </w:p>
    <w:p>
      <w:pPr>
        <w:ind w:left="500" w:right="20"/>
        <w:spacing w:after="0" w:line="265" w:lineRule="auto"/>
        <w:rPr>
          <w:sz w:val="20"/>
          <w:szCs w:val="20"/>
          <w:color w:val="auto"/>
        </w:rPr>
      </w:pPr>
      <w:r>
        <w:rPr>
          <w:rFonts w:ascii="Arial" w:cs="Arial" w:eastAsia="Arial" w:hAnsi="Arial"/>
          <w:sz w:val="17"/>
          <w:szCs w:val="17"/>
          <w:color w:val="auto"/>
        </w:rPr>
        <w:t>registration statement or prospectus for purposes of Sections 11 or 12 of the Securities Act of 1933, as amended, are not deemed to be filed for purposes of Section 18 of the Securities Exchange Act of 1934, as amended, and otherwise are not subject to liability under those sections.</w:t>
      </w: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KIRBY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14605</wp:posOffset>
            </wp:positionV>
            <wp:extent cx="33445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16"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616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6160"/>
        <w:spacing w:after="0"/>
        <w:rPr>
          <w:sz w:val="20"/>
          <w:szCs w:val="20"/>
          <w:color w:val="auto"/>
        </w:rPr>
      </w:pPr>
      <w:r>
        <w:rPr>
          <w:rFonts w:ascii="Arial" w:cs="Arial" w:eastAsia="Arial" w:hAnsi="Arial"/>
          <w:sz w:val="18"/>
          <w:szCs w:val="18"/>
          <w:i w:val="1"/>
          <w:i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2018</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S</w:t>
      </w:r>
      <w:r>
        <w:rPr>
          <w:rFonts w:ascii="Arial" w:cs="Arial" w:eastAsia="Arial" w:hAnsi="Arial"/>
          <w:sz w:val="12"/>
          <w:szCs w:val="12"/>
          <w:b w:val="1"/>
          <w:bCs w:val="1"/>
          <w:color w:val="auto"/>
        </w:rPr>
        <w:t>TOCK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GENERAL</w:t>
      </w:r>
    </w:p>
    <w:p>
      <w:pPr>
        <w:spacing w:after="0" w:line="2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i w:val="1"/>
          <w:iCs w:val="1"/>
          <w:color w:val="auto"/>
        </w:rPr>
        <w:t>Purpose</w:t>
      </w:r>
      <w:r>
        <w:rPr>
          <w:rFonts w:ascii="Arial" w:cs="Arial" w:eastAsia="Arial" w:hAnsi="Arial"/>
          <w:sz w:val="17"/>
          <w:szCs w:val="17"/>
          <w:color w:val="auto"/>
        </w:rPr>
        <w:t>. The purpose of this Plan is to advance the interests of Kirby Corporation, a Nevada corporation (the “Company”), by providing an additional incentive to attract and retain qualified and competent employees for the Company and its Subsidiaries, upon whose efforts and judgment the success of the Company is largely dependent, through the award of (i) Options to purchase shares of Common Stock (which Options may be Incentive Stock Options or Nonincentive Stock Options); (ii) shares of Restricted Stock; (iii) Restricted Stock Units and (iv) Performance Awards.</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herein, the following terms shall have the meaning indicated:</w:t>
      </w:r>
    </w:p>
    <w:p>
      <w:pPr>
        <w:spacing w:after="0" w:line="279" w:lineRule="exact"/>
        <w:rPr>
          <w:sz w:val="20"/>
          <w:szCs w:val="20"/>
          <w:color w:val="auto"/>
        </w:rPr>
      </w:pPr>
    </w:p>
    <w:p>
      <w:pPr>
        <w:ind w:right="20" w:firstLine="656"/>
        <w:spacing w:after="0" w:line="277" w:lineRule="auto"/>
        <w:tabs>
          <w:tab w:leader="none" w:pos="1631" w:val="left"/>
        </w:tabs>
        <w:numPr>
          <w:ilvl w:val="0"/>
          <w:numId w:val="9"/>
        </w:numPr>
        <w:rPr>
          <w:rFonts w:ascii="Arial" w:cs="Arial" w:eastAsia="Arial" w:hAnsi="Arial"/>
          <w:sz w:val="18"/>
          <w:szCs w:val="18"/>
          <w:color w:val="auto"/>
        </w:rPr>
      </w:pPr>
      <w:r>
        <w:rPr>
          <w:rFonts w:ascii="Arial" w:cs="Arial" w:eastAsia="Arial" w:hAnsi="Arial"/>
          <w:sz w:val="18"/>
          <w:szCs w:val="18"/>
          <w:color w:val="auto"/>
        </w:rPr>
        <w:t>“Award” means a grant under this Plan in the form of Options, Restricted Stock, Restricted Stock Units, Performance Awards or any combination of the foregoing.</w:t>
      </w:r>
    </w:p>
    <w:p>
      <w:pPr>
        <w:spacing w:after="0" w:line="224" w:lineRule="exact"/>
        <w:rPr>
          <w:rFonts w:ascii="Arial" w:cs="Arial" w:eastAsia="Arial" w:hAnsi="Arial"/>
          <w:sz w:val="18"/>
          <w:szCs w:val="18"/>
          <w:color w:val="auto"/>
        </w:rPr>
      </w:pPr>
    </w:p>
    <w:p>
      <w:pPr>
        <w:ind w:left="1520" w:hanging="864"/>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79" w:lineRule="exact"/>
        <w:rPr>
          <w:rFonts w:ascii="Arial" w:cs="Arial" w:eastAsia="Arial" w:hAnsi="Arial"/>
          <w:sz w:val="18"/>
          <w:szCs w:val="18"/>
          <w:color w:val="auto"/>
        </w:rPr>
      </w:pPr>
    </w:p>
    <w:p>
      <w:pPr>
        <w:ind w:left="1500" w:hanging="844"/>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“Cause” means, with respect to any Participant:</w:t>
      </w:r>
    </w:p>
    <w:p>
      <w:pPr>
        <w:spacing w:after="0" w:line="279" w:lineRule="exact"/>
        <w:rPr>
          <w:rFonts w:ascii="Arial" w:cs="Arial" w:eastAsia="Arial" w:hAnsi="Arial"/>
          <w:sz w:val="18"/>
          <w:szCs w:val="18"/>
          <w:color w:val="auto"/>
        </w:rPr>
      </w:pPr>
    </w:p>
    <w:p>
      <w:pPr>
        <w:ind w:left="660" w:firstLine="645"/>
        <w:spacing w:after="0" w:line="277" w:lineRule="auto"/>
        <w:tabs>
          <w:tab w:leader="none" w:pos="2221"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conviction of, or plea of nolo contendere to, any felony or any crime or offense involving theft, fraud, embezzlement, moral turpitude or similar conduct;</w:t>
      </w:r>
    </w:p>
    <w:p>
      <w:pPr>
        <w:spacing w:after="0" w:line="224" w:lineRule="exact"/>
        <w:rPr>
          <w:rFonts w:ascii="Arial" w:cs="Arial" w:eastAsia="Arial" w:hAnsi="Arial"/>
          <w:sz w:val="18"/>
          <w:szCs w:val="18"/>
          <w:color w:val="auto"/>
        </w:rPr>
      </w:pPr>
    </w:p>
    <w:p>
      <w:pPr>
        <w:jc w:val="both"/>
        <w:ind w:left="660" w:firstLine="645"/>
        <w:spacing w:after="0" w:line="264" w:lineRule="auto"/>
        <w:tabs>
          <w:tab w:leader="none" w:pos="2176" w:val="left"/>
        </w:tabs>
        <w:numPr>
          <w:ilvl w:val="1"/>
          <w:numId w:val="9"/>
        </w:numPr>
        <w:rPr>
          <w:rFonts w:ascii="Arial" w:cs="Arial" w:eastAsia="Arial" w:hAnsi="Arial"/>
          <w:sz w:val="18"/>
          <w:szCs w:val="18"/>
          <w:color w:val="auto"/>
        </w:rPr>
      </w:pPr>
      <w:r>
        <w:rPr>
          <w:rFonts w:ascii="Arial" w:cs="Arial" w:eastAsia="Arial" w:hAnsi="Arial"/>
          <w:sz w:val="18"/>
          <w:szCs w:val="18"/>
          <w:color w:val="auto"/>
        </w:rPr>
        <w:t>malfeasance in the performance of the Participant’s duties, which shall mean (A) intentional misuse or diversion of Company assets, (B) theft or embezzlement or (C) fraudulent or willful and material misrepresentations or omissions in any reports or information submitted to the Company or a Subsidiary or any government agency or regulatory authority;</w:t>
      </w:r>
    </w:p>
    <w:p>
      <w:pPr>
        <w:spacing w:after="0" w:line="235" w:lineRule="exact"/>
        <w:rPr>
          <w:rFonts w:ascii="Arial" w:cs="Arial" w:eastAsia="Arial" w:hAnsi="Arial"/>
          <w:sz w:val="18"/>
          <w:szCs w:val="18"/>
          <w:color w:val="auto"/>
        </w:rPr>
      </w:pPr>
    </w:p>
    <w:p>
      <w:pPr>
        <w:jc w:val="both"/>
        <w:ind w:left="660" w:firstLine="645"/>
        <w:spacing w:after="0" w:line="264" w:lineRule="auto"/>
        <w:tabs>
          <w:tab w:leader="none" w:pos="2172" w:val="left"/>
        </w:tabs>
        <w:numPr>
          <w:ilvl w:val="1"/>
          <w:numId w:val="9"/>
        </w:numPr>
        <w:rPr>
          <w:rFonts w:ascii="Arial" w:cs="Arial" w:eastAsia="Arial" w:hAnsi="Arial"/>
          <w:sz w:val="18"/>
          <w:szCs w:val="18"/>
          <w:color w:val="auto"/>
        </w:rPr>
      </w:pPr>
      <w:r>
        <w:rPr>
          <w:rFonts w:ascii="Arial" w:cs="Arial" w:eastAsia="Arial" w:hAnsi="Arial"/>
          <w:sz w:val="18"/>
          <w:szCs w:val="18"/>
          <w:color w:val="auto"/>
        </w:rPr>
        <w:t>material failure to perform the duties of the Participant’s employment (other than as a result of the Participant’s Disability) or material failure to follow or comply with reasonable directives from any other employee of the Company who has direct or indirect supervisory authority over the Participant;</w:t>
      </w:r>
    </w:p>
    <w:p>
      <w:pPr>
        <w:spacing w:after="0" w:line="235" w:lineRule="exact"/>
        <w:rPr>
          <w:rFonts w:ascii="Arial" w:cs="Arial" w:eastAsia="Arial" w:hAnsi="Arial"/>
          <w:sz w:val="18"/>
          <w:szCs w:val="18"/>
          <w:color w:val="auto"/>
        </w:rPr>
      </w:pPr>
    </w:p>
    <w:p>
      <w:pPr>
        <w:ind w:left="2040" w:hanging="735"/>
        <w:spacing w:after="0"/>
        <w:tabs>
          <w:tab w:leader="none" w:pos="2040" w:val="left"/>
        </w:tabs>
        <w:numPr>
          <w:ilvl w:val="1"/>
          <w:numId w:val="9"/>
        </w:numPr>
        <w:rPr>
          <w:rFonts w:ascii="Arial" w:cs="Arial" w:eastAsia="Arial" w:hAnsi="Arial"/>
          <w:sz w:val="16"/>
          <w:szCs w:val="16"/>
          <w:color w:val="auto"/>
        </w:rPr>
      </w:pPr>
      <w:r>
        <w:rPr>
          <w:rFonts w:ascii="Arial" w:cs="Arial" w:eastAsia="Arial" w:hAnsi="Arial"/>
          <w:sz w:val="16"/>
          <w:szCs w:val="16"/>
          <w:color w:val="auto"/>
        </w:rPr>
        <w:t>a material violation of the Company’s Business Ethics Guidelines or any other written policies of the Company applicable to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Participant; or</w:t>
      </w:r>
    </w:p>
    <w:p>
      <w:pPr>
        <w:spacing w:after="0" w:line="264" w:lineRule="exact"/>
        <w:rPr>
          <w:rFonts w:ascii="Arial" w:cs="Arial" w:eastAsia="Arial" w:hAnsi="Arial"/>
          <w:sz w:val="16"/>
          <w:szCs w:val="16"/>
          <w:color w:val="auto"/>
        </w:rPr>
      </w:pPr>
    </w:p>
    <w:p>
      <w:pPr>
        <w:ind w:left="2000" w:hanging="695"/>
        <w:spacing w:after="0"/>
        <w:tabs>
          <w:tab w:leader="none" w:pos="2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material violation of any federal, state or local laws or regulations.</w:t>
      </w:r>
    </w:p>
    <w:p>
      <w:pPr>
        <w:spacing w:after="0" w:line="279" w:lineRule="exact"/>
        <w:rPr>
          <w:rFonts w:ascii="Arial" w:cs="Arial" w:eastAsia="Arial" w:hAnsi="Arial"/>
          <w:sz w:val="18"/>
          <w:szCs w:val="18"/>
          <w:color w:val="auto"/>
        </w:rPr>
      </w:pPr>
    </w:p>
    <w:p>
      <w:pPr>
        <w:ind w:left="1460" w:hanging="804"/>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in Control” means the occurrence of any of the following events: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7" w:name="page38"/>
    <w:bookmarkEnd w:id="37"/>
    <w:p>
      <w:pPr>
        <w:jc w:val="both"/>
        <w:ind w:left="660" w:firstLine="645"/>
        <w:spacing w:after="0" w:line="264" w:lineRule="auto"/>
        <w:tabs>
          <w:tab w:leader="none" w:pos="204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14(d)(2) of the Securities Exchange Act of 1934, as amended) becomes the beneficial owner, directly or indirectly, of voting securities representing thirty percent (30%) or more of the combined voting power of the Company's then outstanding voting securities;</w:t>
      </w:r>
    </w:p>
    <w:p>
      <w:pPr>
        <w:spacing w:after="0" w:line="235" w:lineRule="exact"/>
        <w:rPr>
          <w:rFonts w:ascii="Arial" w:cs="Arial" w:eastAsia="Arial" w:hAnsi="Arial"/>
          <w:sz w:val="18"/>
          <w:szCs w:val="18"/>
          <w:color w:val="auto"/>
        </w:rPr>
      </w:pPr>
    </w:p>
    <w:p>
      <w:pPr>
        <w:ind w:left="2100" w:hanging="795"/>
        <w:spacing w:after="0"/>
        <w:tabs>
          <w:tab w:leader="none" w:pos="21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Board ceases to consist of a majority of Continuing Directors, with the term "Continuing Director” meaning a Director who</w:t>
      </w:r>
    </w:p>
    <w:p>
      <w:pPr>
        <w:spacing w:after="0" w:line="46" w:lineRule="exact"/>
        <w:rPr>
          <w:rFonts w:ascii="Arial" w:cs="Arial" w:eastAsia="Arial" w:hAnsi="Arial"/>
          <w:sz w:val="16"/>
          <w:szCs w:val="16"/>
          <w:color w:val="auto"/>
        </w:rPr>
      </w:pPr>
    </w:p>
    <w:p>
      <w:pPr>
        <w:ind w:left="660" w:hanging="4"/>
        <w:spacing w:after="0" w:line="261" w:lineRule="auto"/>
        <w:tabs>
          <w:tab w:leader="none" w:pos="9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 Director on the effective date of the Plan or (B) is nominated or appointed to serve as a Director by a majority of the then Continuing Directors;</w:t>
      </w:r>
    </w:p>
    <w:p>
      <w:pPr>
        <w:spacing w:after="0" w:line="237" w:lineRule="exact"/>
        <w:rPr>
          <w:rFonts w:ascii="Arial" w:cs="Arial" w:eastAsia="Arial" w:hAnsi="Arial"/>
          <w:sz w:val="18"/>
          <w:szCs w:val="18"/>
          <w:color w:val="auto"/>
        </w:rPr>
      </w:pPr>
    </w:p>
    <w:p>
      <w:pPr>
        <w:jc w:val="both"/>
        <w:ind w:left="660" w:firstLine="645"/>
        <w:spacing w:after="0" w:line="302" w:lineRule="auto"/>
        <w:tabs>
          <w:tab w:leader="none" w:pos="2078" w:val="left"/>
        </w:tabs>
        <w:numPr>
          <w:ilvl w:val="1"/>
          <w:numId w:val="11"/>
        </w:numPr>
        <w:rPr>
          <w:rFonts w:ascii="Arial" w:cs="Arial" w:eastAsia="Arial" w:hAnsi="Arial"/>
          <w:sz w:val="16"/>
          <w:szCs w:val="16"/>
          <w:color w:val="auto"/>
        </w:rPr>
      </w:pPr>
      <w:r>
        <w:rPr>
          <w:rFonts w:ascii="Arial" w:cs="Arial" w:eastAsia="Arial" w:hAnsi="Arial"/>
          <w:sz w:val="16"/>
          <w:szCs w:val="16"/>
          <w:color w:val="auto"/>
        </w:rPr>
        <w:t>(A) Any consolidation or merger of the Company or any Subsidiary that results in the holders of the Company's voting securities immediately prior to the consolidation or merger having (directly or indirectly) less than a majority ownership interest in the outstanding voting securities of the surviving entity immediately after the consolidation or merger, (B) any sale, lease, exchange or other transfer (in one transaction or a series of related transactions) of all or substantially all of the assets of the Company or (C) the liquidation or dissolution of the Company;</w:t>
      </w:r>
    </w:p>
    <w:p>
      <w:pPr>
        <w:spacing w:after="0" w:line="208" w:lineRule="exact"/>
        <w:rPr>
          <w:rFonts w:ascii="Arial" w:cs="Arial" w:eastAsia="Arial" w:hAnsi="Arial"/>
          <w:sz w:val="16"/>
          <w:szCs w:val="16"/>
          <w:color w:val="auto"/>
        </w:rPr>
      </w:pPr>
    </w:p>
    <w:p>
      <w:pPr>
        <w:jc w:val="both"/>
        <w:ind w:left="660" w:firstLine="645"/>
        <w:spacing w:after="0" w:line="259" w:lineRule="auto"/>
        <w:tabs>
          <w:tab w:leader="none" w:pos="2041"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stockholders of the Company accept a share exchange, with the result that stockholders of the Company immediately before such share exchange do not own, immediately following such share exchange, at least a majority of the voting securities of the entity resulting from such share exchange in substantially the same proportion as their ownership of the voting securities outstanding immediately before such share exchange; or</w:t>
      </w:r>
    </w:p>
    <w:p>
      <w:pPr>
        <w:spacing w:after="0" w:line="240" w:lineRule="exact"/>
        <w:rPr>
          <w:rFonts w:ascii="Arial" w:cs="Arial" w:eastAsia="Arial" w:hAnsi="Arial"/>
          <w:sz w:val="18"/>
          <w:szCs w:val="18"/>
          <w:color w:val="auto"/>
        </w:rPr>
      </w:pPr>
    </w:p>
    <w:p>
      <w:pPr>
        <w:ind w:left="660" w:right="20" w:firstLine="645"/>
        <w:spacing w:after="0" w:line="277" w:lineRule="auto"/>
        <w:tabs>
          <w:tab w:leader="none" w:pos="203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tender or exchange offer is made to acquire thirty percent (30%) or more of the voting securities of the Company, other than an offer made by the Company, and shares are acquired pursuant to that offer.</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this definition, the term “voting securities” means equity securities, or securities that are convertible or exchangeable into equity securities, that have the right to vote generally in the election of Directors.</w:t>
      </w:r>
    </w:p>
    <w:p>
      <w:pPr>
        <w:spacing w:after="0" w:line="224" w:lineRule="exact"/>
        <w:rPr>
          <w:sz w:val="20"/>
          <w:szCs w:val="20"/>
          <w:color w:val="auto"/>
        </w:rPr>
      </w:pPr>
    </w:p>
    <w:p>
      <w:pPr>
        <w:ind w:left="1500" w:hanging="844"/>
        <w:spacing w:after="0"/>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279" w:lineRule="exact"/>
        <w:rPr>
          <w:rFonts w:ascii="Arial" w:cs="Arial" w:eastAsia="Arial" w:hAnsi="Arial"/>
          <w:sz w:val="18"/>
          <w:szCs w:val="18"/>
          <w:color w:val="auto"/>
        </w:rPr>
      </w:pPr>
    </w:p>
    <w:p>
      <w:pPr>
        <w:ind w:left="1480" w:hanging="824"/>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“Committee” means the Compensation Committee, if any, appointed by the Board.</w:t>
      </w:r>
    </w:p>
    <w:p>
      <w:pPr>
        <w:spacing w:after="0" w:line="279" w:lineRule="exact"/>
        <w:rPr>
          <w:rFonts w:ascii="Arial" w:cs="Arial" w:eastAsia="Arial" w:hAnsi="Arial"/>
          <w:sz w:val="18"/>
          <w:szCs w:val="18"/>
          <w:color w:val="auto"/>
        </w:rPr>
      </w:pPr>
    </w:p>
    <w:p>
      <w:pPr>
        <w:ind w:firstLine="656"/>
        <w:spacing w:after="0" w:line="277" w:lineRule="auto"/>
        <w:tabs>
          <w:tab w:leader="none" w:pos="14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“Date of Grant” means the date on which the Committee takes formal action to grant an Award to an Eligible Person or such later date as may be specified by the Committee when approving the Award.</w:t>
      </w:r>
    </w:p>
    <w:p>
      <w:pPr>
        <w:spacing w:after="0" w:line="224" w:lineRule="exact"/>
        <w:rPr>
          <w:rFonts w:ascii="Arial" w:cs="Arial" w:eastAsia="Arial" w:hAnsi="Arial"/>
          <w:sz w:val="18"/>
          <w:szCs w:val="18"/>
          <w:color w:val="auto"/>
        </w:rPr>
      </w:pPr>
    </w:p>
    <w:p>
      <w:pPr>
        <w:ind w:left="1460" w:hanging="804"/>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“Director” means a member of the Board.</w:t>
      </w:r>
    </w:p>
    <w:p>
      <w:pPr>
        <w:spacing w:after="0" w:line="279" w:lineRule="exact"/>
        <w:rPr>
          <w:rFonts w:ascii="Arial" w:cs="Arial" w:eastAsia="Arial" w:hAnsi="Arial"/>
          <w:sz w:val="18"/>
          <w:szCs w:val="18"/>
          <w:color w:val="auto"/>
        </w:rPr>
      </w:pPr>
    </w:p>
    <w:p>
      <w:pPr>
        <w:ind w:left="1520" w:hanging="864"/>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“Disability” means mental or physical disability as determined by a medical doctor satisfactory to the Committee.</w:t>
      </w:r>
    </w:p>
    <w:p>
      <w:pPr>
        <w:spacing w:after="0" w:line="279" w:lineRule="exact"/>
        <w:rPr>
          <w:rFonts w:ascii="Arial" w:cs="Arial" w:eastAsia="Arial" w:hAnsi="Arial"/>
          <w:sz w:val="18"/>
          <w:szCs w:val="18"/>
          <w:color w:val="auto"/>
        </w:rPr>
      </w:pPr>
    </w:p>
    <w:p>
      <w:pPr>
        <w:ind w:left="1520" w:hanging="864"/>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“Eligible Person” means an employee of the Company or a Subsidiary.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8" w:name="page39"/>
    <w:bookmarkEnd w:id="38"/>
    <w:p>
      <w:pPr>
        <w:ind w:left="1520" w:hanging="864"/>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from time to time.</w:t>
      </w:r>
    </w:p>
    <w:p>
      <w:pPr>
        <w:spacing w:after="0" w:line="279" w:lineRule="exact"/>
        <w:rPr>
          <w:rFonts w:ascii="Arial" w:cs="Arial" w:eastAsia="Arial" w:hAnsi="Arial"/>
          <w:sz w:val="18"/>
          <w:szCs w:val="18"/>
          <w:color w:val="auto"/>
        </w:rPr>
      </w:pPr>
    </w:p>
    <w:p>
      <w:pPr>
        <w:ind w:firstLine="656"/>
        <w:spacing w:after="0" w:line="277" w:lineRule="auto"/>
        <w:tabs>
          <w:tab w:leader="none" w:pos="16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“Existing Plan” means the 2005 Stock and Incentive Plan as approved by the stockholders of the Company on April 26, 2005 and as amended through February 19, 2018.</w:t>
      </w:r>
    </w:p>
    <w:p>
      <w:pPr>
        <w:spacing w:after="0" w:line="224" w:lineRule="exact"/>
        <w:rPr>
          <w:rFonts w:ascii="Arial" w:cs="Arial" w:eastAsia="Arial" w:hAnsi="Arial"/>
          <w:sz w:val="18"/>
          <w:szCs w:val="18"/>
          <w:color w:val="auto"/>
        </w:rPr>
      </w:pPr>
    </w:p>
    <w:p>
      <w:pPr>
        <w:jc w:val="both"/>
        <w:ind w:firstLine="656"/>
        <w:spacing w:after="0" w:line="264" w:lineRule="auto"/>
        <w:tabs>
          <w:tab w:leader="none" w:pos="15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“Fair Market Value” of a Share means the closing price on the New York Stock Exchange on the day of reference. If the Shares are not listed for trading on the New York Stock Exchange, the Fair Market Value on the date of reference shall be determined by any fair and reasonable means prescribed by the Committee.</w:t>
      </w:r>
    </w:p>
    <w:p>
      <w:pPr>
        <w:spacing w:after="0" w:line="235" w:lineRule="exact"/>
        <w:rPr>
          <w:rFonts w:ascii="Arial" w:cs="Arial" w:eastAsia="Arial" w:hAnsi="Arial"/>
          <w:sz w:val="18"/>
          <w:szCs w:val="18"/>
          <w:color w:val="auto"/>
        </w:rPr>
      </w:pPr>
    </w:p>
    <w:p>
      <w:pPr>
        <w:ind w:left="1460" w:hanging="804"/>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 Reason” means, with respect to any Participant:</w:t>
      </w:r>
    </w:p>
    <w:p>
      <w:pPr>
        <w:spacing w:after="0" w:line="279" w:lineRule="exact"/>
        <w:rPr>
          <w:rFonts w:ascii="Arial" w:cs="Arial" w:eastAsia="Arial" w:hAnsi="Arial"/>
          <w:sz w:val="18"/>
          <w:szCs w:val="18"/>
          <w:color w:val="auto"/>
        </w:rPr>
      </w:pPr>
    </w:p>
    <w:p>
      <w:pPr>
        <w:ind w:left="660" w:firstLine="645"/>
        <w:spacing w:after="0" w:line="277" w:lineRule="auto"/>
        <w:tabs>
          <w:tab w:leader="none" w:pos="209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material adverse change in the Participant’s duties and responsibilities at the Company or a Subsidiary or successor as in effect immediately prior to the Change in Control;</w:t>
      </w:r>
    </w:p>
    <w:p>
      <w:pPr>
        <w:spacing w:after="0" w:line="224" w:lineRule="exact"/>
        <w:rPr>
          <w:rFonts w:ascii="Arial" w:cs="Arial" w:eastAsia="Arial" w:hAnsi="Arial"/>
          <w:sz w:val="18"/>
          <w:szCs w:val="18"/>
          <w:color w:val="auto"/>
        </w:rPr>
      </w:pPr>
    </w:p>
    <w:p>
      <w:pPr>
        <w:ind w:left="660" w:firstLine="645"/>
        <w:spacing w:after="0" w:line="277" w:lineRule="auto"/>
        <w:tabs>
          <w:tab w:leader="none" w:pos="2136"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material reduction in the Participant’s base salary or bonus opportunity compared to the base salary and bonus opportunity in effect immediately prior to the Change in Control; or</w:t>
      </w:r>
    </w:p>
    <w:p>
      <w:pPr>
        <w:spacing w:after="0" w:line="224" w:lineRule="exact"/>
        <w:rPr>
          <w:rFonts w:ascii="Arial" w:cs="Arial" w:eastAsia="Arial" w:hAnsi="Arial"/>
          <w:sz w:val="18"/>
          <w:szCs w:val="18"/>
          <w:color w:val="auto"/>
        </w:rPr>
      </w:pPr>
    </w:p>
    <w:p>
      <w:pPr>
        <w:ind w:left="660" w:firstLine="645"/>
        <w:spacing w:after="0" w:line="277" w:lineRule="auto"/>
        <w:tabs>
          <w:tab w:leader="none" w:pos="2118"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relocation of the Participant’s primary place of work by more than 35 miles from his or her primary place of work immediately prior to the Change in Control.</w:t>
      </w:r>
    </w:p>
    <w:p>
      <w:pPr>
        <w:spacing w:after="0" w:line="224" w:lineRule="exact"/>
        <w:rPr>
          <w:rFonts w:ascii="Arial" w:cs="Arial" w:eastAsia="Arial" w:hAnsi="Arial"/>
          <w:sz w:val="18"/>
          <w:szCs w:val="18"/>
          <w:color w:val="auto"/>
        </w:rPr>
      </w:pPr>
    </w:p>
    <w:p>
      <w:pPr>
        <w:ind w:left="1460" w:hanging="804"/>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“Incentive Stock Option” means an option that is an incentive stock option as defined in Section 422 of the Code.</w:t>
      </w:r>
    </w:p>
    <w:p>
      <w:pPr>
        <w:spacing w:after="0" w:line="279" w:lineRule="exact"/>
        <w:rPr>
          <w:rFonts w:ascii="Arial" w:cs="Arial" w:eastAsia="Arial" w:hAnsi="Arial"/>
          <w:sz w:val="18"/>
          <w:szCs w:val="18"/>
          <w:color w:val="auto"/>
        </w:rPr>
      </w:pPr>
    </w:p>
    <w:p>
      <w:pPr>
        <w:ind w:left="1460" w:hanging="804"/>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“Nonincentive Stock Option” means an option that is not an Incentive Stock Option.</w:t>
      </w:r>
    </w:p>
    <w:p>
      <w:pPr>
        <w:spacing w:after="0" w:line="279" w:lineRule="exact"/>
        <w:rPr>
          <w:rFonts w:ascii="Arial" w:cs="Arial" w:eastAsia="Arial" w:hAnsi="Arial"/>
          <w:sz w:val="18"/>
          <w:szCs w:val="18"/>
          <w:color w:val="auto"/>
        </w:rPr>
      </w:pPr>
    </w:p>
    <w:p>
      <w:pPr>
        <w:ind w:left="1460" w:hanging="804"/>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“Option” means any option granted under this Plan.</w:t>
      </w:r>
    </w:p>
    <w:p>
      <w:pPr>
        <w:spacing w:after="0" w:line="279" w:lineRule="exact"/>
        <w:rPr>
          <w:rFonts w:ascii="Arial" w:cs="Arial" w:eastAsia="Arial" w:hAnsi="Arial"/>
          <w:sz w:val="18"/>
          <w:szCs w:val="18"/>
          <w:color w:val="auto"/>
        </w:rPr>
      </w:pPr>
    </w:p>
    <w:p>
      <w:pPr>
        <w:ind w:firstLine="656"/>
        <w:spacing w:after="0" w:line="277" w:lineRule="auto"/>
        <w:tabs>
          <w:tab w:leader="none" w:pos="15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“Optionee” means a person to whom a stock option is granted under this Plan or any successor to the rights of such person under this Plan by reason of the death of such person.</w:t>
      </w:r>
    </w:p>
    <w:p>
      <w:pPr>
        <w:spacing w:after="0" w:line="224" w:lineRule="exact"/>
        <w:rPr>
          <w:rFonts w:ascii="Arial" w:cs="Arial" w:eastAsia="Arial" w:hAnsi="Arial"/>
          <w:sz w:val="18"/>
          <w:szCs w:val="18"/>
          <w:color w:val="auto"/>
        </w:rPr>
      </w:pPr>
    </w:p>
    <w:p>
      <w:pPr>
        <w:ind w:left="1440" w:hanging="784"/>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“Participant” means a person to whom an Award is granted under the Plan.</w:t>
      </w:r>
    </w:p>
    <w:p>
      <w:pPr>
        <w:spacing w:after="0" w:line="279" w:lineRule="exact"/>
        <w:rPr>
          <w:rFonts w:ascii="Arial" w:cs="Arial" w:eastAsia="Arial" w:hAnsi="Arial"/>
          <w:sz w:val="18"/>
          <w:szCs w:val="18"/>
          <w:color w:val="auto"/>
        </w:rPr>
      </w:pPr>
    </w:p>
    <w:p>
      <w:pPr>
        <w:ind w:left="1480" w:hanging="824"/>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Award” means an Award granted pursuant to Article V.</w:t>
      </w:r>
    </w:p>
    <w:p>
      <w:pPr>
        <w:spacing w:after="0" w:line="279" w:lineRule="exact"/>
        <w:rPr>
          <w:rFonts w:ascii="Arial" w:cs="Arial" w:eastAsia="Arial" w:hAnsi="Arial"/>
          <w:sz w:val="18"/>
          <w:szCs w:val="18"/>
          <w:color w:val="auto"/>
        </w:rPr>
      </w:pPr>
    </w:p>
    <w:p>
      <w:pPr>
        <w:ind w:left="1460" w:hanging="804"/>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Objectives” means the objectives established by the Committee pursuant to Section 5.1(b).</w:t>
      </w:r>
    </w:p>
    <w:p>
      <w:pPr>
        <w:spacing w:after="0" w:line="279" w:lineRule="exact"/>
        <w:rPr>
          <w:rFonts w:ascii="Arial" w:cs="Arial" w:eastAsia="Arial" w:hAnsi="Arial"/>
          <w:sz w:val="18"/>
          <w:szCs w:val="18"/>
          <w:color w:val="auto"/>
        </w:rPr>
      </w:pPr>
    </w:p>
    <w:p>
      <w:pPr>
        <w:ind w:left="1460" w:hanging="804"/>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Period” means the period over which the performance of a holder of a Performance Award is measured.</w:t>
      </w:r>
    </w:p>
    <w:p>
      <w:pPr>
        <w:spacing w:after="0" w:line="279" w:lineRule="exact"/>
        <w:rPr>
          <w:rFonts w:ascii="Arial" w:cs="Arial" w:eastAsia="Arial" w:hAnsi="Arial"/>
          <w:sz w:val="18"/>
          <w:szCs w:val="18"/>
          <w:color w:val="auto"/>
        </w:rPr>
      </w:pPr>
    </w:p>
    <w:p>
      <w:pPr>
        <w:ind w:left="1500" w:hanging="844"/>
        <w:spacing w:after="0"/>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 means this Kirby Corporation 2005 Stock and Incentive Plan.</w:t>
      </w:r>
    </w:p>
    <w:p>
      <w:pPr>
        <w:spacing w:after="0" w:line="279" w:lineRule="exact"/>
        <w:rPr>
          <w:rFonts w:ascii="Arial" w:cs="Arial" w:eastAsia="Arial" w:hAnsi="Arial"/>
          <w:sz w:val="18"/>
          <w:szCs w:val="18"/>
          <w:color w:val="auto"/>
        </w:rPr>
      </w:pPr>
    </w:p>
    <w:p>
      <w:pPr>
        <w:ind w:left="1520" w:hanging="864"/>
        <w:spacing w:after="0"/>
        <w:tabs>
          <w:tab w:leader="none" w:pos="1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“Restricted Stock” means Shares granted under this Plan that are subject to restrictions imposed by the Committee pursuant to Article III.</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9" w:name="page40"/>
    <w:bookmarkEnd w:id="39"/>
    <w:p>
      <w:pPr>
        <w:ind w:left="1460" w:hanging="804"/>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“Restricted Stock Award” means an award of Restricted Stock under this Plan.</w:t>
      </w:r>
    </w:p>
    <w:p>
      <w:pPr>
        <w:spacing w:after="0" w:line="279" w:lineRule="exact"/>
        <w:rPr>
          <w:rFonts w:ascii="Arial" w:cs="Arial" w:eastAsia="Arial" w:hAnsi="Arial"/>
          <w:sz w:val="18"/>
          <w:szCs w:val="18"/>
          <w:color w:val="auto"/>
        </w:rPr>
      </w:pPr>
    </w:p>
    <w:p>
      <w:pPr>
        <w:ind w:left="1580" w:hanging="924"/>
        <w:spacing w:after="0"/>
        <w:tabs>
          <w:tab w:leader="none" w:pos="1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“Restricted Stock Unit” means a restricted stock unit credited to a Participant’s ledger account maintained by the Company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Article IV.</w:t>
      </w:r>
    </w:p>
    <w:p>
      <w:pPr>
        <w:spacing w:after="0" w:line="265" w:lineRule="exact"/>
        <w:rPr>
          <w:sz w:val="20"/>
          <w:szCs w:val="20"/>
          <w:color w:val="auto"/>
        </w:rPr>
      </w:pPr>
    </w:p>
    <w:p>
      <w:pPr>
        <w:ind w:left="1480" w:hanging="824"/>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“Restricted Stock Unit Award” means an award of Restricted Stock Units under this Plan.</w:t>
      </w:r>
    </w:p>
    <w:p>
      <w:pPr>
        <w:spacing w:after="0" w:line="279" w:lineRule="exact"/>
        <w:rPr>
          <w:rFonts w:ascii="Arial" w:cs="Arial" w:eastAsia="Arial" w:hAnsi="Arial"/>
          <w:sz w:val="18"/>
          <w:szCs w:val="18"/>
          <w:color w:val="auto"/>
        </w:rPr>
      </w:pPr>
    </w:p>
    <w:p>
      <w:pPr>
        <w:ind w:right="20" w:firstLine="656"/>
        <w:spacing w:after="0" w:line="277" w:lineRule="auto"/>
        <w:tabs>
          <w:tab w:leader="none" w:pos="14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162(m) Participant” means each Participant who would be a “covered employee” under Section 162(m) of the Code as in effect prior to its amendment on December 22, 2017.</w:t>
      </w:r>
    </w:p>
    <w:p>
      <w:pPr>
        <w:spacing w:after="0" w:line="224" w:lineRule="exact"/>
        <w:rPr>
          <w:rFonts w:ascii="Arial" w:cs="Arial" w:eastAsia="Arial" w:hAnsi="Arial"/>
          <w:sz w:val="18"/>
          <w:szCs w:val="18"/>
          <w:color w:val="auto"/>
        </w:rPr>
      </w:pPr>
    </w:p>
    <w:p>
      <w:pPr>
        <w:ind w:left="1480" w:hanging="824"/>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 means a share of the common stock, par value ten cents ($0.10) per share, of the Company.</w:t>
      </w:r>
    </w:p>
    <w:p>
      <w:pPr>
        <w:spacing w:after="0" w:line="279" w:lineRule="exact"/>
        <w:rPr>
          <w:rFonts w:ascii="Arial" w:cs="Arial" w:eastAsia="Arial" w:hAnsi="Arial"/>
          <w:sz w:val="18"/>
          <w:szCs w:val="18"/>
          <w:color w:val="auto"/>
        </w:rPr>
      </w:pPr>
    </w:p>
    <w:p>
      <w:pPr>
        <w:jc w:val="both"/>
        <w:ind w:firstLine="656"/>
        <w:spacing w:after="0" w:line="264" w:lineRule="auto"/>
        <w:tabs>
          <w:tab w:leader="none" w:pos="14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“Subsidiary” means any corporation (other than the Company) in any unbroken chain of corporations beginning with the Company if each of the corporations other than the last corporation in the unbroken chain owns stock possessing 50% or more of the total combined voting power of all classes of stock in one of the other corporations in the chain.</w:t>
      </w:r>
    </w:p>
    <w:p>
      <w:pPr>
        <w:spacing w:after="0" w:line="23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i w:val="1"/>
          <w:iCs w:val="1"/>
          <w:color w:val="auto"/>
        </w:rPr>
        <w:t>Total Shares and Limitations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93" w:lineRule="auto"/>
        <w:tabs>
          <w:tab w:leader="none" w:pos="152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maximum number of Shares that may be issued under the Plan shall be Five Million (5,000,000) Shares, which may be from Shares held in the Company's treasury or from authorized and unissued Shares. If any Award granted under the Plan shall terminate, expire or be cancelled or surrendered as to any Shares, or the Award is paid in cash in lieu of Shares, the Shares that were subject to such Award shall not count against the above limit and shall again be available for grants under the Plan. Shares equal in number to the Shares withheld in payment of the option price of an Option and Shares that are withheld in order to satisfy federal, state or local tax liability, shall not count against the above limit and shall be available for grants under the Plan. All Share numbers in the Plan reflect the 2-for-1 split of the common stock of the Company effected on May 31, 2006.</w:t>
      </w:r>
    </w:p>
    <w:p>
      <w:pPr>
        <w:spacing w:after="0" w:line="218" w:lineRule="exact"/>
        <w:rPr>
          <w:rFonts w:ascii="Arial" w:cs="Arial" w:eastAsia="Arial" w:hAnsi="Arial"/>
          <w:sz w:val="16"/>
          <w:szCs w:val="16"/>
          <w:color w:val="auto"/>
        </w:rPr>
      </w:pPr>
    </w:p>
    <w:p>
      <w:pPr>
        <w:ind w:left="1480" w:hanging="824"/>
        <w:spacing w:after="0"/>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maximum number of Shares with respect to which Incentive Stock Options may be granted to a Participant during a calendar year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500,000.</w:t>
      </w:r>
    </w:p>
    <w:p>
      <w:pPr>
        <w:spacing w:after="0" w:line="264" w:lineRule="exact"/>
        <w:rPr>
          <w:rFonts w:ascii="Arial" w:cs="Arial" w:eastAsia="Arial" w:hAnsi="Arial"/>
          <w:sz w:val="16"/>
          <w:szCs w:val="16"/>
          <w:color w:val="auto"/>
        </w:rPr>
      </w:pPr>
    </w:p>
    <w:p>
      <w:pPr>
        <w:ind w:left="1460" w:hanging="804"/>
        <w:spacing w:after="0"/>
        <w:tabs>
          <w:tab w:leader="none" w:pos="1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maximum number of Shares with respect to which Options may be granted to a Participant during a calendar year is 500,000.</w:t>
      </w:r>
    </w:p>
    <w:p>
      <w:pPr>
        <w:spacing w:after="0" w:line="290" w:lineRule="exact"/>
        <w:rPr>
          <w:rFonts w:ascii="Arial" w:cs="Arial" w:eastAsia="Arial" w:hAnsi="Arial"/>
          <w:sz w:val="17"/>
          <w:szCs w:val="17"/>
          <w:color w:val="auto"/>
        </w:rPr>
      </w:pPr>
    </w:p>
    <w:p>
      <w:pPr>
        <w:ind w:left="1540" w:hanging="884"/>
        <w:spacing w:after="0"/>
        <w:tabs>
          <w:tab w:leader="none" w:pos="1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maximum number of Shares that may be issued to any Participant pursuant to any Performance Award during the term of the Plan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be 400,000.</w:t>
      </w:r>
    </w:p>
    <w:p>
      <w:pPr>
        <w:spacing w:after="0" w:line="264" w:lineRule="exact"/>
        <w:rPr>
          <w:rFonts w:ascii="Arial" w:cs="Arial" w:eastAsia="Arial" w:hAnsi="Arial"/>
          <w:sz w:val="16"/>
          <w:szCs w:val="16"/>
          <w:color w:val="auto"/>
        </w:rPr>
      </w:pPr>
    </w:p>
    <w:p>
      <w:pPr>
        <w:ind w:left="1500" w:hanging="844"/>
        <w:spacing w:after="0"/>
        <w:tabs>
          <w:tab w:leader="none" w:pos="1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maximum amount of cash that may be paid to any Participant pursuant to any Performance Award during any calendar year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$5,000,000.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0" w:name="page41"/>
    <w:bookmarkEnd w:id="40"/>
    <w:p>
      <w:pPr>
        <w:ind w:left="660"/>
        <w:spacing w:after="0"/>
        <w:tabs>
          <w:tab w:leader="none" w:pos="204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i w:val="1"/>
          <w:iCs w:val="1"/>
          <w:color w:val="auto"/>
        </w:rPr>
        <w:t>Awards Under the Plan</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64" w:lineRule="auto"/>
        <w:tabs>
          <w:tab w:leader="none" w:pos="15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Only Eligible Persons may receive awards under the Plan. Awards to Eligible Persons may be in the form of (i) Options; (ii) shares of Restricted Stock; (iii) Performance Awards; or (iv) any combination of the foregoing. No Award shall confer on any person any right to continue as an employee of the Company or any Subsidiary.</w:t>
      </w:r>
    </w:p>
    <w:p>
      <w:pPr>
        <w:spacing w:after="0" w:line="235" w:lineRule="exact"/>
        <w:rPr>
          <w:rFonts w:ascii="Arial" w:cs="Arial" w:eastAsia="Arial" w:hAnsi="Arial"/>
          <w:sz w:val="18"/>
          <w:szCs w:val="18"/>
          <w:color w:val="auto"/>
        </w:rPr>
      </w:pPr>
    </w:p>
    <w:p>
      <w:pPr>
        <w:ind w:firstLine="656"/>
        <w:spacing w:after="0" w:line="277" w:lineRule="auto"/>
        <w:tabs>
          <w:tab w:leader="none" w:pos="16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Award may be evidenced by an agreement containing any terms deemed necessary or desirable by the Committee that are not inconsistent with the Plan or applicable law.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OPTIONS</w:t>
      </w:r>
    </w:p>
    <w:p>
      <w:pPr>
        <w:spacing w:after="0" w:line="2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i w:val="1"/>
          <w:iCs w:val="1"/>
          <w:color w:val="auto"/>
        </w:rPr>
        <w:t>Grant of Options</w:t>
      </w:r>
      <w:r>
        <w:rPr>
          <w:rFonts w:ascii="Arial" w:cs="Arial" w:eastAsia="Arial" w:hAnsi="Arial"/>
          <w:sz w:val="17"/>
          <w:szCs w:val="17"/>
          <w:color w:val="auto"/>
        </w:rPr>
        <w:t>. The Committee may from time to time grant Options to Eligible Persons. Options may be Incentive Stock Options or Nonincentive Stock Options as designated by the Committee on or before the Date of Grant. If no such designation is made by the Committee for an Option, the Option shall be a Nonincentive Stock Option. The aggregate Fair Market Value (determined as of the Date of Grant) of the Shares with respect to which Incentive Stock Options are exercisable for the first time by an Optionee during any calendar year under the Plan and all such plans of the Company and any parent or Subsidiary of the Company (as defined in Section 424 of the Code) shall not exceed $100,000.</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for any Option shall be determined by the Committee, but shall not be less than the Fair Market Value on the Date of Grant and shall not be less than 110% of the Fair Market Value on the Date of Grant for any Incentive Stock Option if the Optionee is a person who owns directly or indirectly (within the meaning of Section 422(b)(6) of the Code) stock possessing more than 10% of the total combined voting power of all classes of stock of the Company.</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Term of Option</w:t>
      </w:r>
      <w:r>
        <w:rPr>
          <w:rFonts w:ascii="Arial" w:cs="Arial" w:eastAsia="Arial" w:hAnsi="Arial"/>
          <w:sz w:val="18"/>
          <w:szCs w:val="18"/>
          <w:color w:val="auto"/>
        </w:rPr>
        <w:t>. The term of an Option shall be determined by the Committee, provided that, in the case of an Incentive Stock Option, if the grant is to a person who owns directly or indirectly (within the meaning of Section 422(b)(6) of the Code) stock possessing more than 10% of the total combined voting power of all classes of stock of the Company, the term of the Option shall not exceed five years from the Date of Grant. Notwithstanding any other provision of this Plan, no Option shall be exercised after the expiration of its term.</w:t>
      </w:r>
    </w:p>
    <w:p>
      <w:pPr>
        <w:spacing w:after="0" w:line="2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i w:val="1"/>
          <w:iCs w:val="1"/>
          <w:color w:val="auto"/>
        </w:rPr>
        <w:t>Vesting</w:t>
      </w:r>
      <w:r>
        <w:rPr>
          <w:rFonts w:ascii="Arial" w:cs="Arial" w:eastAsia="Arial" w:hAnsi="Arial"/>
          <w:sz w:val="17"/>
          <w:szCs w:val="17"/>
          <w:color w:val="auto"/>
        </w:rPr>
        <w:t>. Options shall become exercisable (or “vest”) as provided in Section 2.6, if applicable, or otherwise at such times and subject to such terms and conditions as the Committee shall specify. The Committee shall have discretion at any time to accelerate such times and otherwise waive or amend any conditions in respect of all or any portion of any Options. Notwithstanding the other provisions of this Section 2.4 and unless otherwise provided in the Option Award, in the event that an Optionee’s employment is terminated without Cause by the Company, a Subsidiary or successor entity, or is terminated by the Optionee for Good Reason, in either case in connection with or within 18 months after a Change in Control, all Options held by the Optionee immediately prior to such termination shall become immediately exercisable.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1" w:name="page42"/>
    <w:bookmarkEnd w:id="41"/>
    <w:p>
      <w:pPr>
        <w:ind w:left="660"/>
        <w:spacing w:after="0"/>
        <w:tabs>
          <w:tab w:leader="none" w:pos="20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i w:val="1"/>
          <w:iCs w:val="1"/>
          <w:color w:val="auto"/>
        </w:rPr>
        <w:t>Termination of Options</w:t>
      </w:r>
      <w:r>
        <w:rPr>
          <w:rFonts w:ascii="Arial" w:cs="Arial" w:eastAsia="Arial" w:hAnsi="Arial"/>
          <w:sz w:val="16"/>
          <w:szCs w:val="16"/>
          <w:color w:val="auto"/>
        </w:rPr>
        <w:t>.</w:t>
      </w:r>
    </w:p>
    <w:p>
      <w:pPr>
        <w:spacing w:after="0" w:line="279" w:lineRule="exact"/>
        <w:rPr>
          <w:sz w:val="20"/>
          <w:szCs w:val="20"/>
          <w:color w:val="auto"/>
        </w:rPr>
      </w:pPr>
    </w:p>
    <w:p>
      <w:pPr>
        <w:ind w:firstLine="656"/>
        <w:spacing w:after="0" w:line="277" w:lineRule="auto"/>
        <w:tabs>
          <w:tab w:leader="none" w:pos="14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otherwise provided in the Plan or the Option Award, the portion of an Option that is exercisable shall automatically and without notice terminate upon the earliest to occur of the following:</w:t>
      </w:r>
    </w:p>
    <w:p>
      <w:pPr>
        <w:spacing w:after="0" w:line="224" w:lineRule="exact"/>
        <w:rPr>
          <w:rFonts w:ascii="Arial" w:cs="Arial" w:eastAsia="Arial" w:hAnsi="Arial"/>
          <w:sz w:val="18"/>
          <w:szCs w:val="18"/>
          <w:color w:val="auto"/>
        </w:rPr>
      </w:pPr>
    </w:p>
    <w:p>
      <w:pPr>
        <w:ind w:left="660" w:firstLine="645"/>
        <w:spacing w:after="0" w:line="277" w:lineRule="auto"/>
        <w:tabs>
          <w:tab w:leader="none" w:pos="20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thirty (30) days after the date on which the Optionee ceases to be an Employee for any reason other than (x) death, (y) Disability or (z) termination for Cause;</w:t>
      </w:r>
    </w:p>
    <w:p>
      <w:pPr>
        <w:spacing w:after="0" w:line="224" w:lineRule="exact"/>
        <w:rPr>
          <w:rFonts w:ascii="Arial" w:cs="Arial" w:eastAsia="Arial" w:hAnsi="Arial"/>
          <w:sz w:val="18"/>
          <w:szCs w:val="18"/>
          <w:color w:val="auto"/>
        </w:rPr>
      </w:pPr>
    </w:p>
    <w:p>
      <w:pPr>
        <w:ind w:left="2020" w:hanging="715"/>
        <w:spacing w:after="0"/>
        <w:tabs>
          <w:tab w:leader="none" w:pos="2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one (1) year after the date on which the Optionee ceases to be an Employee as a result of a Disability;</w:t>
      </w:r>
    </w:p>
    <w:p>
      <w:pPr>
        <w:spacing w:after="0" w:line="279" w:lineRule="exact"/>
        <w:rPr>
          <w:rFonts w:ascii="Arial" w:cs="Arial" w:eastAsia="Arial" w:hAnsi="Arial"/>
          <w:sz w:val="18"/>
          <w:szCs w:val="18"/>
          <w:color w:val="auto"/>
        </w:rPr>
      </w:pPr>
    </w:p>
    <w:p>
      <w:pPr>
        <w:ind w:left="660" w:firstLine="645"/>
        <w:spacing w:after="0" w:line="277" w:lineRule="auto"/>
        <w:tabs>
          <w:tab w:leader="none" w:pos="2091" w:val="left"/>
        </w:tabs>
        <w:numPr>
          <w:ilvl w:val="1"/>
          <w:numId w:val="18"/>
        </w:numPr>
        <w:rPr>
          <w:rFonts w:ascii="Arial" w:cs="Arial" w:eastAsia="Arial" w:hAnsi="Arial"/>
          <w:sz w:val="18"/>
          <w:szCs w:val="18"/>
          <w:color w:val="auto"/>
        </w:rPr>
      </w:pPr>
      <w:r>
        <w:rPr>
          <w:rFonts w:ascii="Arial" w:cs="Arial" w:eastAsia="Arial" w:hAnsi="Arial"/>
          <w:sz w:val="18"/>
          <w:szCs w:val="18"/>
          <w:color w:val="auto"/>
        </w:rPr>
        <w:t>either (y) one (1) year after the death of the Optionee or (z) six (6) months after the death of the Optionee if the Optionee dies during the 30-day period described in Section 2.5(a)(i) or the one-year period described in Section 2.5(a)(ii);</w:t>
      </w:r>
    </w:p>
    <w:p>
      <w:pPr>
        <w:spacing w:after="0" w:line="224" w:lineRule="exact"/>
        <w:rPr>
          <w:rFonts w:ascii="Arial" w:cs="Arial" w:eastAsia="Arial" w:hAnsi="Arial"/>
          <w:sz w:val="18"/>
          <w:szCs w:val="18"/>
          <w:color w:val="auto"/>
        </w:rPr>
      </w:pPr>
    </w:p>
    <w:p>
      <w:pPr>
        <w:ind w:left="2000" w:hanging="695"/>
        <w:spacing w:after="0"/>
        <w:tabs>
          <w:tab w:leader="none" w:pos="2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date on which the Optionee ceases to be an Employee as a result of a termination for Cause; and</w:t>
      </w:r>
    </w:p>
    <w:p>
      <w:pPr>
        <w:spacing w:after="0" w:line="279" w:lineRule="exact"/>
        <w:rPr>
          <w:rFonts w:ascii="Arial" w:cs="Arial" w:eastAsia="Arial" w:hAnsi="Arial"/>
          <w:sz w:val="18"/>
          <w:szCs w:val="18"/>
          <w:color w:val="auto"/>
        </w:rPr>
      </w:pPr>
    </w:p>
    <w:p>
      <w:pPr>
        <w:ind w:left="2000" w:hanging="695"/>
        <w:spacing w:after="0"/>
        <w:tabs>
          <w:tab w:leader="none" w:pos="2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tenth anniversary of the Date of Grant of the Option.</w:t>
      </w:r>
    </w:p>
    <w:p>
      <w:pPr>
        <w:spacing w:after="0" w:line="279" w:lineRule="exact"/>
        <w:rPr>
          <w:rFonts w:ascii="Arial" w:cs="Arial" w:eastAsia="Arial" w:hAnsi="Arial"/>
          <w:sz w:val="18"/>
          <w:szCs w:val="18"/>
          <w:color w:val="auto"/>
        </w:rPr>
      </w:pPr>
    </w:p>
    <w:p>
      <w:pPr>
        <w:ind w:right="20" w:firstLine="656"/>
        <w:spacing w:after="0" w:line="277" w:lineRule="auto"/>
        <w:tabs>
          <w:tab w:leader="none" w:pos="147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provided in Section 2.4, the portion of an Option that is not exercisable shall automatically and without notice terminate on the date on which the Optionee ceases to be an Employee for any reason.</w:t>
      </w:r>
    </w:p>
    <w:p>
      <w:pPr>
        <w:spacing w:after="0" w:line="224" w:lineRule="exact"/>
        <w:rPr>
          <w:rFonts w:ascii="Arial" w:cs="Arial" w:eastAsia="Arial" w:hAnsi="Arial"/>
          <w:sz w:val="18"/>
          <w:szCs w:val="18"/>
          <w:color w:val="auto"/>
        </w:rPr>
      </w:pPr>
    </w:p>
    <w:p>
      <w:pPr>
        <w:ind w:right="20" w:firstLine="656"/>
        <w:spacing w:after="0" w:line="277" w:lineRule="auto"/>
        <w:tabs>
          <w:tab w:leader="none" w:pos="14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Committee shall have discretion at any time to extend the term of any Nonincentive Stock Option to any date that is not later than the date described in Section 2.5(a)(v).</w:t>
      </w:r>
    </w:p>
    <w:p>
      <w:pPr>
        <w:spacing w:after="0" w:line="2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i w:val="1"/>
          <w:iCs w:val="1"/>
          <w:color w:val="auto"/>
        </w:rPr>
        <w:t>Retirement Credits</w:t>
      </w:r>
      <w:r>
        <w:rPr>
          <w:rFonts w:ascii="Arial" w:cs="Arial" w:eastAsia="Arial" w:hAnsi="Arial"/>
          <w:sz w:val="17"/>
          <w:szCs w:val="17"/>
          <w:color w:val="auto"/>
        </w:rPr>
        <w:t>. Unless otherwise provided in an Option Award, if an Optionee retires as an employee of the Company or a Subsidiary with 80 or more Retirement Credits, unvested Options held by the Optionee that were granted after February 19, 2018 shall continue to vest after retirement on the schedule specified in the Option Award and all vested but unexercised Options held by the Optionee and all Options that vest after retirement pursuant to this Section 2.6 will terminate upon the earlier of (a) the expiration of the term specified in the Option Award or (b) the tenth anniversary of the Date of Grant; provided that, if the Optionee takes any action or engages in any activity that is detrimental to the Company, all vested but unexercised Options and all unvested Options held by the Optionee will automatically terminate and the Optionee shall cease to have any rights with respect to such Options. The number of Retirement Credits the Optionee has shall equal the sum of (i) the Optionee’s age in whole years plus (ii) the Optionee’s whole years of employment with the Company or a Subsidiary, in both cases determined as of the date of retirement. In the event of the death of the Optionee after retirement, any unvested portion of an Option that is subject to vesting pursuant to this Section 2.6 shall continue to vest on the schedule specified in the Option Award and will terminate upon the earlier of (x) the expiration of the term specified in the Option Award or (y) the tenth anniversary of the Date of Grant.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2" w:name="page43"/>
    <w:bookmarkEnd w:id="42"/>
    <w:p>
      <w:pPr>
        <w:jc w:val="both"/>
        <w:ind w:firstLine="648"/>
        <w:spacing w:after="0" w:line="270"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i w:val="1"/>
          <w:iCs w:val="1"/>
          <w:color w:val="auto"/>
        </w:rPr>
        <w:t>Exercise of Options</w:t>
      </w:r>
      <w:r>
        <w:rPr>
          <w:rFonts w:ascii="Arial" w:cs="Arial" w:eastAsia="Arial" w:hAnsi="Arial"/>
          <w:sz w:val="17"/>
          <w:szCs w:val="17"/>
          <w:color w:val="auto"/>
        </w:rPr>
        <w:t>. An Option may be exercised in whole or in part to the extent exercisable in accordance with the Plan. An Option shall be deemed exercised when (i) the Company has received written notice of such exercise signed by the person or persons entitled to exercise the Option and, if the Option is being exercised by any person or persons other than the Optionee, accompanied by proof, satisfactory to the Company, of the right of such person or persons to exercise the Option and (ii) full payment of the aggregate exercise price of the Shares as to which the Option is exercised has been made. Unless further limited by the Committee for any Option, the exercise price of any Shares purchased shall be paid solely in cash, by certified or cashier's check, by money order, by personal check, by withholding Shares from an Award or with Shares owned by the Optionee for at least six months, or by a combination of the foregoing. If the exercise price is paid in whole or in part with Shares, the value of the Shares withheld shall be their Fair Market Value on the date received by the Company. An Optionee may elect to have Shares withheld to satisfy federal or state income tax withholding requirements applicable upon the exercise of an Option.</w:t>
      </w:r>
    </w:p>
    <w:p>
      <w:pPr>
        <w:spacing w:after="0" w:line="23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i w:val="1"/>
          <w:iCs w:val="1"/>
          <w:color w:val="auto"/>
        </w:rPr>
        <w:t>Restrictions on Exercise.</w:t>
      </w:r>
    </w:p>
    <w:p>
      <w:pPr>
        <w:spacing w:after="0" w:line="279" w:lineRule="exact"/>
        <w:rPr>
          <w:sz w:val="20"/>
          <w:szCs w:val="20"/>
          <w:color w:val="auto"/>
        </w:rPr>
      </w:pPr>
    </w:p>
    <w:p>
      <w:pPr>
        <w:jc w:val="both"/>
        <w:ind w:left="660" w:firstLine="645"/>
        <w:spacing w:after="0" w:line="286" w:lineRule="auto"/>
        <w:tabs>
          <w:tab w:leader="none" w:pos="2099"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Option may not be exercised if the issuance of the Shares upon such exercise would constitute a violation of any applicable federal or state securities or other law or valid regulation. As a condition to the exercise of the Option, the Company may require the person exercising the Option to make any agreements and undertakings that may be required by any applicable law or regulation.</w:t>
      </w:r>
    </w:p>
    <w:p>
      <w:pPr>
        <w:spacing w:after="0" w:line="219" w:lineRule="exact"/>
        <w:rPr>
          <w:rFonts w:ascii="Arial" w:cs="Arial" w:eastAsia="Arial" w:hAnsi="Arial"/>
          <w:sz w:val="17"/>
          <w:szCs w:val="17"/>
          <w:color w:val="auto"/>
        </w:rPr>
      </w:pPr>
    </w:p>
    <w:p>
      <w:pPr>
        <w:jc w:val="both"/>
        <w:ind w:left="660" w:firstLine="645"/>
        <w:spacing w:after="0" w:line="312" w:lineRule="auto"/>
        <w:tabs>
          <w:tab w:leader="none" w:pos="21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Shares issued upon the exercise of an Option without registration of such Shares under the Securities Act of 1933, as amended (the “Act”), shall be restricted securities subject to the terms of Rule 144 under the Act. The certificates representing any such Shares shall bear an appropriate legend restricting transfer and the transfer agent of the Company shall be given stop transfer instructions with respect to such Shares.</w:t>
      </w:r>
    </w:p>
    <w:p>
      <w:pPr>
        <w:spacing w:after="0" w:line="20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i w:val="1"/>
          <w:iCs w:val="1"/>
          <w:color w:val="auto"/>
        </w:rPr>
        <w:t>Nontransferability of Option</w:t>
      </w:r>
      <w:r>
        <w:rPr>
          <w:rFonts w:ascii="Arial" w:cs="Arial" w:eastAsia="Arial" w:hAnsi="Arial"/>
          <w:sz w:val="17"/>
          <w:szCs w:val="17"/>
          <w:color w:val="auto"/>
        </w:rPr>
        <w:t>. An Option may not be transferred by the Optionee otherwise than by will or the laws of descent and distribution and so long as the Optionee lives, only the Optionee or the Optionee’s guardian or legal representative shall have the right to exercise the Option. The terms of an Option shall be binding upon the executors, administrators, heirs, successors and assigns of the Optionee.</w:t>
      </w:r>
    </w:p>
    <w:p>
      <w:pPr>
        <w:spacing w:after="0" w:line="22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i w:val="1"/>
          <w:iCs w:val="1"/>
          <w:color w:val="auto"/>
        </w:rPr>
        <w:t>Corporate Transactions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64" w:lineRule="auto"/>
        <w:tabs>
          <w:tab w:leader="none" w:pos="16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event of a merger, consolidation or other reorganization of the Company in which the Company is not the surviving entity, the Board or the Committee may provide for payment in cash or in securities of the Company or the surviving entity in lieu of and in complete satisfaction of Options.</w:t>
      </w:r>
    </w:p>
    <w:p>
      <w:pPr>
        <w:spacing w:after="0" w:line="235" w:lineRule="exact"/>
        <w:rPr>
          <w:rFonts w:ascii="Arial" w:cs="Arial" w:eastAsia="Arial" w:hAnsi="Arial"/>
          <w:sz w:val="18"/>
          <w:szCs w:val="18"/>
          <w:color w:val="auto"/>
        </w:rPr>
      </w:pPr>
    </w:p>
    <w:p>
      <w:pPr>
        <w:jc w:val="both"/>
        <w:ind w:firstLine="656"/>
        <w:spacing w:after="0" w:line="302" w:lineRule="auto"/>
        <w:tabs>
          <w:tab w:leader="none" w:pos="1614"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as otherwise expressly provided herein, the issuance by the Company of shares of its capital stock of any class, or securities convertible into shares of capital stock of any class, either in connection with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of or exercise price of Shares then subject to outstanding Options granted under the Plan.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3" w:name="page44"/>
    <w:bookmarkEnd w:id="43"/>
    <w:p>
      <w:pPr>
        <w:jc w:val="both"/>
        <w:ind w:firstLine="656"/>
        <w:spacing w:after="0" w:line="255" w:lineRule="auto"/>
        <w:tabs>
          <w:tab w:leader="none" w:pos="16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Without limiting the generality of the foregoing, the existence of outstanding Options granted under the Plan shall not affect in any manner the right or power of the Company to make, authorize or consummate (i) any or all adjustments, recapitalizations, reorganizations or other changes in the Company's capital structure or its business; (ii) any merger or consolidation of the Company; (iii) any issue by the Company of debt securities, or preferred or preference stock that would rank above the Shares subject to outstanding Options; (iv) the dissolution or liquidation of the Company; (v) any sale, transfer or assignment of all or any part of the assets or business of the Company; or (vi) any other corporate act or proceeding, whether of a similar character or otherwise.</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Issuance of Shares</w:t>
      </w:r>
      <w:r>
        <w:rPr>
          <w:rFonts w:ascii="Arial" w:cs="Arial" w:eastAsia="Arial" w:hAnsi="Arial"/>
          <w:sz w:val="18"/>
          <w:szCs w:val="18"/>
          <w:color w:val="auto"/>
        </w:rPr>
        <w:t>. No person shall be, or have any of the rights or privileges of, a stockholder of the Company with respect to any of the Shares subject to any Option unless and until such Shares (whether represented by certificates or in book-entry or other electronic form) shall have been issued and delivered to such person.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w:t>
      </w:r>
    </w:p>
    <w:p>
      <w:pPr>
        <w:spacing w:after="0" w:line="26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i w:val="1"/>
          <w:iCs w:val="1"/>
          <w:color w:val="auto"/>
        </w:rPr>
        <w:t>Grant of Restricted Stock Awards</w:t>
      </w:r>
      <w:r>
        <w:rPr>
          <w:rFonts w:ascii="Arial" w:cs="Arial" w:eastAsia="Arial" w:hAnsi="Arial"/>
          <w:sz w:val="16"/>
          <w:szCs w:val="16"/>
          <w:color w:val="auto"/>
        </w:rPr>
        <w:t>. The Committee may from time to time grant Restricted Stock Awards to Eligible Persons.</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i w:val="1"/>
          <w:iCs w:val="1"/>
          <w:color w:val="auto"/>
        </w:rPr>
        <w:t>Terms and Conditions of Restricted Stock Awards</w:t>
      </w:r>
      <w:r>
        <w:rPr>
          <w:rFonts w:ascii="Arial" w:cs="Arial" w:eastAsia="Arial" w:hAnsi="Arial"/>
          <w:sz w:val="17"/>
          <w:szCs w:val="17"/>
          <w:color w:val="auto"/>
        </w:rPr>
        <w:t>. Each Restricted Stock Award shall specify the number of shares of Restricted Stock awarded, the price, if any, to be paid by the Participant receiving the Restricted Stock Award, the date or dates on which the Restricted Stock will vest and any other terms and conditions that the Committee may determine. The vesting and number of shares of Restricted Stock may be conditioned upon the completion of a specified period of service with the Company or its Subsidiaries or upon the attainment of any performance goals established by the Committee, including without limitation goals related to the performance of the Company or any Subsidiary, division, department or other unit of the Company, the performance of the Company’s common stock or other securities, the performance of the recipient of the Restricted Stock Award or any combination of the foregoing. A Participant may elect to have Shares withheld from a Restricted Stock Award to satisfy federal or state income tax withholding requirements applicable upon the vesting of Restricted Stock.</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i w:val="1"/>
          <w:iCs w:val="1"/>
          <w:color w:val="auto"/>
        </w:rPr>
        <w:t>Restrictions on Transfer.</w:t>
      </w:r>
      <w:r>
        <w:rPr>
          <w:rFonts w:ascii="Arial" w:cs="Arial" w:eastAsia="Arial" w:hAnsi="Arial"/>
          <w:sz w:val="16"/>
          <w:szCs w:val="16"/>
          <w:color w:val="auto"/>
        </w:rPr>
        <w:t xml:space="preserve"> Unless otherwise provided in the grant relating to a Restricted Stock Award, the Restricted Stock granted to a Participant (whether represented by certificates or in book-entry or other electronic form) shall be registered in the Participant's name or, at the option of the Committee, not issued until such time as the Restricted Stock shall become vested or as otherwise determined by the Committee. If certificates are issued prior to the shares of Restricted Stock becoming vested, such certificates shall either be held by the Company on behalf of the Participant, or delivered to the Participant bearing a legend to restrict transfer of the certificate until the Restricted Stock has vested, as determined by the Committee. The Committee shall determine whether the Participant shall have the right to vote and/or receive dividends on the Restricted Stock before it has vested. Except as may otherwise be expressly permitted by the Committee, no share of Restricted Stock may be sold, transferred, assigned or pledged by the Participant until such share has vested in accordance with the terms of the Restricted Stock Award. Except as provided in Section 3.4 or unless the Restricted Stock Award specifies otherwise, in the event that a Participant ceases to be an Employee before all the Participant's Restricted Stock has vested, or in the event other conditions to the vesting of Restricted Stock have not been satisfied prior to any deadline for the satisfaction of such conditions set forth in the Award, the shares of Restricted Stock that have not vested shall be forfeited and any purchase price paid by the Participant for the forfeited Shares shall be returned to the Participant. At the time Restricted Stock vests (and, if the Participant has been issued legended certificates for Restricted Stock, upon the return of such certificates to the Company), such vested shares shall be issued to the Participant (or the beneficiary designated by the Participant in the event of death), in certificated or book entry or other electronic form, free of all restrictions.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4" w:name="page45"/>
    <w:bookmarkEnd w:id="44"/>
    <w:p>
      <w:pPr>
        <w:ind w:firstLine="648"/>
        <w:spacing w:after="0" w:line="277" w:lineRule="auto"/>
        <w:rPr>
          <w:sz w:val="20"/>
          <w:szCs w:val="20"/>
          <w:color w:val="auto"/>
        </w:rPr>
      </w:pPr>
      <w:r>
        <w:rPr>
          <w:rFonts w:ascii="Arial" w:cs="Arial" w:eastAsia="Arial" w:hAnsi="Arial"/>
          <w:sz w:val="18"/>
          <w:szCs w:val="18"/>
          <w:color w:val="auto"/>
        </w:rPr>
        <w:t>Section 3.4. A</w:t>
      </w:r>
      <w:r>
        <w:rPr>
          <w:rFonts w:ascii="Arial" w:cs="Arial" w:eastAsia="Arial" w:hAnsi="Arial"/>
          <w:sz w:val="18"/>
          <w:szCs w:val="18"/>
          <w:i w:val="1"/>
          <w:iCs w:val="1"/>
          <w:color w:val="auto"/>
        </w:rPr>
        <w:t>ccelerated Vesting.</w:t>
      </w:r>
      <w:r>
        <w:rPr>
          <w:rFonts w:ascii="Arial" w:cs="Arial" w:eastAsia="Arial" w:hAnsi="Arial"/>
          <w:sz w:val="18"/>
          <w:szCs w:val="18"/>
          <w:color w:val="auto"/>
        </w:rPr>
        <w:t xml:space="preserve"> Notwithstanding the vesting conditions set forth in a Restricted Stock Award, unless the Restricted Stock Award specifies otherwise:</w:t>
      </w:r>
    </w:p>
    <w:p>
      <w:pPr>
        <w:spacing w:after="0" w:line="224" w:lineRule="exact"/>
        <w:rPr>
          <w:sz w:val="20"/>
          <w:szCs w:val="20"/>
          <w:color w:val="auto"/>
        </w:rPr>
      </w:pPr>
    </w:p>
    <w:p>
      <w:pPr>
        <w:ind w:firstLine="656"/>
        <w:spacing w:after="0" w:line="277" w:lineRule="auto"/>
        <w:tabs>
          <w:tab w:leader="none" w:pos="15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Committee may in its discretion at any time accelerate the vesting of Restricted Stock or otherwise waive or amend any conditions of a grant of a Restricted Stock Award, and</w:t>
      </w:r>
    </w:p>
    <w:p>
      <w:pPr>
        <w:spacing w:after="0" w:line="224" w:lineRule="exact"/>
        <w:rPr>
          <w:rFonts w:ascii="Arial" w:cs="Arial" w:eastAsia="Arial" w:hAnsi="Arial"/>
          <w:sz w:val="18"/>
          <w:szCs w:val="18"/>
          <w:color w:val="auto"/>
        </w:rPr>
      </w:pPr>
    </w:p>
    <w:p>
      <w:pPr>
        <w:jc w:val="both"/>
        <w:ind w:firstLine="656"/>
        <w:spacing w:after="0" w:line="264" w:lineRule="auto"/>
        <w:tabs>
          <w:tab w:leader="none" w:pos="15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that a Participant’s employment is terminated without Cause by the Company, a Subsidiary or successor, or is terminated by the Participant for Good Reason, in either case in connection with or within 18 months after a Change in Control, all shares of Restricted Stock held by the Participant immediately prior to such termination shall immediately become vested.</w:t>
      </w:r>
    </w:p>
    <w:p>
      <w:pPr>
        <w:spacing w:after="0" w:line="2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i w:val="1"/>
          <w:iCs w:val="1"/>
          <w:color w:val="auto"/>
        </w:rPr>
        <w:t>Section 83(b) Election</w:t>
      </w:r>
      <w:r>
        <w:rPr>
          <w:rFonts w:ascii="Arial" w:cs="Arial" w:eastAsia="Arial" w:hAnsi="Arial"/>
          <w:sz w:val="18"/>
          <w:szCs w:val="18"/>
          <w:color w:val="auto"/>
        </w:rPr>
        <w:t>. If a Participant receives Restricted Stock that is subject to a “substantial risk of forfeiture,” such Participant may elect under Section 83(b) of the Code to include in his or her gross income, for the taxable year in which the Restricted Stock is received, the excess of the Fair Market Value of such Restricted Stock on the Date of Grant (determined without regard to any restriction other than one which by its terms will never lapse), over the amount paid for the Restricted Stock. If the Participant makes the Section 83(b) election, the Participant shall (a) make such election in a manner that is satisfactory to the Committee, (b) provide the Company with a copy of such election, (c) agree to notify the Company promptly if any Internal Revenue Service or state tax agent, on audit or otherwise, questions the validity or correctness of such election or of the amount of income reportable on account of such election and (d) agree to such federal and state income tax withholding as the Committee may reasonably require in its sole discretion.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UNITS</w:t>
      </w:r>
    </w:p>
    <w:p>
      <w:pPr>
        <w:spacing w:after="0" w:line="26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7"/>
          <w:szCs w:val="17"/>
          <w:i w:val="1"/>
          <w:iCs w:val="1"/>
          <w:color w:val="auto"/>
        </w:rPr>
        <w:t>Grant of Restricted Stock Unit Awards</w:t>
      </w:r>
      <w:r>
        <w:rPr>
          <w:rFonts w:ascii="Arial" w:cs="Arial" w:eastAsia="Arial" w:hAnsi="Arial"/>
          <w:sz w:val="17"/>
          <w:szCs w:val="17"/>
          <w:color w:val="auto"/>
        </w:rPr>
        <w:t>. The Committee may from time to time grant Restricted Stock Unit Awards to Eligible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Restricted Stock Units</w:t>
      </w:r>
      <w:r>
        <w:rPr>
          <w:rFonts w:ascii="Arial" w:cs="Arial" w:eastAsia="Arial" w:hAnsi="Arial"/>
          <w:sz w:val="18"/>
          <w:szCs w:val="18"/>
          <w:color w:val="auto"/>
        </w:rPr>
        <w:t>. A Restricted Stock Unit represents the Company’s unsecured and unfunded promise to deliver Shares (or cash equal to the Fair Market Value of the Shares) to a Participant in the future, subject to the satisfaction of applicable vesting conditions and the other terms and conditions of the Plan and the Award.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5" w:name="page46"/>
    <w:bookmarkEnd w:id="45"/>
    <w:p>
      <w:pPr>
        <w:jc w:val="both"/>
        <w:ind w:firstLine="648"/>
        <w:spacing w:after="0" w:line="253"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Terms and Conditions of Restricted Stock Unit Awards</w:t>
      </w:r>
      <w:r>
        <w:rPr>
          <w:rFonts w:ascii="Arial" w:cs="Arial" w:eastAsia="Arial" w:hAnsi="Arial"/>
          <w:sz w:val="18"/>
          <w:szCs w:val="18"/>
          <w:color w:val="auto"/>
        </w:rPr>
        <w:t>. Each Restricted Stock Unit Award shall specify the number of Restricted Stock Units awarded, the price, if any, to be paid by the Participant receiving the Restricted Stock Unit Award, the date or dates on which the Restricted Stock Units will vest and any other terms and conditions that the Committee may determine. The vesting and number of Restricted Stock Units may be conditioned upon the completion of a specified period of service with the Company or its Subsidiaries or upon the attainment of any performance goals established by the Committee, including without limitation goals related to the performance of the Company or any Subsidiary, division, department or other unit of the Company, the performance of the Company’s common stock or other securities, the performance of the recipient of the Restricted Stock Unit Award or any combination of the foregoing. Except as provided in Section 4.6 or unless the Award specifies otherwise, in the event that a Participant ceases to be an employee of the Company or a Subsidiary before all the Participant’s Restricted Stock Units have vested, or in the event other conditions to the vesting of Restricted Stock Units have not been satisfied prior to any deadline for the satisfaction of such conditions set forth in the Award, the Restricted Stock Units that have not vested shall be forfeited and any purchase price paid by the Participant for the forfeited Restricted Stock Units shall be refunded to the Participant.</w:t>
      </w:r>
    </w:p>
    <w:p>
      <w:pPr>
        <w:spacing w:after="0" w:line="2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i w:val="1"/>
          <w:iCs w:val="1"/>
          <w:color w:val="auto"/>
        </w:rPr>
        <w:t>Rights as Stockholder.</w:t>
      </w:r>
      <w:r>
        <w:rPr>
          <w:rFonts w:ascii="Arial" w:cs="Arial" w:eastAsia="Arial" w:hAnsi="Arial"/>
          <w:sz w:val="17"/>
          <w:szCs w:val="17"/>
          <w:color w:val="auto"/>
        </w:rPr>
        <w:t xml:space="preserve"> A recipient of a Restricted Stock Unit Award shall not have any rights as a stockholder with respect to Shares covered by a Restricted Stock Unit Award until the date, if any, such Shares are issued by the Company; and, except as otherwise provided in Section 4.5, no adjustment for dividends, or otherwise, shall be made if the record date therefor is prior to the date of issuance of such Shares.</w:t>
      </w:r>
    </w:p>
    <w:p>
      <w:pPr>
        <w:spacing w:after="0" w:line="22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i w:val="1"/>
          <w:iCs w:val="1"/>
          <w:color w:val="auto"/>
        </w:rPr>
        <w:t>Dividends</w:t>
      </w:r>
      <w:r>
        <w:rPr>
          <w:rFonts w:ascii="Arial" w:cs="Arial" w:eastAsia="Arial" w:hAnsi="Arial"/>
          <w:sz w:val="18"/>
          <w:szCs w:val="18"/>
          <w:color w:val="auto"/>
        </w:rPr>
        <w:t>. Dividends and distributions (whether cash, stock or otherwise) on Shares underlying unvested Restricted Stock Units held by a Participant shall not be paid to the Participant, but the value thereof shall be credited by the Company for the benefit of the Participant. At such time as such Restricted Stock Units are settled, all accumulated credits for the value of dividends and distributions attributable to such vested Restricted Stock Units shall be paid to the recipient. Interest shall not be paid on any such credits for dividends or distributions made by the Company for the benefit of a Participant. The Company shall have the option of paying such credits for accumulated dividends or distributions in Shares or cash. If payment is made in Shares, the conversion to Shares shall be at the Fair Market Value on the date of payment. Credits for the value of dividends and distributions made by the Company on unvested Restricted Stock Units shall be forfeited in the same manner and at the same time as the respective Restricted Stock Units to which they are attributable are forfeited.</w:t>
      </w:r>
    </w:p>
    <w:p>
      <w:pPr>
        <w:spacing w:after="0" w:line="2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Section 4.6. A</w:t>
      </w:r>
      <w:r>
        <w:rPr>
          <w:rFonts w:ascii="Arial" w:cs="Arial" w:eastAsia="Arial" w:hAnsi="Arial"/>
          <w:sz w:val="18"/>
          <w:szCs w:val="18"/>
          <w:i w:val="1"/>
          <w:iCs w:val="1"/>
          <w:color w:val="auto"/>
        </w:rPr>
        <w:t>ccelerated Vesting.</w:t>
      </w:r>
      <w:r>
        <w:rPr>
          <w:rFonts w:ascii="Arial" w:cs="Arial" w:eastAsia="Arial" w:hAnsi="Arial"/>
          <w:sz w:val="18"/>
          <w:szCs w:val="18"/>
          <w:color w:val="auto"/>
        </w:rPr>
        <w:t xml:space="preserve"> Notwithstanding the vesting conditions set forth in a Restricted Stock Unit Award, unless the Restricted Stock Unit Award specifies otherwise:</w:t>
      </w:r>
    </w:p>
    <w:p>
      <w:pPr>
        <w:spacing w:after="0" w:line="224" w:lineRule="exact"/>
        <w:rPr>
          <w:sz w:val="20"/>
          <w:szCs w:val="20"/>
          <w:color w:val="auto"/>
        </w:rPr>
      </w:pPr>
    </w:p>
    <w:p>
      <w:pPr>
        <w:ind w:firstLine="656"/>
        <w:spacing w:after="0" w:line="277" w:lineRule="auto"/>
        <w:tabs>
          <w:tab w:leader="none" w:pos="16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may in its discretion at any time accelerate the vesting of Restricted Stock Units or otherwise waive or amend any conditions of a grant of a Restricted Stock Unit Award, and</w:t>
      </w:r>
    </w:p>
    <w:p>
      <w:pPr>
        <w:spacing w:after="0" w:line="224" w:lineRule="exact"/>
        <w:rPr>
          <w:rFonts w:ascii="Arial" w:cs="Arial" w:eastAsia="Arial" w:hAnsi="Arial"/>
          <w:sz w:val="18"/>
          <w:szCs w:val="18"/>
          <w:color w:val="auto"/>
        </w:rPr>
      </w:pPr>
    </w:p>
    <w:p>
      <w:pPr>
        <w:jc w:val="both"/>
        <w:ind w:firstLine="656"/>
        <w:spacing w:after="0" w:line="264" w:lineRule="auto"/>
        <w:tabs>
          <w:tab w:leader="none" w:pos="14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event that a Participant’s employment is terminated without Cause by the Company, a Subsidiary or successor, or is terminated by the Participant for Good Reason, in either case in connection with or within 18 months after a Change in Control, all Restricted Stock Units held by the Participant immediately prior to such termination shall immediately become vested and payable.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6" w:name="page47"/>
    <w:bookmarkEnd w:id="46"/>
    <w:p>
      <w:pPr>
        <w:jc w:val="both"/>
        <w:ind w:firstLine="648"/>
        <w:spacing w:after="0" w:line="285"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i w:val="1"/>
          <w:iCs w:val="1"/>
          <w:color w:val="auto"/>
        </w:rPr>
        <w:t>Retirement Credits</w:t>
      </w:r>
      <w:r>
        <w:rPr>
          <w:rFonts w:ascii="Arial" w:cs="Arial" w:eastAsia="Arial" w:hAnsi="Arial"/>
          <w:sz w:val="16"/>
          <w:szCs w:val="16"/>
          <w:color w:val="auto"/>
        </w:rPr>
        <w:t>. Unless otherwise provided in a Restricted Stock Unit Award, if a Participant retires as an employee of the Company or a Subsidiary with 80 or more Retirement Credits, the Restricted Stock Units held by the Participant will continue to vest after retirement on the schedule specified in the Restricted Stock Unit Award; provided that, if the Participant takes any action or engages in any activity that is detrimental to the Company, all unvested Restricted Stock Units held by the Participant will automatically be forfeited and the Participant shall cease to have any rights with respect to such Restricted Stock Units. The number of Retirement Credits a Participant has shall equal the sum of (i) the Participant’s age in whole years plus</w:t>
      </w:r>
    </w:p>
    <w:p>
      <w:pPr>
        <w:spacing w:after="0" w:line="2" w:lineRule="exact"/>
        <w:rPr>
          <w:sz w:val="20"/>
          <w:szCs w:val="20"/>
          <w:color w:val="auto"/>
        </w:rPr>
      </w:pPr>
    </w:p>
    <w:p>
      <w:pPr>
        <w:jc w:val="both"/>
        <w:ind w:firstLine="8"/>
        <w:spacing w:after="0" w:line="255" w:lineRule="auto"/>
        <w:tabs>
          <w:tab w:leader="none" w:pos="2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Participant’s whole years of employment with the Company or a Subsidiary, in both cases determined as of the date of retirement. In the event of the death of the Participant after retirement, any unvested Restricted Stock Units that are subject to vesting pursuant to this Section 4.7 shall continue to vest on the schedule specified in the Restricted Stock Unit Award.</w:t>
      </w:r>
    </w:p>
    <w:p>
      <w:pPr>
        <w:spacing w:after="0" w:line="24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6"/>
          <w:szCs w:val="16"/>
          <w:i w:val="1"/>
          <w:iCs w:val="1"/>
          <w:color w:val="auto"/>
        </w:rPr>
        <w:t>Settlement of Restricted Stock Units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59" w:lineRule="auto"/>
        <w:tabs>
          <w:tab w:leader="none" w:pos="14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the satisfaction of any withholding requirements, on the date on which a Restricted Stock Unit becomes vested in accordance with the terms of the Plan, the Participant shall be entitled to one Share or cash equal to the Fair Market Value of one Share, which shall be delivered, transferred or paid as soon as administratively practicable thereafter in exchange for such vested Restricted Stock Unit, after which the Participant shall have no further rights with respect to such Restricted Stock Unit.</w:t>
      </w:r>
    </w:p>
    <w:p>
      <w:pPr>
        <w:spacing w:after="0" w:line="240" w:lineRule="exact"/>
        <w:rPr>
          <w:rFonts w:ascii="Arial" w:cs="Arial" w:eastAsia="Arial" w:hAnsi="Arial"/>
          <w:sz w:val="18"/>
          <w:szCs w:val="18"/>
          <w:color w:val="auto"/>
        </w:rPr>
      </w:pPr>
    </w:p>
    <w:p>
      <w:pPr>
        <w:jc w:val="both"/>
        <w:ind w:firstLine="656"/>
        <w:spacing w:after="0" w:line="276" w:lineRule="auto"/>
        <w:tabs>
          <w:tab w:leader="none" w:pos="1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 shall have the sole discretion to determine whether any settlement of a Restricted Stock Unit will be effected in cash or Shares. If the settlement is effected in Shares, the Company shall cause to be delivered or transferred to the Participant (or the Participant’s legal representative or heir) a stock certificate representing the Shares issued in exchange for Restricted Stock Units or shall cause the Shares to be registered on the stock transfer records of the Company in the Participant’s name. For any Restricted Stock Units settled in Shares, a Participant may elect to have Shares withheld to satisfy federal or state income tax withholding requirements applicable upon the vesting of the Restricted Stock Units.</w:t>
      </w:r>
    </w:p>
    <w:p>
      <w:pPr>
        <w:spacing w:after="0" w:line="226" w:lineRule="exact"/>
        <w:rPr>
          <w:rFonts w:ascii="Arial" w:cs="Arial" w:eastAsia="Arial" w:hAnsi="Arial"/>
          <w:sz w:val="17"/>
          <w:szCs w:val="17"/>
          <w:color w:val="auto"/>
        </w:rPr>
      </w:pPr>
    </w:p>
    <w:p>
      <w:pPr>
        <w:jc w:val="both"/>
        <w:ind w:firstLine="656"/>
        <w:spacing w:after="0" w:line="264" w:lineRule="auto"/>
        <w:tabs>
          <w:tab w:leader="none" w:pos="14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Except as provided in Section 4.8(c)(ii) and (iii), in no event shall any delivery of Shares or payment following a Participant’s entitlement to such delivery or payment be made later than the March 15th following the end of the calendar year in which the Participant becomes entitled to such delivery or payment.</w:t>
      </w:r>
    </w:p>
    <w:p>
      <w:pPr>
        <w:spacing w:after="0" w:line="235" w:lineRule="exact"/>
        <w:rPr>
          <w:rFonts w:ascii="Arial" w:cs="Arial" w:eastAsia="Arial" w:hAnsi="Arial"/>
          <w:sz w:val="18"/>
          <w:szCs w:val="18"/>
          <w:color w:val="auto"/>
        </w:rPr>
      </w:pPr>
    </w:p>
    <w:p>
      <w:pPr>
        <w:jc w:val="both"/>
        <w:ind w:left="660" w:firstLine="645"/>
        <w:spacing w:after="0" w:line="259" w:lineRule="auto"/>
        <w:tabs>
          <w:tab w:leader="none" w:pos="223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Subject to Section 4.8(c)(iii), with respect to Restricted Stock Units granted to a Participant who could reach 80 Retirement Credits prior to the final vesting date for such Restricted Stock Units, in no event shall any delivery of Shares or payment following such Participant’s entitlement to such delivery or payment be made later than December 31 of the year in which the vesting date for such Restricted Stock Units occurs.</w:t>
      </w:r>
    </w:p>
    <w:p>
      <w:pPr>
        <w:spacing w:after="0" w:line="240" w:lineRule="exact"/>
        <w:rPr>
          <w:rFonts w:ascii="Arial" w:cs="Arial" w:eastAsia="Arial" w:hAnsi="Arial"/>
          <w:sz w:val="18"/>
          <w:szCs w:val="18"/>
          <w:color w:val="auto"/>
        </w:rPr>
      </w:pPr>
    </w:p>
    <w:p>
      <w:pPr>
        <w:jc w:val="both"/>
        <w:ind w:left="660" w:firstLine="645"/>
        <w:spacing w:after="0" w:line="279" w:lineRule="auto"/>
        <w:tabs>
          <w:tab w:leader="none" w:pos="2105" w:val="left"/>
        </w:tabs>
        <w:numPr>
          <w:ilvl w:val="1"/>
          <w:numId w:val="25"/>
        </w:numPr>
        <w:rPr>
          <w:rFonts w:ascii="Arial" w:cs="Arial" w:eastAsia="Arial" w:hAnsi="Arial"/>
          <w:sz w:val="17"/>
          <w:szCs w:val="17"/>
          <w:color w:val="auto"/>
        </w:rPr>
      </w:pPr>
      <w:r>
        <w:rPr>
          <w:rFonts w:ascii="Arial" w:cs="Arial" w:eastAsia="Arial" w:hAnsi="Arial"/>
          <w:sz w:val="17"/>
          <w:szCs w:val="17"/>
          <w:color w:val="auto"/>
        </w:rPr>
        <w:t>Notwithstanding any other provision of the Plan or any Award, if the Participant is a specified employee (within the meaning of Section 409A of the Code), and the Company determines that a payment hereunder is not permitted under Section 409A of the Code at the time set forth herein, no payments shall be made to the Participant due to a separation from service for any reason before the date that is six months after the date on which the Participant incurs a separation from service or, if earlier, the date of death of the Participant.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AWARDS</w:t>
      </w:r>
    </w:p>
    <w:p>
      <w:pPr>
        <w:spacing w:after="0" w:line="2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Terms and Conditions of Performance Awards</w:t>
      </w:r>
      <w:r>
        <w:rPr>
          <w:rFonts w:ascii="Arial" w:cs="Arial" w:eastAsia="Arial" w:hAnsi="Arial"/>
          <w:sz w:val="18"/>
          <w:szCs w:val="18"/>
          <w:color w:val="auto"/>
        </w:rPr>
        <w:t>. The Committee may from time to time grant Awards that are intended to be “performance-based compensation,” which are payable in stock, cash or a combination thereof, at the discretion of the Committee.</w:t>
      </w:r>
    </w:p>
    <w:p>
      <w:pPr>
        <w:spacing w:after="0" w:line="224" w:lineRule="exact"/>
        <w:rPr>
          <w:sz w:val="20"/>
          <w:szCs w:val="20"/>
          <w:color w:val="auto"/>
        </w:rPr>
      </w:pPr>
    </w:p>
    <w:p>
      <w:pPr>
        <w:jc w:val="both"/>
        <w:ind w:firstLine="656"/>
        <w:spacing w:after="0" w:line="259" w:lineRule="auto"/>
        <w:tabs>
          <w:tab w:leader="none" w:pos="15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Performance Period. The Committee shall establish a Performance Period for each Performance Award at the time such Performance Award is granted. A Performance Period may overlap with Performance Periods relating to other Performance Awards granted hereunder to the same Participant. Unless the Committee determines otherwise, the Committee shall not grant Performance Awards after the date on which the satisfaction of the Performance Objectives becomes substantially certain.</w:t>
      </w:r>
    </w:p>
    <w:p>
      <w:pPr>
        <w:spacing w:after="0" w:line="240" w:lineRule="exact"/>
        <w:rPr>
          <w:rFonts w:ascii="Arial" w:cs="Arial" w:eastAsia="Arial" w:hAnsi="Arial"/>
          <w:sz w:val="18"/>
          <w:szCs w:val="18"/>
          <w:color w:val="auto"/>
        </w:rPr>
      </w:pPr>
    </w:p>
    <w:p>
      <w:pPr>
        <w:jc w:val="both"/>
        <w:ind w:firstLine="656"/>
        <w:spacing w:after="0" w:line="273" w:lineRule="auto"/>
        <w:tabs>
          <w:tab w:leader="none" w:pos="1452"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Performance Objectives. The Committee shall establish written performance objectives for the Participant at the time of the grant of each Performance Award. Each Performance Award shall be contingent upon the achievement of the Performance Objectives established by the Committee. Performance Objectives shall be based on earnings, cash flow, economic value added, total stockholder return, return on equity, return on capital, return on assets, revenues, operating profit, EBITDA, net profit, earnings per share, stock price, cost reduction goals, debt to capital ratio, financial return ratios, profit or operating margins, working capital or any combination of the foregoing, for the Company on a consolidated basis or, if applicable, for one or more Subsidiaries, divisions, departments or other units of the Company or one or more of its Subsidiaries.</w:t>
      </w:r>
    </w:p>
    <w:p>
      <w:pPr>
        <w:spacing w:after="0" w:line="232" w:lineRule="exact"/>
        <w:rPr>
          <w:rFonts w:ascii="Arial" w:cs="Arial" w:eastAsia="Arial" w:hAnsi="Arial"/>
          <w:sz w:val="17"/>
          <w:szCs w:val="17"/>
          <w:color w:val="auto"/>
        </w:rPr>
      </w:pPr>
    </w:p>
    <w:p>
      <w:pPr>
        <w:ind w:firstLine="656"/>
        <w:spacing w:after="0" w:line="277" w:lineRule="auto"/>
        <w:tabs>
          <w:tab w:leader="none" w:pos="16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Frequency. The Committee shall determine at the time of grant of Performance Awards the target and maximum values of Performance Awards and the date or dates when Performance Awards are earned.</w:t>
      </w:r>
    </w:p>
    <w:p>
      <w:pPr>
        <w:spacing w:after="0" w:line="224" w:lineRule="exact"/>
        <w:rPr>
          <w:rFonts w:ascii="Arial" w:cs="Arial" w:eastAsia="Arial" w:hAnsi="Arial"/>
          <w:sz w:val="18"/>
          <w:szCs w:val="18"/>
          <w:color w:val="auto"/>
        </w:rPr>
      </w:pPr>
    </w:p>
    <w:p>
      <w:pPr>
        <w:jc w:val="both"/>
        <w:ind w:firstLine="656"/>
        <w:spacing w:after="0" w:line="272" w:lineRule="auto"/>
        <w:tabs>
          <w:tab w:leader="none" w:pos="1452" w:val="left"/>
        </w:tabs>
        <w:numPr>
          <w:ilvl w:val="0"/>
          <w:numId w:val="26"/>
        </w:numPr>
        <w:rPr>
          <w:rFonts w:ascii="Arial" w:cs="Arial" w:eastAsia="Arial" w:hAnsi="Arial"/>
          <w:sz w:val="17"/>
          <w:szCs w:val="17"/>
          <w:color w:val="auto"/>
        </w:rPr>
      </w:pPr>
      <w:r>
        <w:rPr>
          <w:rFonts w:ascii="Arial" w:cs="Arial" w:eastAsia="Arial" w:hAnsi="Arial"/>
          <w:sz w:val="17"/>
          <w:szCs w:val="17"/>
          <w:color w:val="auto"/>
        </w:rPr>
        <w:t>Payment. Following the end of each Performance Period, the holder of each Performance Award will be entitled to receive payment of an amount, not exceeding the maximum value of the Performance Award, based on the achievement of the Performance Objectives for such Performance Period, as determined in writing by the Committee. Unless otherwise provided in the Performance Award, if the Participant exceeds the specified minimum level of acceptable achievement but does not attain the Performance Objectives, the Participant shall be deemed to have partly earned the Performance Award, and shall become entitled to receive a portion of the total award, as determined by the Committee. Unless otherwise provided in the Performance Award, if a Performance Award is granted after the start of a Performance Period, the Performance Award shall be reduced to reflect the portion of the Performance Period during which the Performance Award was in effect.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jc w:val="both"/>
        <w:ind w:firstLine="656"/>
        <w:spacing w:after="0" w:line="273" w:lineRule="auto"/>
        <w:tabs>
          <w:tab w:leader="none" w:pos="145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Termination of Employment. Unless otherwise provided in the Performance Award, a Participant who receives a Performance Award and who ceases to be an Employee as a result of death, Disability or retirement before the end of the applicable Performance Period shall be entitled to receive, to the extent earned as a result of the full or partial achievement of the Performance Objectives during the Performance Period, a portion of the Performance Award that is proportional to the portion of the Performance Period during which the Participant was employed, with payment to be made following the end of the Performance Period. Unless otherwise provided in the Performance Award, a Participant who receives a Performance Award who ceases to be an Employee for any reason other than death, Disability or retirement shall not be entitled to any part of the Performance Award.</w:t>
      </w:r>
    </w:p>
    <w:p>
      <w:pPr>
        <w:spacing w:after="0" w:line="232" w:lineRule="exact"/>
        <w:rPr>
          <w:rFonts w:ascii="Arial" w:cs="Arial" w:eastAsia="Arial" w:hAnsi="Arial"/>
          <w:sz w:val="17"/>
          <w:szCs w:val="17"/>
          <w:color w:val="auto"/>
        </w:rPr>
      </w:pPr>
    </w:p>
    <w:p>
      <w:pPr>
        <w:jc w:val="both"/>
        <w:ind w:firstLine="656"/>
        <w:spacing w:after="0" w:line="272" w:lineRule="auto"/>
        <w:tabs>
          <w:tab w:leader="none" w:pos="153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Accelerated Vesting. Notwithstanding the vesting conditions set forth in a Performance Award, unless the Performance Award specifies otherwise (i) the Committee may in its discretion at any time accelerate the time at which the Performance Award is considered to have been earned or otherwise waive or amend any conditions (including but not limited to Performance Objectives) in respect of a Performance Award, and (ii) all Performance Awards shall be considered earned upon a Change in Control of the Company. In addition, upon a Change in Control of the Company, unless a Performance Award specifies otherwise, each Participant shall receive the target Performance Award such Participant could have earned for the proportionate part of the Performance Period prior to the Change in Control, and shall retain the right to earn any additional portion of his or her Performance Award if such Participant remains in the Company's employ through the end of the Performance Period.</w:t>
      </w:r>
    </w:p>
    <w:p>
      <w:pPr>
        <w:spacing w:after="0" w:line="231" w:lineRule="exact"/>
        <w:rPr>
          <w:rFonts w:ascii="Arial" w:cs="Arial" w:eastAsia="Arial" w:hAnsi="Arial"/>
          <w:sz w:val="17"/>
          <w:szCs w:val="17"/>
          <w:color w:val="auto"/>
        </w:rPr>
      </w:pPr>
    </w:p>
    <w:p>
      <w:pPr>
        <w:ind w:left="1460" w:hanging="804"/>
        <w:spacing w:after="0"/>
        <w:tabs>
          <w:tab w:leader="none" w:pos="1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Stockholder Rights. The holder of a Performance Award shall, as such, have none of the rights of a stockholder of the Company.</w:t>
      </w:r>
    </w:p>
    <w:p>
      <w:pPr>
        <w:spacing w:after="0" w:line="290" w:lineRule="exact"/>
        <w:rPr>
          <w:rFonts w:ascii="Arial" w:cs="Arial" w:eastAsia="Arial" w:hAnsi="Arial"/>
          <w:sz w:val="17"/>
          <w:szCs w:val="17"/>
          <w:color w:val="auto"/>
        </w:rPr>
      </w:pPr>
    </w:p>
    <w:p>
      <w:pPr>
        <w:jc w:val="both"/>
        <w:ind w:firstLine="656"/>
        <w:spacing w:after="0" w:line="264" w:lineRule="auto"/>
        <w:tabs>
          <w:tab w:leader="none" w:pos="15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Incentive Plan. Cash awards based on the attainment of the performance objectives established under the Company’s Annual Incentive Plan may, in the Committee’s discretion, be considered Performance Awards granted under the Plan, provided that such awards are subject to the terms and conditions of this Article IV.</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PROVISIONS</w:t>
      </w:r>
    </w:p>
    <w:p>
      <w:pPr>
        <w:spacing w:after="0" w:line="26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i w:val="1"/>
          <w:iCs w:val="1"/>
          <w:color w:val="auto"/>
        </w:rPr>
        <w:t>Administration of the Plan</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72" w:lineRule="auto"/>
        <w:tabs>
          <w:tab w:leader="none" w:pos="1442"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Plan shall be administered by the Committee. The Committee shall have the authority to interpret the provisions of the Plan, to adopt such rules and regulations for carrying out the Plan as it may deem advisable, to decide conclusively all questions arising with respect to the Plan, to establish performance criteria in respect of Awards under the Plan, to determine whether Plan requirements have been met for any Participant in the Plan and to make all other determinations and take all other actions necessary or desirable for the administration of the Plan. All decisions and acts of the Committee shall be final and binding upon all affected Participants. To the extent permitted by applicable law, the Committee may delegate authority to administer the Plan to members of the Committee, one or more subcommittees or other committees of the Board. If there is no Committee, the Board shall administer the Plan and in such case all references to the Committee shall be deemed to be references to the Board.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9" w:name="page50"/>
    <w:bookmarkEnd w:id="49"/>
    <w:p>
      <w:pPr>
        <w:ind w:left="1460" w:hanging="804"/>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Without limiting the generality of Section 6.1(a), for purposes of Section 2.6 and Section 4.7:</w:t>
      </w:r>
    </w:p>
    <w:p>
      <w:pPr>
        <w:spacing w:after="0" w:line="279" w:lineRule="exact"/>
        <w:rPr>
          <w:rFonts w:ascii="Arial" w:cs="Arial" w:eastAsia="Arial" w:hAnsi="Arial"/>
          <w:sz w:val="18"/>
          <w:szCs w:val="18"/>
          <w:color w:val="auto"/>
        </w:rPr>
      </w:pPr>
    </w:p>
    <w:p>
      <w:pPr>
        <w:jc w:val="both"/>
        <w:ind w:left="660" w:firstLine="645"/>
        <w:spacing w:after="0" w:line="273" w:lineRule="auto"/>
        <w:tabs>
          <w:tab w:leader="none" w:pos="2221"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Committee shall determine in its sole discretion whether an action or activity is detrimental to the Company. Without limiting the immediately preceding sentence, actions or activities detrimental to the Company may include (A) a material breach of any contract between the holder of an Award and the Company or a Subsidiary, (B) any direct or indirect competition with the Company or a Subsidiary or solicitation of employees of the Company or a Subsidiary or (C) performance or acceptance by the holder of an Award of duties to a third party under circumstances that create a material conflict of interest or the appearance of a material conflict of interest, which may include being employed or otherwise engaged by an entity that regulates, engages in transactions with or competes with the Company or a Subsidiary.</w:t>
      </w:r>
    </w:p>
    <w:p>
      <w:pPr>
        <w:spacing w:after="0" w:line="232" w:lineRule="exact"/>
        <w:rPr>
          <w:rFonts w:ascii="Arial" w:cs="Arial" w:eastAsia="Arial" w:hAnsi="Arial"/>
          <w:sz w:val="17"/>
          <w:szCs w:val="17"/>
          <w:color w:val="auto"/>
        </w:rPr>
      </w:pPr>
    </w:p>
    <w:p>
      <w:pPr>
        <w:ind w:left="660" w:firstLine="645"/>
        <w:spacing w:after="0" w:line="277" w:lineRule="auto"/>
        <w:tabs>
          <w:tab w:leader="none" w:pos="20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Committee shall determine in its sole discretion whether a termination of employment constitutes “retirement” for purposes of vesting of any Restricted Stock Units.</w:t>
      </w:r>
    </w:p>
    <w:p>
      <w:pPr>
        <w:spacing w:after="0" w:line="224" w:lineRule="exact"/>
        <w:rPr>
          <w:rFonts w:ascii="Arial" w:cs="Arial" w:eastAsia="Arial" w:hAnsi="Arial"/>
          <w:sz w:val="18"/>
          <w:szCs w:val="18"/>
          <w:color w:val="auto"/>
        </w:rPr>
      </w:pPr>
    </w:p>
    <w:p>
      <w:pPr>
        <w:ind w:left="660" w:firstLine="645"/>
        <w:spacing w:after="0" w:line="308" w:lineRule="auto"/>
        <w:tabs>
          <w:tab w:leader="none" w:pos="2064"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Committee shall determine in its sole discretion whether prior employment by an acquired company or prior noncontinuous employment by the Company or a Subsidiary shall be counted in calculating the Retirement Credits of the holder of an Award.</w:t>
      </w:r>
    </w:p>
    <w:p>
      <w:pPr>
        <w:spacing w:after="0" w:line="2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i w:val="1"/>
          <w:iCs w:val="1"/>
          <w:color w:val="auto"/>
        </w:rPr>
        <w:t>Adjustments for Changes in Capitalization</w:t>
      </w:r>
      <w:r>
        <w:rPr>
          <w:rFonts w:ascii="Arial" w:cs="Arial" w:eastAsia="Arial" w:hAnsi="Arial"/>
          <w:sz w:val="17"/>
          <w:szCs w:val="17"/>
          <w:color w:val="auto"/>
        </w:rPr>
        <w:t>. In the event of any (a) stock dividends, stock splits, recapitalizations, combinations, exchanges of shares, mergers, consolidations, liquidations, split-ups, split-offs, spin-offs or other similar changes in capitalization, (b) distributions to stockholders, including a rights offering, other than regular cash dividends, (c) changes in the outstanding stock of the Company by reason of any increase or decrease in the number of issued Shares resulting from a split-up or consolidation of Shares or any similar capital adjustment or the payment of any stock dividend, (d) Share repurchase at a price in excess of the market price of the Shares at the time such repurchase is announced or (e) other similar increase or decrease in the number of the Shares, the Committee, in its sole discretion, shall make appropriate adjustment in the number and kind of shares authorized by the Plan in the number, price or kind of shares or units covered by the Awards and in any outstanding Awards under the Plan. In addition, upon the occurrence of any event described in this Section 6.2, the Committee, in its sole discretion, shall make appropriate adjustment in the limits specified in Section 1.3(b), (c) and (d) so that the effect of such limits is, as nearly as practicable, equivalent to the effect of such limits prior to the event in question, provided that any such adjustment complies with applicable laws and does not cause an award that is intended to satisfy the performance-based compensation exception under Section 162(m) of the Code in effect prior to December 22, 2017 to fail to satisfy the exception. In the event of any adjustment in the number of Shares covered by any Award, any fractional Shares resulting from such adjustment shall be disregarded and each such Award shall cover only the number of full Shares resulting from such adjustment.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0" w:name="page51"/>
    <w:bookmarkEnd w:id="50"/>
    <w:p>
      <w:pPr>
        <w:jc w:val="both"/>
        <w:ind w:firstLine="648"/>
        <w:spacing w:after="0" w:line="270"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i w:val="1"/>
          <w:iCs w:val="1"/>
          <w:color w:val="auto"/>
        </w:rPr>
        <w:t>Compliance With Section 409A</w:t>
      </w:r>
      <w:r>
        <w:rPr>
          <w:rFonts w:ascii="Arial" w:cs="Arial" w:eastAsia="Arial" w:hAnsi="Arial"/>
          <w:sz w:val="17"/>
          <w:szCs w:val="17"/>
          <w:b w:val="1"/>
          <w:bCs w:val="1"/>
          <w:color w:val="auto"/>
        </w:rPr>
        <w:t>.</w:t>
      </w:r>
      <w:r>
        <w:rPr>
          <w:rFonts w:ascii="Arial" w:cs="Arial" w:eastAsia="Arial" w:hAnsi="Arial"/>
          <w:sz w:val="17"/>
          <w:szCs w:val="17"/>
          <w:color w:val="auto"/>
        </w:rPr>
        <w:t xml:space="preserve"> Awards shall be designed and operated in such a manner that they are either exempt from the application of, or comply with, the requirements of Section 409A of the Code. The Plan and each Award under the Plan are intended to meet the requirements of Section 409A of the Code and shall be construed and interpreted in accordance with such intent. To the extent that an Award or payment, or the settlement or deferral thereof, is subject to Section 409A of the Code, the Award shall be granted, paid, settled or deferred in a manner that will meet the requirements of Section 409A of the Code, including regulations or other guidance issued with respect thereto, such that the grant, payment, settlement or deferral shall not be subject to the additional tax or interest applicable under Section 409A. In addition, to the extent an Award is subject to Section 409A of the Code, payments under such an Award shall be made at such time as is specified in the Plan and the Award. The payment will be made (1) by a date that is no later than the date that is two and one-half (2 1/2) months after the end of the fiscal year in which the Award payment is no longer subject to a substantial risk of forfeiture or (2) at a time that is permissible under Section 409A of the Code such that the payment shall not be subject to the additional tax or interest applicable under Section 409A of the Code.</w:t>
      </w:r>
    </w:p>
    <w:p>
      <w:pPr>
        <w:spacing w:after="0" w:line="23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5"/>
          <w:szCs w:val="15"/>
          <w:i w:val="1"/>
          <w:iCs w:val="1"/>
          <w:color w:val="auto"/>
        </w:rPr>
        <w:t>Amendment.</w:t>
      </w:r>
    </w:p>
    <w:p>
      <w:pPr>
        <w:spacing w:after="0" w:line="279" w:lineRule="exact"/>
        <w:rPr>
          <w:sz w:val="20"/>
          <w:szCs w:val="20"/>
          <w:color w:val="auto"/>
        </w:rPr>
      </w:pPr>
    </w:p>
    <w:p>
      <w:pPr>
        <w:jc w:val="both"/>
        <w:ind w:firstLine="656"/>
        <w:spacing w:after="0" w:line="264" w:lineRule="auto"/>
        <w:tabs>
          <w:tab w:leader="none" w:pos="15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Board may amend or modify the Plan in any respect at any time, subject to stockholder approval if required by applicable law or regulation or by applicable stock exchange rules. Such action shall not impair any of the rights of any Participant with respect to any Award outstanding on the date of the amendment or modification without the Participant’s written consent.</w:t>
      </w:r>
    </w:p>
    <w:p>
      <w:pPr>
        <w:spacing w:after="0" w:line="235" w:lineRule="exact"/>
        <w:rPr>
          <w:rFonts w:ascii="Arial" w:cs="Arial" w:eastAsia="Arial" w:hAnsi="Arial"/>
          <w:sz w:val="18"/>
          <w:szCs w:val="18"/>
          <w:color w:val="auto"/>
        </w:rPr>
      </w:pPr>
    </w:p>
    <w:p>
      <w:pPr>
        <w:jc w:val="both"/>
        <w:ind w:firstLine="656"/>
        <w:spacing w:after="0" w:line="264" w:lineRule="auto"/>
        <w:tabs>
          <w:tab w:leader="none" w:pos="170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Committee shall have the authority to amend any Award to include any provision which, at the time of such amendment, is authorized under the terms of the Plan; however, no outstanding Award may be revoked or altered in a manner unfavorable to the Participant without the written consent of the Participant.</w:t>
      </w:r>
    </w:p>
    <w:p>
      <w:pPr>
        <w:spacing w:after="0" w:line="23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i w:val="1"/>
          <w:iCs w:val="1"/>
          <w:color w:val="auto"/>
        </w:rPr>
        <w:t>Transferability of Awards</w:t>
      </w:r>
      <w:r>
        <w:rPr>
          <w:rFonts w:ascii="Arial" w:cs="Arial" w:eastAsia="Arial" w:hAnsi="Arial"/>
          <w:sz w:val="16"/>
          <w:szCs w:val="16"/>
          <w:color w:val="auto"/>
        </w:rPr>
        <w:t>. An Award shall not be transferable by the Participant otherwise than by will or the laws of descent and distribution. So long as a Participant lives, only such Participant or his or her guardian or legal representative shall have the right to exercise such Award.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Beneficiary</w:t>
      </w:r>
      <w:r>
        <w:rPr>
          <w:rFonts w:ascii="Arial" w:cs="Arial" w:eastAsia="Arial" w:hAnsi="Arial"/>
          <w:sz w:val="18"/>
          <w:szCs w:val="18"/>
          <w:color w:val="auto"/>
        </w:rPr>
        <w:t>. A Participant may file with the Company a written designation of beneficiary, on such form as may be prescribed by the Committee, to receive any Shares, Awards or payments that become deliverable to the Participant pursuant to the Plan after the Participant's death. A Participant may, from time to time, amend or revoke a designation of beneficiary. If no designated beneficiary survives the Participant, the executor or administrator of the Participant's estate shall be deemed to be the Participant’s beneficiary.</w:t>
      </w:r>
    </w:p>
    <w:p>
      <w:pPr>
        <w:spacing w:after="0" w:line="2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i w:val="1"/>
          <w:iCs w:val="1"/>
          <w:color w:val="auto"/>
        </w:rPr>
        <w:t>Non-uniform Determinations</w:t>
      </w:r>
      <w:r>
        <w:rPr>
          <w:rFonts w:ascii="Arial" w:cs="Arial" w:eastAsia="Arial" w:hAnsi="Arial"/>
          <w:sz w:val="17"/>
          <w:szCs w:val="17"/>
          <w:color w:val="auto"/>
        </w:rPr>
        <w:t>. Determinations by the Committee under the Plan (including, without limitation, determinations of the Eligible Persons to receive Awards, the form, amount and timing of Awards, the terms and provisions of Awards and any agreements evidencing Awards and provisions with respect to termination of employment) need not be uniform and may be made by the Committee selectively among persons who receive, or are eligible to receive, Awards under the Plan, whether or not such persons are similarly situated.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i w:val="1"/>
          <w:iCs w:val="1"/>
          <w:color w:val="auto"/>
        </w:rPr>
        <w:t>Duration and Termination.</w:t>
      </w:r>
      <w:r>
        <w:rPr>
          <w:rFonts w:ascii="Arial" w:cs="Arial" w:eastAsia="Arial" w:hAnsi="Arial"/>
          <w:sz w:val="18"/>
          <w:szCs w:val="18"/>
          <w:color w:val="auto"/>
        </w:rPr>
        <w:t xml:space="preserve"> No awards shall be made under the Plan after April 23, 2022, provided that no Incentive Stock Option shall be granted under the Plan on or after the tenth anniversary of the effective date of the Plan. The Board may suspend, discontinue or terminate the Plan at any time. The suspension, discontinuance or termination of the Plan shall not impair any of the rights of any holder of any Award outstanding on the date of the Plan's suspension, discontinuance or termination without the holder's written consent.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51" w:name="page52"/>
    <w:bookmarkEnd w:id="51"/>
    <w:p>
      <w:pPr>
        <w:jc w:val="both"/>
        <w:ind w:firstLine="648"/>
        <w:spacing w:after="0" w:line="255"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Withholding</w:t>
      </w:r>
      <w:r>
        <w:rPr>
          <w:rFonts w:ascii="Arial" w:cs="Arial" w:eastAsia="Arial" w:hAnsi="Arial"/>
          <w:sz w:val="18"/>
          <w:szCs w:val="18"/>
          <w:color w:val="auto"/>
        </w:rPr>
        <w:t>. Prior to the issuance of any Shares under the Plan, arrangements satisfactory to the Committee in its sole discretion shall have been made for the Participant’s payment to the Company of the amount, if any, that the Committee determines to be necessary for the Company or Subsidiary employing the Participant to withhold in accordance with applicable federal or state income tax withholding requirements. If Shares are withheld from an Award to satisfy withholding requirements, the Fair Market Value of the Shares withheld shall not exceed an amount determined based on the maximum statutory tax rate in the applicable jurisdictions. When payments under the Plan are made in cash, such payments shall be net of an amount sufficient to satisfy such withholding requirements.</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Agreements and Undertakings</w:t>
      </w:r>
      <w:r>
        <w:rPr>
          <w:rFonts w:ascii="Arial" w:cs="Arial" w:eastAsia="Arial" w:hAnsi="Arial"/>
          <w:sz w:val="18"/>
          <w:szCs w:val="18"/>
          <w:color w:val="auto"/>
        </w:rPr>
        <w:t>. As a condition of any issuance or transfer of Shares, the Committee may obtain such agreements or undertakings, if any, as it may deem necessary or advisable to assure compliance with any provision of the Plan, any agreement or any law or regulation including, but not limited to, the following:</w:t>
      </w:r>
    </w:p>
    <w:p>
      <w:pPr>
        <w:spacing w:after="0" w:line="235" w:lineRule="exact"/>
        <w:rPr>
          <w:sz w:val="20"/>
          <w:szCs w:val="20"/>
          <w:color w:val="auto"/>
        </w:rPr>
      </w:pPr>
    </w:p>
    <w:p>
      <w:pPr>
        <w:ind w:firstLine="656"/>
        <w:spacing w:after="0" w:line="277" w:lineRule="auto"/>
        <w:tabs>
          <w:tab w:leader="none" w:pos="14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representation, warranty or agreement by the Participant to the Company that the Participant is acquiring the Shares for investment and not with a view to, or for sale in connection with, the distribution of any such Shares; and</w:t>
      </w:r>
    </w:p>
    <w:p>
      <w:pPr>
        <w:spacing w:after="0" w:line="224" w:lineRule="exact"/>
        <w:rPr>
          <w:rFonts w:ascii="Arial" w:cs="Arial" w:eastAsia="Arial" w:hAnsi="Arial"/>
          <w:sz w:val="18"/>
          <w:szCs w:val="18"/>
          <w:color w:val="auto"/>
        </w:rPr>
      </w:pPr>
    </w:p>
    <w:p>
      <w:pPr>
        <w:ind w:firstLine="656"/>
        <w:spacing w:after="0" w:line="277" w:lineRule="auto"/>
        <w:tabs>
          <w:tab w:leader="none" w:pos="1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representation, warranty or agreement to be bound by any restrictions that are, in the opinion of the Committee, necessary or appropriate to comply with the provisions of any securities law deemed by the Committee to be applicable to the issuance of the Shares.</w:t>
      </w:r>
    </w:p>
    <w:p>
      <w:pPr>
        <w:spacing w:after="0" w:line="22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i w:val="1"/>
          <w:iCs w:val="1"/>
          <w:color w:val="auto"/>
        </w:rPr>
        <w:t>Uncertificated Shares.</w:t>
      </w:r>
      <w:r>
        <w:rPr>
          <w:rFonts w:ascii="Arial" w:cs="Arial" w:eastAsia="Arial" w:hAnsi="Arial"/>
          <w:sz w:val="17"/>
          <w:szCs w:val="17"/>
          <w:color w:val="auto"/>
        </w:rPr>
        <w:t xml:space="preserve"> In lieu of issuing stock certificates for Shares acquired pursuant to the Plan, the Company may issue such Shares in book-entry or other electronic or uncertificated form, unless prohibited by applicable law or regulation or by applicable stock exchange rules.</w:t>
      </w:r>
    </w:p>
    <w:p>
      <w:pPr>
        <w:spacing w:after="0" w:line="20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Governing Law</w:t>
      </w:r>
      <w:r>
        <w:rPr>
          <w:rFonts w:ascii="Arial" w:cs="Arial" w:eastAsia="Arial" w:hAnsi="Arial"/>
          <w:sz w:val="18"/>
          <w:szCs w:val="18"/>
          <w:color w:val="auto"/>
        </w:rPr>
        <w:t>. The Plan shall be governed by the laws of the State of Texas except to the extent that federal law or Nevada corporate law is controlling.</w:t>
      </w:r>
    </w:p>
    <w:p>
      <w:pPr>
        <w:spacing w:after="0" w:line="22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i w:val="1"/>
          <w:iCs w:val="1"/>
          <w:color w:val="auto"/>
        </w:rPr>
        <w:t>Effective Date</w:t>
      </w:r>
      <w:r>
        <w:rPr>
          <w:rFonts w:ascii="Arial" w:cs="Arial" w:eastAsia="Arial" w:hAnsi="Arial"/>
          <w:sz w:val="16"/>
          <w:szCs w:val="16"/>
          <w:color w:val="auto"/>
        </w:rPr>
        <w:t>. The Plan amends and restates the Existing Plan in its entirety, effective April 24, 2018.</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KIRBY CORPORATION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Nonemployee Director Compensation Program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Director Fee</w:t>
      </w:r>
    </w:p>
    <w:p>
      <w:pPr>
        <w:spacing w:after="0" w:line="279" w:lineRule="exact"/>
        <w:rPr>
          <w:sz w:val="20"/>
          <w:szCs w:val="20"/>
          <w:color w:val="auto"/>
        </w:rPr>
      </w:pPr>
    </w:p>
    <w:p>
      <w:pPr>
        <w:jc w:val="both"/>
        <w:ind w:firstLine="656"/>
        <w:spacing w:after="0" w:line="264"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director will receive an annual fee of $75,000, payable in four equal quarterly payments to be made at the end of each calendar quarter, unless the director elects to receive (a) a stock option for shares of Kirby common stock or (b) restricted shares of Kirby common stock, in lieu of all or part of the cash fee. The fee will be prorated for any director elected between annual stockholder meetings.</w:t>
      </w:r>
    </w:p>
    <w:p>
      <w:pPr>
        <w:spacing w:after="0" w:line="235" w:lineRule="exact"/>
        <w:rPr>
          <w:rFonts w:ascii="Arial" w:cs="Arial" w:eastAsia="Arial" w:hAnsi="Arial"/>
          <w:sz w:val="18"/>
          <w:szCs w:val="18"/>
          <w:color w:val="auto"/>
        </w:rPr>
      </w:pPr>
    </w:p>
    <w:p>
      <w:pPr>
        <w:jc w:val="both"/>
        <w:ind w:firstLine="656"/>
        <w:spacing w:after="0" w:line="257" w:lineRule="auto"/>
        <w:tabs>
          <w:tab w:leader="none" w:pos="153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election to receive a stock option or restricted stock in lieu of director fees will be made annually. Except as provided in the next sentence, any director who elects to receive a stock option or restricted stock in lieu of all or part of the annual fee for the year following any annual meeting of stockholders must give written notice of that election to Kirby no later than the December 31 preceding such annual meeting. A newly elected director must give written notice of his or her election to receive a stock option or restricted stock in lieu of all or part of the annual fee no later than 30 days after the date of his or her first election as a director.</w:t>
      </w:r>
    </w:p>
    <w:p>
      <w:pPr>
        <w:spacing w:after="0" w:line="242" w:lineRule="exact"/>
        <w:rPr>
          <w:rFonts w:ascii="Arial" w:cs="Arial" w:eastAsia="Arial" w:hAnsi="Arial"/>
          <w:sz w:val="18"/>
          <w:szCs w:val="18"/>
          <w:color w:val="auto"/>
        </w:rPr>
      </w:pPr>
    </w:p>
    <w:p>
      <w:pPr>
        <w:ind w:left="1440" w:hanging="784"/>
        <w:spacing w:after="0"/>
        <w:tabs>
          <w:tab w:leader="none" w:pos="1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stock option shall be issued on the following terms:</w:t>
      </w:r>
    </w:p>
    <w:p>
      <w:pPr>
        <w:spacing w:after="0" w:line="279" w:lineRule="exact"/>
        <w:rPr>
          <w:rFonts w:ascii="Arial" w:cs="Arial" w:eastAsia="Arial" w:hAnsi="Arial"/>
          <w:sz w:val="18"/>
          <w:szCs w:val="18"/>
          <w:color w:val="auto"/>
        </w:rPr>
      </w:pPr>
    </w:p>
    <w:p>
      <w:pPr>
        <w:jc w:val="both"/>
        <w:ind w:right="440" w:firstLine="1305"/>
        <w:spacing w:after="0" w:line="264" w:lineRule="auto"/>
        <w:tabs>
          <w:tab w:leader="none" w:pos="20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number of shares of stock subject to the option will be equal to (i) the portion of the annual fee that a director elects to receive in the form of a stock option divided by (ii) the fair market value of a share of stock on the date of grant multiplied by (iii) 3, with the result then rounded to the nearest whole share.</w:t>
      </w:r>
    </w:p>
    <w:p>
      <w:pPr>
        <w:spacing w:after="0" w:line="235" w:lineRule="exact"/>
        <w:rPr>
          <w:rFonts w:ascii="Arial" w:cs="Arial" w:eastAsia="Arial" w:hAnsi="Arial"/>
          <w:sz w:val="18"/>
          <w:szCs w:val="18"/>
          <w:color w:val="auto"/>
        </w:rPr>
      </w:pPr>
    </w:p>
    <w:p>
      <w:pPr>
        <w:ind w:left="780" w:firstLine="524"/>
        <w:spacing w:after="0" w:line="277" w:lineRule="auto"/>
        <w:tabs>
          <w:tab w:leader="none" w:pos="2157"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exercise price per share will be the fair market value on the date of grant. The fair market value of a share of stock means the closing price on the New York Stock Exchange on the date of reference.</w:t>
      </w:r>
    </w:p>
    <w:p>
      <w:pPr>
        <w:spacing w:after="0" w:line="224" w:lineRule="exact"/>
        <w:rPr>
          <w:rFonts w:ascii="Arial" w:cs="Arial" w:eastAsia="Arial" w:hAnsi="Arial"/>
          <w:sz w:val="18"/>
          <w:szCs w:val="18"/>
          <w:color w:val="auto"/>
        </w:rPr>
      </w:pPr>
    </w:p>
    <w:p>
      <w:pPr>
        <w:jc w:val="both"/>
        <w:ind w:left="780" w:firstLine="524"/>
        <w:spacing w:after="0" w:line="259" w:lineRule="auto"/>
        <w:tabs>
          <w:tab w:leader="none" w:pos="2119"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option will vest one-fourth on the first quarterly payment date, one-fourth on the second quarterly payment date, one-fourth on the third quarterly payment date and one-fourth on the fourth quarterly payment date or, in the case of a director elected between annual stockholder meetings, in equal parts on the remaining quarterly payment dates prior to the first anniversary of the most recent annual meeting of stockholders.</w:t>
      </w:r>
    </w:p>
    <w:p>
      <w:pPr>
        <w:spacing w:after="0" w:line="240" w:lineRule="exact"/>
        <w:rPr>
          <w:rFonts w:ascii="Arial" w:cs="Arial" w:eastAsia="Arial" w:hAnsi="Arial"/>
          <w:sz w:val="18"/>
          <w:szCs w:val="18"/>
          <w:color w:val="auto"/>
        </w:rPr>
      </w:pPr>
    </w:p>
    <w:p>
      <w:pPr>
        <w:ind w:left="780" w:firstLine="524"/>
        <w:spacing w:after="0" w:line="277" w:lineRule="auto"/>
        <w:tabs>
          <w:tab w:leader="none" w:pos="21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option will be subject to the terms of the plan under which it is issued, including without limitation provisions relating to vesting, exercise, termination and transferability.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3" w:name="page54"/>
    <w:bookmarkEnd w:id="53"/>
    <w:p>
      <w:pPr>
        <w:ind w:left="1440" w:hanging="784"/>
        <w:spacing w:after="0"/>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restricted stock shall be issued on the following terms:</w:t>
      </w:r>
    </w:p>
    <w:p>
      <w:pPr>
        <w:spacing w:after="0" w:line="279" w:lineRule="exact"/>
        <w:rPr>
          <w:rFonts w:ascii="Arial" w:cs="Arial" w:eastAsia="Arial" w:hAnsi="Arial"/>
          <w:sz w:val="18"/>
          <w:szCs w:val="18"/>
          <w:color w:val="auto"/>
        </w:rPr>
      </w:pPr>
    </w:p>
    <w:p>
      <w:pPr>
        <w:jc w:val="both"/>
        <w:ind w:left="780" w:firstLine="524"/>
        <w:spacing w:after="0" w:line="264" w:lineRule="auto"/>
        <w:tabs>
          <w:tab w:leader="none" w:pos="2173"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number of shares of restricted stock will be equal to (i) the portion of the annual fee that a director elects to receive in the form of restricted stock divided by (ii) the fair market value of a share of stock on the date of grant multiplied by (iii) 1.2, with the result then rounded to the nearest whole share.</w:t>
      </w:r>
    </w:p>
    <w:p>
      <w:pPr>
        <w:spacing w:after="0" w:line="235" w:lineRule="exact"/>
        <w:rPr>
          <w:rFonts w:ascii="Arial" w:cs="Arial" w:eastAsia="Arial" w:hAnsi="Arial"/>
          <w:sz w:val="18"/>
          <w:szCs w:val="18"/>
          <w:color w:val="auto"/>
        </w:rPr>
      </w:pPr>
    </w:p>
    <w:p>
      <w:pPr>
        <w:ind w:left="2100" w:hanging="796"/>
        <w:spacing w:after="0"/>
        <w:tabs>
          <w:tab w:leader="none" w:pos="21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fair market value of a share of stock means the closing price on the New York Stock Exchange on the date of reference.</w:t>
      </w:r>
    </w:p>
    <w:p>
      <w:pPr>
        <w:spacing w:after="0" w:line="302" w:lineRule="exact"/>
        <w:rPr>
          <w:rFonts w:ascii="Arial" w:cs="Arial" w:eastAsia="Arial" w:hAnsi="Arial"/>
          <w:sz w:val="16"/>
          <w:szCs w:val="16"/>
          <w:color w:val="auto"/>
        </w:rPr>
      </w:pPr>
    </w:p>
    <w:p>
      <w:pPr>
        <w:jc w:val="both"/>
        <w:ind w:left="780" w:firstLine="524"/>
        <w:spacing w:after="0" w:line="259" w:lineRule="auto"/>
        <w:tabs>
          <w:tab w:leader="none" w:pos="2187"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restricted stock will vest one-fourth on the first quarterly payment date, one-fourth on the second quarterly payment date, one-fourth on the third quarterly payment date and one-fourth on the fourth quarterly payment date or, in the case of a director elected between annual stockholder meetings, in equal parts on the remaining quarterly payment dates prior to the first anniversary of the most recent annual meeting of stockholders.</w:t>
      </w:r>
    </w:p>
    <w:p>
      <w:pPr>
        <w:spacing w:after="0" w:line="240" w:lineRule="exact"/>
        <w:rPr>
          <w:rFonts w:ascii="Arial" w:cs="Arial" w:eastAsia="Arial" w:hAnsi="Arial"/>
          <w:sz w:val="18"/>
          <w:szCs w:val="18"/>
          <w:color w:val="auto"/>
        </w:rPr>
      </w:pPr>
    </w:p>
    <w:p>
      <w:pPr>
        <w:ind w:left="780" w:firstLine="524"/>
        <w:spacing w:after="0" w:line="277" w:lineRule="auto"/>
        <w:tabs>
          <w:tab w:leader="none" w:pos="2251"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restricted stock will be subject to the terms of the plan under which it is issued, including without limitation provisions relating to vesting and transferability.</w:t>
      </w:r>
    </w:p>
    <w:p>
      <w:pPr>
        <w:spacing w:after="0" w:line="224" w:lineRule="exact"/>
        <w:rPr>
          <w:rFonts w:ascii="Arial" w:cs="Arial" w:eastAsia="Arial" w:hAnsi="Arial"/>
          <w:sz w:val="18"/>
          <w:szCs w:val="18"/>
          <w:color w:val="auto"/>
        </w:rPr>
      </w:pPr>
    </w:p>
    <w:p>
      <w:pPr>
        <w:jc w:val="both"/>
        <w:ind w:firstLine="656"/>
        <w:spacing w:after="0" w:line="259" w:lineRule="auto"/>
        <w:tabs>
          <w:tab w:leader="none" w:pos="16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provided in the next sentence, the date of grant of an option or restricted stock granted in lieu of the annual fee means the second business day after Kirby’s first quarter earnings conference call following the election by the director to receive the fee in the form of a stock option or restricted stock instead of cash. For a newly elected director, the date of grant means the date of his or her election to receive a stock option or restricted stock in lieu of cash fees.</w:t>
      </w:r>
    </w:p>
    <w:p>
      <w:pPr>
        <w:spacing w:after="0" w:line="240" w:lineRule="exact"/>
        <w:rPr>
          <w:rFonts w:ascii="Arial" w:cs="Arial" w:eastAsia="Arial" w:hAnsi="Arial"/>
          <w:sz w:val="18"/>
          <w:szCs w:val="18"/>
          <w:color w:val="auto"/>
        </w:rPr>
      </w:pPr>
    </w:p>
    <w:p>
      <w:pPr>
        <w:ind w:right="20" w:firstLine="656"/>
        <w:spacing w:after="0" w:line="277" w:lineRule="auto"/>
        <w:tabs>
          <w:tab w:leader="none" w:pos="153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payment of cash fees and vesting of stock options and restricted stock are contingent on a director's continuing to serve in that capacity on each such quarterly payment or vesting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Chairman of the Board, Committee Chairman and Presiding Director Fees</w:t>
      </w:r>
    </w:p>
    <w:p>
      <w:pPr>
        <w:spacing w:after="0" w:line="279" w:lineRule="exact"/>
        <w:rPr>
          <w:sz w:val="20"/>
          <w:szCs w:val="20"/>
          <w:color w:val="auto"/>
        </w:rPr>
      </w:pPr>
    </w:p>
    <w:p>
      <w:pPr>
        <w:jc w:val="both"/>
        <w:ind w:firstLine="656"/>
        <w:spacing w:after="0" w:line="293" w:lineRule="auto"/>
        <w:tabs>
          <w:tab w:leader="none" w:pos="1526"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Chairman of the Board will receive an annual fee of $150,000. The Chairman of the Audit Committee will receive an annual fee of $20,000. The Chairman of the Compensation Committee will receive an annual fee of $15,000. The Chairman of the Governance Committee will receive an annual fee of $10,000. The director selected to be the presiding director at executive sessions of non-management directors will receive an annual fee of $20,000. In addition, each director will receive an annual fee of $7,500 for each committee of the board on which he or she serves. All of such fees will be payable in four equal quarterly payments to be made at the end of each calendar quarter. The Chairman of the Board, committee chairman, presiding director and committee member fees will be prorated for any director who is elected to such position between annual meetings of the board of directors.</w:t>
      </w:r>
    </w:p>
    <w:p>
      <w:pPr>
        <w:spacing w:after="0" w:line="218" w:lineRule="exact"/>
        <w:rPr>
          <w:rFonts w:ascii="Arial" w:cs="Arial" w:eastAsia="Arial" w:hAnsi="Arial"/>
          <w:sz w:val="16"/>
          <w:szCs w:val="16"/>
          <w:color w:val="auto"/>
        </w:rPr>
      </w:pPr>
    </w:p>
    <w:p>
      <w:pPr>
        <w:ind w:firstLine="656"/>
        <w:spacing w:after="0" w:line="277" w:lineRule="auto"/>
        <w:tabs>
          <w:tab w:leader="none" w:pos="15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quarterly payment of the Chairman of the Board, committee chairman, presiding director and committee member fees is contingent on a director’s continuing to serve in such position on each such quarterly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auto"/>
        </w:rPr>
        <w:t>Meeting Fees</w:t>
      </w:r>
    </w:p>
    <w:p>
      <w:pPr>
        <w:spacing w:after="0" w:line="279" w:lineRule="exact"/>
        <w:rPr>
          <w:sz w:val="20"/>
          <w:szCs w:val="20"/>
          <w:color w:val="auto"/>
        </w:rPr>
      </w:pPr>
    </w:p>
    <w:p>
      <w:pPr>
        <w:ind w:left="1520" w:hanging="864"/>
        <w:spacing w:after="0"/>
        <w:tabs>
          <w:tab w:leader="none" w:pos="1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director will receive a fee of $3,000 for each board meeting attended, in person or by telephone, in excess of 6 meetings in any one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calendar year.</w:t>
      </w:r>
    </w:p>
    <w:p>
      <w:pPr>
        <w:spacing w:after="0" w:line="264" w:lineRule="exact"/>
        <w:rPr>
          <w:rFonts w:ascii="Arial" w:cs="Arial" w:eastAsia="Arial" w:hAnsi="Arial"/>
          <w:sz w:val="16"/>
          <w:szCs w:val="16"/>
          <w:color w:val="auto"/>
        </w:rPr>
      </w:pPr>
    </w:p>
    <w:p>
      <w:pPr>
        <w:jc w:val="both"/>
        <w:ind w:firstLine="656"/>
        <w:spacing w:after="0" w:line="286" w:lineRule="auto"/>
        <w:tabs>
          <w:tab w:leader="none" w:pos="1485"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member of a committee of the board will receive a fee of $3,000 for each committee meeting attended, in person or by telephone, in excess of 10 meetings in any one calendar year in the case of the Audit Committee, in excess of 8 meetings in any one calendar year in the case of the Compensation Committee and in excess of 8 meetings in any one calendar year in the case of the Governance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Automatic Restricted Stock Grants</w:t>
      </w:r>
    </w:p>
    <w:p>
      <w:pPr>
        <w:spacing w:after="0" w:line="279" w:lineRule="exact"/>
        <w:rPr>
          <w:sz w:val="20"/>
          <w:szCs w:val="20"/>
          <w:color w:val="auto"/>
        </w:rPr>
      </w:pPr>
    </w:p>
    <w:p>
      <w:pPr>
        <w:jc w:val="both"/>
        <w:ind w:right="20" w:firstLine="656"/>
        <w:spacing w:after="0" w:line="264" w:lineRule="auto"/>
        <w:tabs>
          <w:tab w:leader="none" w:pos="1526"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director will receive $167,500 in value of restricted shares of Kirby common stock following each annual meeting of stockholders, except that a director elected between annual stockholder meetings will receive a prorated dollar value of restricted stock for the year in which he or she is first elected.</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1440" w:hanging="784"/>
        <w:spacing w:after="0"/>
        <w:tabs>
          <w:tab w:leader="none" w:pos="1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restricted stock shall be issued on the following terms:</w:t>
      </w:r>
    </w:p>
    <w:p>
      <w:pPr>
        <w:spacing w:after="0" w:line="279" w:lineRule="exact"/>
        <w:rPr>
          <w:rFonts w:ascii="Arial" w:cs="Arial" w:eastAsia="Arial" w:hAnsi="Arial"/>
          <w:sz w:val="18"/>
          <w:szCs w:val="18"/>
          <w:color w:val="auto"/>
        </w:rPr>
      </w:pPr>
    </w:p>
    <w:p>
      <w:pPr>
        <w:ind w:left="780" w:firstLine="524"/>
        <w:spacing w:after="0" w:line="277" w:lineRule="auto"/>
        <w:tabs>
          <w:tab w:leader="none" w:pos="2187"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number of shares of restricted stock will be equal to (i) the dollar value divided by (ii) the fair market value of a share of stock on the date of grant multiplied by (iii) 1.2, with the result then rounded to the nearest whole share.</w:t>
      </w:r>
    </w:p>
    <w:p>
      <w:pPr>
        <w:spacing w:after="0" w:line="224" w:lineRule="exact"/>
        <w:rPr>
          <w:rFonts w:ascii="Arial" w:cs="Arial" w:eastAsia="Arial" w:hAnsi="Arial"/>
          <w:sz w:val="18"/>
          <w:szCs w:val="18"/>
          <w:color w:val="auto"/>
        </w:rPr>
      </w:pPr>
    </w:p>
    <w:p>
      <w:pPr>
        <w:jc w:val="both"/>
        <w:ind w:left="780" w:firstLine="524"/>
        <w:spacing w:after="0" w:line="264" w:lineRule="auto"/>
        <w:tabs>
          <w:tab w:leader="none" w:pos="2157"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fair market value of a share of stock means the closing price on the New York Stock Exchange on the date of grant, which shall be the second business day after Kirby’s first quarter earnings conference call, except that for a director elected between annual stockholder meetings, the date of grant for the initial prorated grant shall be determined as follows:</w:t>
      </w:r>
    </w:p>
    <w:p>
      <w:pPr>
        <w:spacing w:after="0" w:line="235" w:lineRule="exact"/>
        <w:rPr>
          <w:rFonts w:ascii="Arial" w:cs="Arial" w:eastAsia="Arial" w:hAnsi="Arial"/>
          <w:sz w:val="18"/>
          <w:szCs w:val="18"/>
          <w:color w:val="auto"/>
        </w:rPr>
      </w:pPr>
    </w:p>
    <w:p>
      <w:pPr>
        <w:ind w:left="1300" w:right="340" w:firstLine="653"/>
        <w:spacing w:after="0" w:line="277" w:lineRule="auto"/>
        <w:tabs>
          <w:tab w:leader="none" w:pos="2658" w:val="left"/>
        </w:tabs>
        <w:numPr>
          <w:ilvl w:val="2"/>
          <w:numId w:val="36"/>
        </w:numPr>
        <w:rPr>
          <w:rFonts w:ascii="Arial" w:cs="Arial" w:eastAsia="Arial" w:hAnsi="Arial"/>
          <w:sz w:val="18"/>
          <w:szCs w:val="18"/>
          <w:color w:val="auto"/>
        </w:rPr>
      </w:pPr>
      <w:r>
        <w:rPr>
          <w:rFonts w:ascii="Arial" w:cs="Arial" w:eastAsia="Arial" w:hAnsi="Arial"/>
          <w:sz w:val="18"/>
          <w:szCs w:val="18"/>
          <w:color w:val="auto"/>
        </w:rPr>
        <w:t>If the director is elected at a regular quarterly meeting of the Board of Directors, the date of grant shall be the second business day after Kirby’s earnings conference call for the immediately preceding quarter.</w:t>
      </w:r>
    </w:p>
    <w:p>
      <w:pPr>
        <w:spacing w:after="0" w:line="224" w:lineRule="exact"/>
        <w:rPr>
          <w:rFonts w:ascii="Arial" w:cs="Arial" w:eastAsia="Arial" w:hAnsi="Arial"/>
          <w:sz w:val="18"/>
          <w:szCs w:val="18"/>
          <w:color w:val="auto"/>
        </w:rPr>
      </w:pPr>
    </w:p>
    <w:p>
      <w:pPr>
        <w:ind w:left="2660" w:hanging="707"/>
        <w:spacing w:after="0"/>
        <w:tabs>
          <w:tab w:leader="none" w:pos="26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If the director is elected at any other time, the date of grant shall be the date of his or her election.</w:t>
      </w:r>
    </w:p>
    <w:p>
      <w:pPr>
        <w:spacing w:after="0" w:line="279" w:lineRule="exact"/>
        <w:rPr>
          <w:rFonts w:ascii="Arial" w:cs="Arial" w:eastAsia="Arial" w:hAnsi="Arial"/>
          <w:sz w:val="18"/>
          <w:szCs w:val="18"/>
          <w:color w:val="auto"/>
        </w:rPr>
      </w:pPr>
    </w:p>
    <w:p>
      <w:pPr>
        <w:ind w:left="2100" w:hanging="796"/>
        <w:spacing w:after="0"/>
        <w:tabs>
          <w:tab w:leader="none" w:pos="21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restricted stock will vest six months after the date of grant.</w:t>
      </w:r>
    </w:p>
    <w:p>
      <w:pPr>
        <w:spacing w:after="0" w:line="279" w:lineRule="exact"/>
        <w:rPr>
          <w:rFonts w:ascii="Arial" w:cs="Arial" w:eastAsia="Arial" w:hAnsi="Arial"/>
          <w:sz w:val="18"/>
          <w:szCs w:val="18"/>
          <w:color w:val="auto"/>
        </w:rPr>
      </w:pPr>
    </w:p>
    <w:p>
      <w:pPr>
        <w:ind w:left="780" w:firstLine="524"/>
        <w:spacing w:after="0" w:line="277" w:lineRule="auto"/>
        <w:tabs>
          <w:tab w:leader="none" w:pos="2251"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restricted stock will be subject to the terms of the plan under which it is issued, including without limitation provisions relating to vesting and transferability.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Discretionary Stock Option and Restricted Stock Grants</w:t>
      </w:r>
    </w:p>
    <w:p>
      <w:pPr>
        <w:spacing w:after="0" w:line="279" w:lineRule="exact"/>
        <w:rPr>
          <w:sz w:val="20"/>
          <w:szCs w:val="20"/>
          <w:color w:val="auto"/>
        </w:rPr>
      </w:pPr>
    </w:p>
    <w:p>
      <w:pPr>
        <w:jc w:val="both"/>
        <w:ind w:firstLine="656"/>
        <w:spacing w:after="0" w:line="264" w:lineRule="auto"/>
        <w:tabs>
          <w:tab w:leader="none" w:pos="16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Compensation Committee or the Board of Directors, as applicable, may, in its discretion, grant options and restricted stock to directors as permitted by and subject to the terms of the plan under which such grants are issued, including without limitation provisions relating to vesting, exercise, termination and transferability.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auto"/>
        </w:rPr>
        <w:t>General</w:t>
      </w:r>
    </w:p>
    <w:p>
      <w:pPr>
        <w:spacing w:after="0" w:line="279" w:lineRule="exact"/>
        <w:rPr>
          <w:sz w:val="20"/>
          <w:szCs w:val="20"/>
          <w:color w:val="auto"/>
        </w:rPr>
      </w:pPr>
    </w:p>
    <w:p>
      <w:pPr>
        <w:ind w:left="1440" w:hanging="784"/>
        <w:spacing w:after="0"/>
        <w:tabs>
          <w:tab w:leader="none" w:pos="1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compensation program may be amended, modified or terminated by the board at any time.</w:t>
      </w:r>
    </w:p>
    <w:p>
      <w:pPr>
        <w:spacing w:after="0" w:line="279" w:lineRule="exact"/>
        <w:rPr>
          <w:rFonts w:ascii="Arial" w:cs="Arial" w:eastAsia="Arial" w:hAnsi="Arial"/>
          <w:sz w:val="18"/>
          <w:szCs w:val="18"/>
          <w:color w:val="auto"/>
        </w:rPr>
      </w:pPr>
    </w:p>
    <w:p>
      <w:pPr>
        <w:ind w:left="1440" w:hanging="784"/>
        <w:spacing w:after="0"/>
        <w:tabs>
          <w:tab w:leader="none" w:pos="1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compensation program applies only to directors of Kirby who are not employees of Kirby or any of its subsidiaries.</w:t>
      </w:r>
    </w:p>
    <w:p>
      <w:pPr>
        <w:spacing w:after="0" w:line="279" w:lineRule="exact"/>
        <w:rPr>
          <w:rFonts w:ascii="Arial" w:cs="Arial" w:eastAsia="Arial" w:hAnsi="Arial"/>
          <w:sz w:val="18"/>
          <w:szCs w:val="18"/>
          <w:color w:val="auto"/>
        </w:rPr>
      </w:pPr>
    </w:p>
    <w:p>
      <w:pPr>
        <w:ind w:firstLine="656"/>
        <w:spacing w:after="0" w:line="277" w:lineRule="auto"/>
        <w:tabs>
          <w:tab w:leader="none" w:pos="14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compensation program is effective April 24, 2018 and amends and restates in its entirety the Nonemployee Director Compensation Program previously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filing of the Quarterly Report on Form 10-Q for the quarter ended March 31, 2018 by Kirby Corporation, David 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Grzebinski certifies that:</w:t>
      </w:r>
    </w:p>
    <w:p>
      <w:pPr>
        <w:spacing w:after="0" w:line="238"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March 31, 2018 by Kirby Corporation, William G. Harvey certifies that:</w:t>
      </w:r>
    </w:p>
    <w:p>
      <w:pPr>
        <w:spacing w:after="0" w:line="197"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18 U.S.C. Section 1350</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March 31, 2018 (the “Report”) by Kirby Corporation (the “Company”), each of the undersigned hereby certifies that:</w:t>
      </w:r>
    </w:p>
    <w:p>
      <w:pPr>
        <w:spacing w:after="0" w:line="197"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endash "/>
      <w:numFmt w:val="bullet"/>
      <w:start w:val="1"/>
    </w:lvl>
  </w:abstractNum>
  <w:abstractNum w:abstractNumId="3">
    <w:nsid w:val="2443A858"/>
    <w:multiLevelType w:val="hybridMultilevel"/>
    <w:lvl w:ilvl="0">
      <w:lvlJc w:val="left"/>
      <w:lvlText w:val="%1"/>
      <w:numFmt w:val="decimal"/>
      <w:start w:val="1"/>
    </w:lvl>
    <w:lvl w:ilvl="1">
      <w:lvlJc w:val="left"/>
      <w:lvlText w:val="(%2)"/>
      <w:numFmt w:val="lowerLetter"/>
      <w:start w:val="1"/>
    </w:lvl>
  </w:abstractNum>
  <w:abstractNum w:abstractNumId="4">
    <w:nsid w:val="2D1D5AE9"/>
    <w:multiLevelType w:val="hybridMultilevel"/>
    <w:lvl w:ilvl="0">
      <w:lvlJc w:val="left"/>
      <w:lvlText w:val="(%1)"/>
      <w:numFmt w:val="decimal"/>
      <w:start w:val="10"/>
    </w:lvl>
    <w:lvl w:ilvl="1">
      <w:lvlJc w:val="left"/>
      <w:lvlText w:val="%2"/>
      <w:numFmt w:val="lowerLetter"/>
      <w:start w:val="1"/>
    </w:lvl>
  </w:abstractNum>
  <w:abstractNum w:abstractNumId="5">
    <w:nsid w:val="6763845E"/>
    <w:multiLevelType w:val="hybridMultilevel"/>
    <w:lvl w:ilvl="0">
      <w:lvlJc w:val="left"/>
      <w:lvlText w:val="%1"/>
      <w:numFmt w:val="decimal"/>
      <w:start w:val="32"/>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lowerLetter"/>
      <w:start w:val="1"/>
    </w:lvl>
    <w:lvl w:ilvl="1">
      <w:lvlJc w:val="left"/>
      <w:lvlText w:val="(%2)"/>
      <w:numFmt w:val="lowerRoman"/>
      <w:start w:val="1"/>
    </w:lvl>
  </w:abstractNum>
  <w:abstractNum w:abstractNumId="9">
    <w:nsid w:val="4353D0CD"/>
    <w:multiLevelType w:val="hybridMultilevel"/>
    <w:lvl w:ilvl="0">
      <w:lvlJc w:val="left"/>
      <w:lvlText w:val="%1"/>
      <w:numFmt w:val="upperLetter"/>
      <w:start w:val="1"/>
    </w:lvl>
    <w:lvl w:ilvl="1">
      <w:lvlJc w:val="left"/>
      <w:lvlText w:val="(%2)"/>
      <w:numFmt w:val="lowerRoman"/>
      <w:start w:val="1"/>
    </w:lvl>
  </w:abstractNum>
  <w:abstractNum w:abstractNumId="10">
    <w:nsid w:val="B03E0C6"/>
    <w:multiLevelType w:val="hybridMultilevel"/>
    <w:lvl w:ilvl="0">
      <w:lvlJc w:val="left"/>
      <w:lvlText w:val="(%1)"/>
      <w:numFmt w:val="upperLetter"/>
      <w:start w:val="1"/>
    </w:lvl>
    <w:lvl w:ilvl="1">
      <w:lvlJc w:val="left"/>
      <w:lvlText w:val="(%2)"/>
      <w:numFmt w:val="lowerRoman"/>
      <w:start w:val="3"/>
    </w:lvl>
  </w:abstractNum>
  <w:abstractNum w:abstractNumId="11">
    <w:nsid w:val="189A769B"/>
    <w:multiLevelType w:val="hybridMultilevel"/>
    <w:lvl w:ilvl="0">
      <w:lvlJc w:val="left"/>
      <w:lvlText w:val="(%1)"/>
      <w:numFmt w:val="lowerLetter"/>
      <w:start w:val="5"/>
    </w:lvl>
  </w:abstractNum>
  <w:abstractNum w:abstractNumId="12">
    <w:nsid w:val="54E49EB4"/>
    <w:multiLevelType w:val="hybridMultilevel"/>
    <w:lvl w:ilvl="0">
      <w:lvlJc w:val="left"/>
      <w:lvlText w:val="(%1)"/>
      <w:numFmt w:val="lowerLetter"/>
      <w:start w:val="11"/>
    </w:lvl>
    <w:lvl w:ilvl="1">
      <w:lvlJc w:val="left"/>
      <w:lvlText w:val="(%2)"/>
      <w:numFmt w:val="lowerRoman"/>
      <w:start w:val="1"/>
    </w:lvl>
  </w:abstractNum>
  <w:abstractNum w:abstractNumId="13">
    <w:nsid w:val="71F32454"/>
    <w:multiLevelType w:val="hybridMultilevel"/>
    <w:lvl w:ilvl="0">
      <w:lvlJc w:val="left"/>
      <w:lvlText w:val="(%1)"/>
      <w:numFmt w:val="lowerLetter"/>
      <w:start w:val="25"/>
    </w:lvl>
  </w:abstractNum>
  <w:abstractNum w:abstractNumId="14">
    <w:nsid w:val="2CA88611"/>
    <w:multiLevelType w:val="hybridMultilevel"/>
    <w:lvl w:ilvl="0">
      <w:lvlJc w:val="left"/>
      <w:lvlText w:val="(%1)"/>
      <w:numFmt w:val="lowerLetter"/>
      <w:start w:val="27"/>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Letter"/>
      <w:start w:val="1"/>
    </w:lvl>
    <w:lvl w:ilvl="1">
      <w:lvlJc w:val="left"/>
      <w:lvlText w:val="(%2)"/>
      <w:numFmt w:val="lowerRoman"/>
      <w:start w:val="1"/>
    </w:lvl>
  </w:abstractNum>
  <w:abstractNum w:abstractNumId="18">
    <w:nsid w:val="8138641"/>
    <w:multiLevelType w:val="hybridMultilevel"/>
    <w:lvl w:ilvl="0">
      <w:lvlJc w:val="left"/>
      <w:lvlText w:val="(%1)"/>
      <w:numFmt w:val="lowerRoman"/>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3"/>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Roman"/>
      <w:start w:val="2"/>
    </w:lvl>
  </w:abstractNum>
  <w:abstractNum w:abstractNumId="24">
    <w:nsid w:val="4516DDE9"/>
    <w:multiLevelType w:val="hybridMultilevel"/>
    <w:lvl w:ilvl="0">
      <w:lvlJc w:val="left"/>
      <w:lvlText w:val="(%1)"/>
      <w:numFmt w:val="lowerLetter"/>
      <w:start w:val="1"/>
    </w:lvl>
    <w:lvl w:ilvl="1">
      <w:lvlJc w:val="left"/>
      <w:lvlText w:val="(%2)"/>
      <w:numFmt w:val="lowerRoman"/>
      <w:start w:val="2"/>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5"/>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2"/>
    </w:lvl>
    <w:lvl w:ilvl="1">
      <w:lvlJc w:val="left"/>
      <w:lvlText w:val="(%2)"/>
      <w:numFmt w:val="lowerRoman"/>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decimal"/>
      <w:start w:val="1"/>
    </w:lvl>
    <w:lvl w:ilvl="1">
      <w:lvlJc w:val="left"/>
      <w:lvlText w:val="(%2)"/>
      <w:numFmt w:val="lowerLetter"/>
      <w:start w:val="1"/>
    </w:lvl>
  </w:abstractNum>
  <w:abstractNum w:abstractNumId="32">
    <w:nsid w:val="77465F01"/>
    <w:multiLevelType w:val="hybridMultilevel"/>
    <w:lvl w:ilvl="0">
      <w:lvlJc w:val="left"/>
      <w:lvlText w:val="%1."/>
      <w:numFmt w:val="decimal"/>
      <w:start w:val="4"/>
    </w:lvl>
    <w:lvl w:ilvl="1">
      <w:lvlJc w:val="left"/>
      <w:lvlText w:val="(%2)"/>
      <w:numFmt w:val="lowerLetter"/>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2019-12-28T22:28:04Z</dcterms:created>
  <dcterms:modified xsi:type="dcterms:W3CDTF">2019-12-28T22:28:04Z</dcterms:modified>
</cp:coreProperties>
</file>