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png" ContentType="image/pn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jc w:val="center"/>
        <w:spacing w:after="0"/>
        <w:rPr>
          <w:sz w:val="20"/>
          <w:szCs w:val="20"/>
          <w:color w:val="auto"/>
        </w:rPr>
      </w:pPr>
      <w:r>
        <w:rPr>
          <w:rFonts w:ascii="Arial" w:cs="Arial" w:eastAsia="Arial" w:hAnsi="Arial"/>
          <w:sz w:val="25"/>
          <w:szCs w:val="25"/>
          <w:b w:val="1"/>
          <w:bCs w:val="1"/>
          <w:color w:val="auto"/>
        </w:rPr>
        <w:drawing>
          <wp:anchor simplePos="0" relativeHeight="251657728" behindDoc="1" locked="0" layoutInCell="0" allowOverlap="1">
            <wp:simplePos x="0" y="0"/>
            <wp:positionH relativeFrom="page">
              <wp:posOffset>208280</wp:posOffset>
            </wp:positionH>
            <wp:positionV relativeFrom="page">
              <wp:posOffset>509270</wp:posOffset>
            </wp:positionV>
            <wp:extent cx="7132320" cy="34290"/>
            <wp:wrapNone/>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7132320" cy="34290"/>
                    </a:xfrm>
                    <a:prstGeom prst="rect">
                      <a:avLst/>
                    </a:prstGeom>
                    <a:noFill/>
                  </pic:spPr>
                </pic:pic>
              </a:graphicData>
            </a:graphic>
          </wp:anchor>
        </w:drawing>
        <w:t>UNITED STATES</w:t>
      </w:r>
    </w:p>
    <w:p>
      <w:pPr>
        <w:spacing w:after="0" w:line="41" w:lineRule="exact"/>
        <w:rPr>
          <w:sz w:val="24"/>
          <w:szCs w:val="24"/>
          <w:color w:val="auto"/>
        </w:rPr>
      </w:pPr>
    </w:p>
    <w:p>
      <w:pPr>
        <w:jc w:val="center"/>
        <w:spacing w:after="0"/>
        <w:rPr>
          <w:sz w:val="20"/>
          <w:szCs w:val="20"/>
          <w:color w:val="auto"/>
        </w:rPr>
      </w:pPr>
      <w:r>
        <w:rPr>
          <w:rFonts w:ascii="Arial" w:cs="Arial" w:eastAsia="Arial" w:hAnsi="Arial"/>
          <w:sz w:val="25"/>
          <w:szCs w:val="25"/>
          <w:b w:val="1"/>
          <w:bCs w:val="1"/>
          <w:color w:val="auto"/>
        </w:rPr>
        <w:t>SECURITIES AND EXCHANGE COMMISSION</w:t>
      </w:r>
    </w:p>
    <w:p>
      <w:pPr>
        <w:spacing w:after="0" w:line="37" w:lineRule="exact"/>
        <w:rPr>
          <w:sz w:val="24"/>
          <w:szCs w:val="24"/>
          <w:color w:val="auto"/>
        </w:rPr>
      </w:pPr>
    </w:p>
    <w:p>
      <w:pPr>
        <w:jc w:val="center"/>
        <w:spacing w:after="0"/>
        <w:rPr>
          <w:sz w:val="20"/>
          <w:szCs w:val="20"/>
          <w:color w:val="auto"/>
        </w:rPr>
      </w:pPr>
      <w:r>
        <w:rPr>
          <w:rFonts w:ascii="Arial" w:cs="Arial" w:eastAsia="Arial" w:hAnsi="Arial"/>
          <w:sz w:val="22"/>
          <w:szCs w:val="22"/>
          <w:b w:val="1"/>
          <w:bCs w:val="1"/>
          <w:color w:val="auto"/>
        </w:rPr>
        <w:t>Washington, D.C. 20549</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74295</wp:posOffset>
            </wp:positionV>
            <wp:extent cx="7132320" cy="8255"/>
            <wp:wrapNone/>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7" w:lineRule="exact"/>
        <w:rPr>
          <w:sz w:val="24"/>
          <w:szCs w:val="24"/>
          <w:color w:val="auto"/>
        </w:rPr>
      </w:pPr>
    </w:p>
    <w:p>
      <w:pPr>
        <w:jc w:val="center"/>
        <w:spacing w:after="0"/>
        <w:rPr>
          <w:sz w:val="20"/>
          <w:szCs w:val="20"/>
          <w:color w:val="auto"/>
        </w:rPr>
      </w:pPr>
      <w:r>
        <w:rPr>
          <w:rFonts w:ascii="Arial" w:cs="Arial" w:eastAsia="Arial" w:hAnsi="Arial"/>
          <w:sz w:val="32"/>
          <w:szCs w:val="32"/>
          <w:b w:val="1"/>
          <w:bCs w:val="1"/>
          <w:color w:val="auto"/>
        </w:rPr>
        <w:t>Form 10-Q</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100965</wp:posOffset>
            </wp:positionV>
            <wp:extent cx="7132320" cy="825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179" w:lineRule="exact"/>
        <w:rPr>
          <w:sz w:val="24"/>
          <w:szCs w:val="24"/>
          <w:color w:val="auto"/>
        </w:rPr>
      </w:pPr>
    </w:p>
    <w:p>
      <w:pPr>
        <w:ind w:left="440"/>
        <w:spacing w:after="0"/>
        <w:rPr>
          <w:sz w:val="20"/>
          <w:szCs w:val="20"/>
          <w:color w:val="auto"/>
        </w:rPr>
      </w:pPr>
      <w:r>
        <w:rPr>
          <w:rFonts w:ascii="Arial" w:cs="Arial" w:eastAsia="Arial" w:hAnsi="Arial"/>
          <w:sz w:val="18"/>
          <w:szCs w:val="18"/>
          <w:color w:val="auto"/>
        </w:rPr>
        <w:t>Quarterly report pursuant to Section 13 or 15(d) of the Securities Exchange Act of 1934</w:t>
      </w:r>
    </w:p>
    <w:p>
      <w:pPr>
        <w:spacing w:after="0" w:line="32" w:lineRule="exact"/>
        <w:rPr>
          <w:sz w:val="24"/>
          <w:szCs w:val="24"/>
          <w:color w:val="auto"/>
        </w:rPr>
      </w:pPr>
    </w:p>
    <w:p>
      <w:pPr>
        <w:ind w:left="3660"/>
        <w:spacing w:after="0"/>
        <w:rPr>
          <w:sz w:val="20"/>
          <w:szCs w:val="20"/>
          <w:color w:val="auto"/>
        </w:rPr>
      </w:pPr>
      <w:r>
        <w:rPr>
          <w:rFonts w:ascii="Arial" w:cs="Arial" w:eastAsia="Arial" w:hAnsi="Arial"/>
          <w:sz w:val="18"/>
          <w:szCs w:val="18"/>
          <w:b w:val="1"/>
          <w:bCs w:val="1"/>
          <w:color w:val="auto"/>
        </w:rPr>
        <w:t>For the quarterly period ended September 30, 2021</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or</w:t>
      </w:r>
    </w:p>
    <w:p>
      <w:pPr>
        <w:spacing w:after="0" w:line="49" w:lineRule="exact"/>
        <w:rPr>
          <w:sz w:val="24"/>
          <w:szCs w:val="24"/>
          <w:color w:val="auto"/>
        </w:rPr>
      </w:pPr>
    </w:p>
    <w:p>
      <w:pPr>
        <w:ind w:left="4340" w:right="4340" w:hanging="3909"/>
        <w:spacing w:after="0" w:line="358" w:lineRule="auto"/>
        <w:rPr>
          <w:sz w:val="20"/>
          <w:szCs w:val="20"/>
          <w:color w:val="auto"/>
        </w:rPr>
      </w:pPr>
      <w:r>
        <w:rPr>
          <w:rFonts w:ascii="Arial" w:cs="Arial" w:eastAsia="Arial" w:hAnsi="Arial"/>
          <w:sz w:val="16"/>
          <w:szCs w:val="16"/>
          <w:color w:val="auto"/>
        </w:rPr>
        <w:t>Transition report pursuant to Section 13 or 15(d) of the Securities Exchange Act of 1934 For the transition period from to</w:t>
      </w:r>
    </w:p>
    <w:p>
      <w:pPr>
        <w:spacing w:after="0" w:line="1"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Commission File Number: 1-7615</w:t>
      </w:r>
    </w:p>
    <w:p>
      <w:pPr>
        <w:spacing w:after="0" w:line="119" w:lineRule="exact"/>
        <w:rPr>
          <w:sz w:val="24"/>
          <w:szCs w:val="24"/>
          <w:color w:val="auto"/>
        </w:rPr>
      </w:pPr>
    </w:p>
    <w:p>
      <w:pPr>
        <w:jc w:val="center"/>
        <w:spacing w:after="0"/>
        <w:rPr>
          <w:sz w:val="20"/>
          <w:szCs w:val="20"/>
          <w:color w:val="auto"/>
        </w:rPr>
      </w:pPr>
      <w:r>
        <w:rPr>
          <w:rFonts w:ascii="Arial" w:cs="Arial" w:eastAsia="Arial" w:hAnsi="Arial"/>
          <w:sz w:val="43"/>
          <w:szCs w:val="43"/>
          <w:b w:val="1"/>
          <w:bCs w:val="1"/>
          <w:color w:val="auto"/>
        </w:rPr>
        <w:t>KIRBY CORPORATION</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-311785</wp:posOffset>
            </wp:positionV>
            <wp:extent cx="7132320" cy="8890"/>
            <wp:wrapNone/>
            <wp:docPr id="4"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1">
                      <a:extLst>
                        <a:ext uri="{28A0092B-C50C-407E-A947-70E740481C1C}"/>
                      </a:extLst>
                    </a:blip>
                    <a:srcRect/>
                    <a:stretch>
                      <a:fillRect/>
                    </a:stretch>
                  </pic:blipFill>
                  <pic:spPr bwMode="auto">
                    <a:xfrm>
                      <a:off x="0" y="0"/>
                      <a:ext cx="7132320" cy="8890"/>
                    </a:xfrm>
                    <a:prstGeom prst="rect">
                      <a:avLst/>
                    </a:prstGeom>
                    <a:noFill/>
                  </pic:spPr>
                </pic:pic>
              </a:graphicData>
            </a:graphic>
          </wp:anchor>
        </w:drawing>
      </w:r>
    </w:p>
    <w:p>
      <w:pPr>
        <w:spacing w:after="0" w:line="55"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(Exact name of registrant as specified in its charter)</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8255"/>
            <wp:wrapNone/>
            <wp:docPr id="5"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pic:cNvPicPr>
                      <a:picLocks noChangeAspect="1" noChangeArrowheads="1"/>
                    </pic:cNvPicPr>
                  </pic:nvPicPr>
                  <pic:blipFill>
                    <a:blip r:embed="rId12">
                      <a:extLst>
                        <a:ext uri="{28A0092B-C50C-407E-A947-70E740481C1C}"/>
                      </a:extLst>
                    </a:blip>
                    <a:srcRect/>
                    <a:stretch>
                      <a:fillRect/>
                    </a:stretch>
                  </pic:blipFill>
                  <pic:spPr bwMode="auto">
                    <a:xfrm>
                      <a:off x="0" y="0"/>
                      <a:ext cx="7132320" cy="8255"/>
                    </a:xfrm>
                    <a:prstGeom prst="rect">
                      <a:avLst/>
                    </a:prstGeom>
                    <a:noFill/>
                  </pic:spPr>
                </pic:pic>
              </a:graphicData>
            </a:graphic>
          </wp:anchor>
        </w:drawing>
      </w:r>
    </w:p>
    <w:p>
      <w:pPr>
        <w:spacing w:after="0" w:line="215" w:lineRule="exact"/>
        <w:rPr>
          <w:sz w:val="24"/>
          <w:szCs w:val="24"/>
          <w:color w:val="auto"/>
        </w:rPr>
      </w:pPr>
    </w:p>
    <w:tbl>
      <w:tblPr>
        <w:tblLayout w:type="fixed"/>
        <w:tblInd w:w="620" w:type="dxa"/>
        <w:tblCellMar>
          <w:top w:w="0" w:type="dxa"/>
          <w:left w:w="0" w:type="dxa"/>
          <w:bottom w:w="0" w:type="dxa"/>
          <w:right w:w="0" w:type="dxa"/>
        </w:tblCellMar>
      </w:tblPr>
      <w:tr>
        <w:trPr>
          <w:trHeight w:val="233"/>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0"/>
              </w:rPr>
              <w:t>Nevada</w:t>
            </w:r>
          </w:p>
        </w:tc>
        <w:tc>
          <w:tcPr>
            <w:tcW w:w="3760" w:type="dxa"/>
            <w:vAlign w:val="bottom"/>
          </w:tcPr>
          <w:p>
            <w:pPr>
              <w:jc w:val="center"/>
              <w:ind w:left="1050"/>
              <w:spacing w:after="0"/>
              <w:rPr>
                <w:sz w:val="20"/>
                <w:szCs w:val="20"/>
                <w:color w:val="auto"/>
              </w:rPr>
            </w:pPr>
            <w:r>
              <w:rPr>
                <w:rFonts w:ascii="Arial" w:cs="Arial" w:eastAsia="Arial" w:hAnsi="Arial"/>
                <w:sz w:val="18"/>
                <w:szCs w:val="18"/>
                <w:b w:val="1"/>
                <w:bCs w:val="1"/>
                <w:color w:val="auto"/>
                <w:w w:val="89"/>
              </w:rPr>
              <w:t>74-1884980</w:t>
            </w:r>
          </w:p>
        </w:tc>
      </w:tr>
      <w:tr>
        <w:trPr>
          <w:trHeight w:val="257"/>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(State or other jurisdiction of incorporation or organization)</w:t>
            </w:r>
          </w:p>
        </w:tc>
        <w:tc>
          <w:tcPr>
            <w:tcW w:w="3760" w:type="dxa"/>
            <w:vAlign w:val="bottom"/>
          </w:tcPr>
          <w:p>
            <w:pPr>
              <w:jc w:val="center"/>
              <w:ind w:left="1050"/>
              <w:spacing w:after="0"/>
              <w:rPr>
                <w:sz w:val="20"/>
                <w:szCs w:val="20"/>
                <w:color w:val="auto"/>
              </w:rPr>
            </w:pPr>
            <w:r>
              <w:rPr>
                <w:rFonts w:ascii="Arial" w:cs="Arial" w:eastAsia="Arial" w:hAnsi="Arial"/>
                <w:sz w:val="18"/>
                <w:szCs w:val="18"/>
                <w:color w:val="auto"/>
                <w:w w:val="94"/>
              </w:rPr>
              <w:t>(I.R.S. Employer Identification No.)</w:t>
            </w:r>
          </w:p>
        </w:tc>
      </w:tr>
      <w:tr>
        <w:trPr>
          <w:trHeight w:val="333"/>
        </w:trPr>
        <w:tc>
          <w:tcPr>
            <w:tcW w:w="5420" w:type="dxa"/>
            <w:vAlign w:val="bottom"/>
          </w:tcPr>
          <w:p>
            <w:pPr>
              <w:jc w:val="center"/>
              <w:ind w:right="1030"/>
              <w:spacing w:after="0"/>
              <w:rPr>
                <w:sz w:val="20"/>
                <w:szCs w:val="20"/>
                <w:color w:val="auto"/>
              </w:rPr>
            </w:pPr>
            <w:r>
              <w:rPr>
                <w:rFonts w:ascii="Arial" w:cs="Arial" w:eastAsia="Arial" w:hAnsi="Arial"/>
                <w:sz w:val="18"/>
                <w:szCs w:val="18"/>
                <w:b w:val="1"/>
                <w:bCs w:val="1"/>
                <w:color w:val="auto"/>
                <w:w w:val="91"/>
              </w:rPr>
              <w:t>55 Waugh Drive, Suite 1000</w:t>
            </w:r>
          </w:p>
        </w:tc>
        <w:tc>
          <w:tcPr>
            <w:tcW w:w="3760" w:type="dxa"/>
            <w:vAlign w:val="bottom"/>
          </w:tcPr>
          <w:p>
            <w:pPr>
              <w:spacing w:after="0"/>
              <w:rPr>
                <w:sz w:val="24"/>
                <w:szCs w:val="24"/>
                <w:color w:val="auto"/>
              </w:rPr>
            </w:pPr>
          </w:p>
        </w:tc>
      </w:tr>
      <w:tr>
        <w:trPr>
          <w:trHeight w:val="234"/>
        </w:trPr>
        <w:tc>
          <w:tcPr>
            <w:tcW w:w="5420" w:type="dxa"/>
            <w:vAlign w:val="bottom"/>
          </w:tcPr>
          <w:p>
            <w:pPr>
              <w:jc w:val="center"/>
              <w:ind w:right="1010"/>
              <w:spacing w:after="0"/>
              <w:rPr>
                <w:sz w:val="20"/>
                <w:szCs w:val="20"/>
                <w:color w:val="auto"/>
              </w:rPr>
            </w:pPr>
            <w:r>
              <w:rPr>
                <w:rFonts w:ascii="Arial" w:cs="Arial" w:eastAsia="Arial" w:hAnsi="Arial"/>
                <w:sz w:val="18"/>
                <w:szCs w:val="18"/>
                <w:b w:val="1"/>
                <w:bCs w:val="1"/>
                <w:color w:val="auto"/>
                <w:w w:val="94"/>
              </w:rPr>
              <w:t>Houston, TX</w:t>
            </w:r>
          </w:p>
        </w:tc>
        <w:tc>
          <w:tcPr>
            <w:tcW w:w="3760" w:type="dxa"/>
            <w:vAlign w:val="bottom"/>
          </w:tcPr>
          <w:p>
            <w:pPr>
              <w:jc w:val="center"/>
              <w:ind w:left="1030"/>
              <w:spacing w:after="0"/>
              <w:rPr>
                <w:sz w:val="20"/>
                <w:szCs w:val="20"/>
                <w:color w:val="auto"/>
              </w:rPr>
            </w:pPr>
            <w:r>
              <w:rPr>
                <w:rFonts w:ascii="Arial" w:cs="Arial" w:eastAsia="Arial" w:hAnsi="Arial"/>
                <w:sz w:val="18"/>
                <w:szCs w:val="18"/>
                <w:b w:val="1"/>
                <w:bCs w:val="1"/>
                <w:color w:val="auto"/>
                <w:w w:val="87"/>
              </w:rPr>
              <w:t>77007</w:t>
            </w:r>
          </w:p>
        </w:tc>
      </w:tr>
      <w:tr>
        <w:trPr>
          <w:trHeight w:val="257"/>
        </w:trPr>
        <w:tc>
          <w:tcPr>
            <w:tcW w:w="5420" w:type="dxa"/>
            <w:vAlign w:val="bottom"/>
          </w:tcPr>
          <w:p>
            <w:pPr>
              <w:jc w:val="center"/>
              <w:ind w:right="1030"/>
              <w:spacing w:after="0"/>
              <w:rPr>
                <w:sz w:val="20"/>
                <w:szCs w:val="20"/>
                <w:color w:val="auto"/>
              </w:rPr>
            </w:pPr>
            <w:r>
              <w:rPr>
                <w:rFonts w:ascii="Arial" w:cs="Arial" w:eastAsia="Arial" w:hAnsi="Arial"/>
                <w:sz w:val="18"/>
                <w:szCs w:val="18"/>
                <w:color w:val="auto"/>
                <w:w w:val="92"/>
              </w:rPr>
              <w:t>(Address of principal executive offices)</w:t>
            </w:r>
          </w:p>
        </w:tc>
        <w:tc>
          <w:tcPr>
            <w:tcW w:w="3760" w:type="dxa"/>
            <w:vAlign w:val="bottom"/>
          </w:tcPr>
          <w:p>
            <w:pPr>
              <w:jc w:val="center"/>
              <w:ind w:left="1030"/>
              <w:spacing w:after="0"/>
              <w:rPr>
                <w:sz w:val="20"/>
                <w:szCs w:val="20"/>
                <w:color w:val="auto"/>
              </w:rPr>
            </w:pPr>
            <w:r>
              <w:rPr>
                <w:rFonts w:ascii="Arial" w:cs="Arial" w:eastAsia="Arial" w:hAnsi="Arial"/>
                <w:sz w:val="18"/>
                <w:szCs w:val="18"/>
                <w:color w:val="auto"/>
                <w:w w:val="94"/>
              </w:rPr>
              <w:t>(Zip Code)</w:t>
            </w:r>
          </w:p>
        </w:tc>
      </w:tr>
    </w:tbl>
    <w:p>
      <w:pPr>
        <w:spacing w:after="0" w:line="90"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713-435-1000</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(Registrant’s telephone number, including area code)</w:t>
      </w:r>
    </w:p>
    <w:p>
      <w:pPr>
        <w:spacing w:after="0" w:line="99" w:lineRule="exact"/>
        <w:rPr>
          <w:sz w:val="24"/>
          <w:szCs w:val="24"/>
          <w:color w:val="auto"/>
        </w:rPr>
      </w:pPr>
    </w:p>
    <w:p>
      <w:pPr>
        <w:jc w:val="center"/>
        <w:spacing w:after="0"/>
        <w:rPr>
          <w:sz w:val="20"/>
          <w:szCs w:val="20"/>
          <w:color w:val="auto"/>
        </w:rPr>
      </w:pPr>
      <w:r>
        <w:rPr>
          <w:rFonts w:ascii="Arial" w:cs="Arial" w:eastAsia="Arial" w:hAnsi="Arial"/>
          <w:sz w:val="18"/>
          <w:szCs w:val="18"/>
          <w:b w:val="1"/>
          <w:bCs w:val="1"/>
          <w:color w:val="auto"/>
        </w:rPr>
        <w:t>No Change</w:t>
      </w:r>
    </w:p>
    <w:p>
      <w:pPr>
        <w:spacing w:after="0" w:line="27" w:lineRule="exact"/>
        <w:rPr>
          <w:sz w:val="24"/>
          <w:szCs w:val="24"/>
          <w:color w:val="auto"/>
        </w:rPr>
      </w:pPr>
    </w:p>
    <w:p>
      <w:pPr>
        <w:jc w:val="center"/>
        <w:spacing w:after="0"/>
        <w:rPr>
          <w:sz w:val="20"/>
          <w:szCs w:val="20"/>
          <w:color w:val="auto"/>
        </w:rPr>
      </w:pPr>
      <w:r>
        <w:rPr>
          <w:rFonts w:ascii="Arial" w:cs="Arial" w:eastAsia="Arial" w:hAnsi="Arial"/>
          <w:sz w:val="18"/>
          <w:szCs w:val="18"/>
          <w:color w:val="auto"/>
        </w:rPr>
        <w:t>(Former name, former address and former fiscal year, if changed since last report)</w:t>
      </w:r>
    </w:p>
    <w:p>
      <w:pPr>
        <w:spacing w:after="0" w:line="130" w:lineRule="exact"/>
        <w:rPr>
          <w:sz w:val="24"/>
          <w:szCs w:val="24"/>
          <w:color w:val="auto"/>
        </w:rPr>
      </w:pPr>
    </w:p>
    <w:p>
      <w:pPr>
        <w:spacing w:after="0"/>
        <w:rPr>
          <w:sz w:val="20"/>
          <w:szCs w:val="20"/>
          <w:color w:val="auto"/>
        </w:rPr>
      </w:pPr>
      <w:r>
        <w:rPr>
          <w:rFonts w:ascii="Arial" w:cs="Arial" w:eastAsia="Arial" w:hAnsi="Arial"/>
          <w:sz w:val="18"/>
          <w:szCs w:val="18"/>
          <w:color w:val="auto"/>
        </w:rPr>
        <w:t>Securities registered pursuant to Section 12(b) of the Act:</w:t>
      </w:r>
    </w:p>
    <w:p>
      <w:pPr>
        <w:spacing w:after="0" w:line="81" w:lineRule="exact"/>
        <w:rPr>
          <w:sz w:val="24"/>
          <w:szCs w:val="24"/>
          <w:color w:val="auto"/>
        </w:rPr>
      </w:pPr>
    </w:p>
    <w:tbl>
      <w:tblPr>
        <w:tblLayout w:type="fixed"/>
        <w:tblInd w:w="10" w:type="dxa"/>
        <w:tblCellMar>
          <w:top w:w="0" w:type="dxa"/>
          <w:left w:w="0" w:type="dxa"/>
          <w:bottom w:w="0" w:type="dxa"/>
          <w:right w:w="0" w:type="dxa"/>
        </w:tblCellMar>
      </w:tblPr>
      <w:tr>
        <w:trPr>
          <w:trHeight w:val="257"/>
        </w:trPr>
        <w:tc>
          <w:tcPr>
            <w:tcW w:w="3740" w:type="dxa"/>
            <w:vAlign w:val="bottom"/>
            <w:tcBorders>
              <w:top w:val="single" w:sz="8" w:color="auto"/>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Title of each class</w:t>
            </w:r>
          </w:p>
        </w:tc>
        <w:tc>
          <w:tcPr>
            <w:tcW w:w="38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2"/>
              </w:rPr>
              <w:t>Trading Symbol(s)</w:t>
            </w:r>
          </w:p>
        </w:tc>
        <w:tc>
          <w:tcPr>
            <w:tcW w:w="3700" w:type="dxa"/>
            <w:vAlign w:val="bottom"/>
            <w:tcBorders>
              <w:top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89"/>
              </w:rPr>
              <w:t>Name of each exchange on which registered</w:t>
            </w:r>
          </w:p>
        </w:tc>
      </w:tr>
      <w:tr>
        <w:trPr>
          <w:trHeight w:val="240"/>
        </w:trPr>
        <w:tc>
          <w:tcPr>
            <w:tcW w:w="3740" w:type="dxa"/>
            <w:vAlign w:val="bottom"/>
            <w:tcBorders>
              <w:left w:val="single" w:sz="8" w:color="auto"/>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0"/>
              </w:rPr>
              <w:t>Common Stock</w:t>
            </w:r>
          </w:p>
        </w:tc>
        <w:tc>
          <w:tcPr>
            <w:tcW w:w="38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rPr>
              <w:t>KEX</w:t>
            </w:r>
          </w:p>
        </w:tc>
        <w:tc>
          <w:tcPr>
            <w:tcW w:w="3700" w:type="dxa"/>
            <w:vAlign w:val="bottom"/>
            <w:tcBorders>
              <w:bottom w:val="single" w:sz="8" w:color="auto"/>
              <w:right w:val="single" w:sz="8" w:color="auto"/>
            </w:tcBorders>
          </w:tcPr>
          <w:p>
            <w:pPr>
              <w:jc w:val="center"/>
              <w:spacing w:after="0"/>
              <w:rPr>
                <w:sz w:val="20"/>
                <w:szCs w:val="20"/>
                <w:color w:val="auto"/>
              </w:rPr>
            </w:pPr>
            <w:r>
              <w:rPr>
                <w:rFonts w:ascii="Arial" w:cs="Arial" w:eastAsia="Arial" w:hAnsi="Arial"/>
                <w:sz w:val="18"/>
                <w:szCs w:val="18"/>
                <w:color w:val="auto"/>
                <w:w w:val="91"/>
              </w:rPr>
              <w:t>New York Stock Exchange</w:t>
            </w:r>
          </w:p>
        </w:tc>
      </w:tr>
    </w:tbl>
    <w:p>
      <w:pPr>
        <w:spacing w:after="0" w:line="80" w:lineRule="exact"/>
        <w:rPr>
          <w:sz w:val="24"/>
          <w:szCs w:val="24"/>
          <w:color w:val="auto"/>
        </w:rPr>
      </w:pPr>
    </w:p>
    <w:p>
      <w:pPr>
        <w:ind w:right="300"/>
        <w:spacing w:after="0" w:line="279" w:lineRule="auto"/>
        <w:rPr>
          <w:sz w:val="20"/>
          <w:szCs w:val="20"/>
          <w:color w:val="auto"/>
        </w:rPr>
      </w:pPr>
      <w:r>
        <w:rPr>
          <w:rFonts w:ascii="Arial" w:cs="Arial" w:eastAsia="Arial" w:hAnsi="Arial"/>
          <w:sz w:val="18"/>
          <w:szCs w:val="18"/>
          <w:color w:val="auto"/>
        </w:rPr>
        <w:t>Indicate by check mark whether the registrant (1) has filed all reports required to be filed by Section 13 or 15(d) of the Securities Exchange Act of 1934 during the preceding 12 months (or for such shorter period that the registrant was required to file such reports), and (2) has been subject to such filing requirements for the past 90 days. Yes No</w:t>
      </w:r>
    </w:p>
    <w:p>
      <w:pPr>
        <w:spacing w:after="0" w:line="196" w:lineRule="exact"/>
        <w:rPr>
          <w:sz w:val="24"/>
          <w:szCs w:val="24"/>
          <w:color w:val="auto"/>
        </w:rPr>
      </w:pPr>
    </w:p>
    <w:p>
      <w:pPr>
        <w:ind w:right="240"/>
        <w:spacing w:after="0" w:line="279" w:lineRule="auto"/>
        <w:rPr>
          <w:sz w:val="20"/>
          <w:szCs w:val="20"/>
          <w:color w:val="auto"/>
        </w:rPr>
      </w:pPr>
      <w:r>
        <w:rPr>
          <w:rFonts w:ascii="Arial" w:cs="Arial" w:eastAsia="Arial" w:hAnsi="Arial"/>
          <w:sz w:val="18"/>
          <w:szCs w:val="18"/>
          <w:color w:val="auto"/>
        </w:rPr>
        <w:t>Indicate by check mark whether the registrant has submitted electronically every Interactive Data File required to be submitted pursuant to Rule 405 of Regulations S-T (§232.405 of this chapter) during the preceding 12 months (or for such shorter period that the registrant was required to submit and post such files). Yes No</w:t>
      </w:r>
    </w:p>
    <w:p>
      <w:pPr>
        <w:spacing w:after="0" w:line="196" w:lineRule="exact"/>
        <w:rPr>
          <w:sz w:val="24"/>
          <w:szCs w:val="24"/>
          <w:color w:val="auto"/>
        </w:rPr>
      </w:pPr>
    </w:p>
    <w:p>
      <w:pPr>
        <w:ind w:right="320"/>
        <w:spacing w:after="0" w:line="279" w:lineRule="auto"/>
        <w:rPr>
          <w:sz w:val="20"/>
          <w:szCs w:val="20"/>
          <w:color w:val="auto"/>
        </w:rPr>
      </w:pPr>
      <w:r>
        <w:rPr>
          <w:rFonts w:ascii="Arial" w:cs="Arial" w:eastAsia="Arial" w:hAnsi="Arial"/>
          <w:sz w:val="18"/>
          <w:szCs w:val="18"/>
          <w:color w:val="auto"/>
        </w:rPr>
        <w:t>Indicate by check mark whether the registrant is a large accelerated filer, an accelerated filer, a non-accelerated filer, a smaller reporting company, or an emerging growth company. See the definitions of “large accelerated filer,” “accelerated filer,” “smaller reporting company,” and “emerging growth company” in Rule 12b-2 of the Exchange Act.</w:t>
      </w:r>
    </w:p>
    <w:p>
      <w:pPr>
        <w:sectPr>
          <w:pgSz w:w="11900" w:h="16838" w:orient="portrait"/>
          <w:cols w:equalWidth="0" w:num="1">
            <w:col w:w="11240"/>
          </w:cols>
          <w:pgMar w:left="320" w:top="900" w:right="339" w:bottom="1440" w:gutter="0" w:footer="0" w:header="0"/>
        </w:sectPr>
      </w:pPr>
    </w:p>
    <w:p>
      <w:pPr>
        <w:spacing w:after="0" w:line="61" w:lineRule="exact"/>
        <w:rPr>
          <w:sz w:val="24"/>
          <w:szCs w:val="24"/>
          <w:color w:val="auto"/>
        </w:rPr>
      </w:pPr>
    </w:p>
    <w:p>
      <w:pPr>
        <w:ind w:left="20"/>
        <w:spacing w:after="0"/>
        <w:rPr>
          <w:sz w:val="20"/>
          <w:szCs w:val="20"/>
          <w:color w:val="auto"/>
        </w:rPr>
      </w:pPr>
      <w:r>
        <w:rPr>
          <w:rFonts w:ascii="Arial" w:cs="Arial" w:eastAsia="Arial" w:hAnsi="Arial"/>
          <w:sz w:val="16"/>
          <w:szCs w:val="16"/>
          <w:color w:val="auto"/>
        </w:rPr>
        <w:t>Large accelerated filer</w:t>
      </w:r>
    </w:p>
    <w:p>
      <w:pPr>
        <w:spacing w:after="0" w:line="73" w:lineRule="exact"/>
        <w:rPr>
          <w:sz w:val="24"/>
          <w:szCs w:val="24"/>
          <w:color w:val="auto"/>
        </w:rPr>
      </w:pPr>
    </w:p>
    <w:p>
      <w:pPr>
        <w:ind w:left="20"/>
        <w:spacing w:after="0"/>
        <w:rPr>
          <w:sz w:val="20"/>
          <w:szCs w:val="20"/>
          <w:color w:val="auto"/>
        </w:rPr>
      </w:pPr>
      <w:r>
        <w:rPr>
          <w:rFonts w:ascii="Arial" w:cs="Arial" w:eastAsia="Arial" w:hAnsi="Arial"/>
          <w:sz w:val="17"/>
          <w:szCs w:val="17"/>
          <w:color w:val="auto"/>
        </w:rPr>
        <w:t>Non-accelerated filer</w:t>
      </w:r>
    </w:p>
    <w:p>
      <w:pPr>
        <w:spacing w:after="0" w:line="20" w:lineRule="exact"/>
        <w:rPr>
          <w:sz w:val="24"/>
          <w:szCs w:val="24"/>
          <w:color w:val="auto"/>
        </w:rPr>
      </w:pPr>
      <w:r>
        <w:rPr>
          <w:sz w:val="24"/>
          <w:szCs w:val="24"/>
          <w:color w:val="auto"/>
        </w:rPr>
        <w:br w:type="column"/>
      </w:r>
    </w:p>
    <w:p>
      <w:pPr>
        <w:spacing w:after="0" w:line="41" w:lineRule="exact"/>
        <w:rPr>
          <w:sz w:val="24"/>
          <w:szCs w:val="24"/>
          <w:color w:val="auto"/>
        </w:rPr>
      </w:pPr>
    </w:p>
    <w:p>
      <w:pPr>
        <w:spacing w:after="0"/>
        <w:rPr>
          <w:sz w:val="20"/>
          <w:szCs w:val="20"/>
          <w:color w:val="auto"/>
        </w:rPr>
      </w:pPr>
      <w:r>
        <w:rPr>
          <w:rFonts w:ascii="Arial" w:cs="Arial" w:eastAsia="Arial" w:hAnsi="Arial"/>
          <w:sz w:val="18"/>
          <w:szCs w:val="18"/>
          <w:color w:val="auto"/>
        </w:rPr>
        <w:t>Accelerated filer</w:t>
      </w:r>
    </w:p>
    <w:p>
      <w:pPr>
        <w:spacing w:after="0" w:line="50" w:lineRule="exact"/>
        <w:rPr>
          <w:sz w:val="24"/>
          <w:szCs w:val="24"/>
          <w:color w:val="auto"/>
        </w:rPr>
      </w:pPr>
    </w:p>
    <w:p>
      <w:pPr>
        <w:spacing w:after="0"/>
        <w:rPr>
          <w:sz w:val="20"/>
          <w:szCs w:val="20"/>
          <w:color w:val="auto"/>
        </w:rPr>
      </w:pPr>
      <w:r>
        <w:rPr>
          <w:rFonts w:ascii="Arial" w:cs="Arial" w:eastAsia="Arial" w:hAnsi="Arial"/>
          <w:sz w:val="16"/>
          <w:szCs w:val="16"/>
          <w:color w:val="auto"/>
        </w:rPr>
        <w:t>Smaller reporting company</w:t>
      </w:r>
    </w:p>
    <w:p>
      <w:pPr>
        <w:spacing w:after="0" w:line="73" w:lineRule="exact"/>
        <w:rPr>
          <w:sz w:val="24"/>
          <w:szCs w:val="24"/>
          <w:color w:val="auto"/>
        </w:rPr>
      </w:pPr>
    </w:p>
    <w:p>
      <w:pPr>
        <w:spacing w:after="0"/>
        <w:rPr>
          <w:sz w:val="20"/>
          <w:szCs w:val="20"/>
          <w:color w:val="auto"/>
        </w:rPr>
      </w:pPr>
      <w:r>
        <w:rPr>
          <w:rFonts w:ascii="Arial" w:cs="Arial" w:eastAsia="Arial" w:hAnsi="Arial"/>
          <w:sz w:val="16"/>
          <w:szCs w:val="16"/>
          <w:color w:val="auto"/>
        </w:rPr>
        <w:t>Emerging growth company</w:t>
      </w:r>
    </w:p>
    <w:p>
      <w:pPr>
        <w:spacing w:after="0" w:line="140" w:lineRule="exact"/>
        <w:rPr>
          <w:sz w:val="24"/>
          <w:szCs w:val="24"/>
          <w:color w:val="auto"/>
        </w:rPr>
      </w:pPr>
    </w:p>
    <w:p>
      <w:pPr>
        <w:sectPr>
          <w:pgSz w:w="11900" w:h="16838" w:orient="portrait"/>
          <w:cols w:equalWidth="0" w:num="2">
            <w:col w:w="7180" w:space="720"/>
            <w:col w:w="3340"/>
          </w:cols>
          <w:pgMar w:left="320" w:top="900" w:right="339" w:bottom="1440" w:gutter="0" w:footer="0" w:header="0"/>
          <w:type w:val="continuous"/>
        </w:sectPr>
      </w:pPr>
    </w:p>
    <w:p>
      <w:pPr>
        <w:spacing w:after="0" w:line="293" w:lineRule="auto"/>
        <w:rPr>
          <w:sz w:val="20"/>
          <w:szCs w:val="20"/>
          <w:color w:val="auto"/>
        </w:rPr>
      </w:pPr>
      <w:r>
        <w:rPr>
          <w:rFonts w:ascii="Arial" w:cs="Arial" w:eastAsia="Arial" w:hAnsi="Arial"/>
          <w:sz w:val="18"/>
          <w:szCs w:val="18"/>
          <w:color w:val="auto"/>
        </w:rPr>
        <w:t>If an emerging growth company, indicate by check mark if the registrant has elected not to use the extended transition period for complying with any new or revised financial accounting standards provided pursuant to Section 13(a) of the Exchange Act.</w:t>
      </w:r>
    </w:p>
    <w:p>
      <w:pPr>
        <w:spacing w:after="0" w:line="183" w:lineRule="exact"/>
        <w:rPr>
          <w:sz w:val="24"/>
          <w:szCs w:val="24"/>
          <w:color w:val="auto"/>
        </w:rPr>
      </w:pPr>
    </w:p>
    <w:p>
      <w:pPr>
        <w:spacing w:after="0"/>
        <w:tabs>
          <w:tab w:leader="none" w:pos="8660" w:val="left"/>
        </w:tabs>
        <w:rPr>
          <w:sz w:val="20"/>
          <w:szCs w:val="20"/>
          <w:color w:val="auto"/>
        </w:rPr>
      </w:pPr>
      <w:r>
        <w:rPr>
          <w:rFonts w:ascii="Arial" w:cs="Arial" w:eastAsia="Arial" w:hAnsi="Arial"/>
          <w:sz w:val="17"/>
          <w:szCs w:val="17"/>
          <w:color w:val="auto"/>
        </w:rPr>
        <w:t>Indicate by check mark whether the registrant is a shell company (as defined in Rule 12b-2 of the Exchange Act). Yes</w:t>
        <w:tab/>
        <w:t>No</w:t>
      </w:r>
    </w:p>
    <w:p>
      <w:pPr>
        <w:spacing w:after="0" w:line="264" w:lineRule="exact"/>
        <w:rPr>
          <w:sz w:val="24"/>
          <w:szCs w:val="24"/>
          <w:color w:val="auto"/>
        </w:rPr>
      </w:pPr>
    </w:p>
    <w:p>
      <w:pPr>
        <w:spacing w:after="0"/>
        <w:rPr>
          <w:sz w:val="20"/>
          <w:szCs w:val="20"/>
          <w:color w:val="auto"/>
        </w:rPr>
      </w:pPr>
      <w:r>
        <w:rPr>
          <w:rFonts w:ascii="Arial" w:cs="Arial" w:eastAsia="Arial" w:hAnsi="Arial"/>
          <w:sz w:val="18"/>
          <w:szCs w:val="18"/>
          <w:color w:val="auto"/>
        </w:rPr>
        <w:t>As of November 5, 2021, 60,111,000 shares of the Registrant’s $0.10 par value per share common stock were outstanding.</w:t>
      </w:r>
    </w:p>
    <w:p>
      <w:pPr>
        <w:spacing w:after="0" w:line="20" w:lineRule="exact"/>
        <w:rPr>
          <w:sz w:val="24"/>
          <w:szCs w:val="24"/>
          <w:color w:val="auto"/>
        </w:rPr>
      </w:pPr>
      <w:r>
        <w:rPr>
          <w:sz w:val="24"/>
          <w:szCs w:val="24"/>
          <w:color w:val="auto"/>
        </w:rPr>
        <w:drawing>
          <wp:anchor simplePos="0" relativeHeight="251657728" behindDoc="1" locked="0" layoutInCell="0" allowOverlap="1">
            <wp:simplePos x="0" y="0"/>
            <wp:positionH relativeFrom="column">
              <wp:posOffset>5080</wp:posOffset>
            </wp:positionH>
            <wp:positionV relativeFrom="paragraph">
              <wp:posOffset>83185</wp:posOffset>
            </wp:positionV>
            <wp:extent cx="7132320" cy="34290"/>
            <wp:wrapNone/>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pic:cNvPicPr>
                      <a:picLocks noChangeAspect="1" noChangeArrowheads="1"/>
                    </pic:cNvPicPr>
                  </pic:nvPicPr>
                  <pic:blipFill>
                    <a:blip r:embed="rId13">
                      <a:extLst>
                        <a:ext uri="{28A0092B-C50C-407E-A947-70E740481C1C}"/>
                      </a:extLst>
                    </a:blip>
                    <a:srcRect/>
                    <a:stretch>
                      <a:fillRect/>
                    </a:stretch>
                  </pic:blipFill>
                  <pic:spPr bwMode="auto">
                    <a:xfrm>
                      <a:off x="0" y="0"/>
                      <a:ext cx="7132320" cy="34290"/>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464820</wp:posOffset>
            </wp:positionV>
            <wp:extent cx="7157720" cy="42545"/>
            <wp:wrapNone/>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
                    <pic:cNvPicPr>
                      <a:picLocks noChangeAspect="1" noChangeArrowheads="1"/>
                    </pic:cNvPicPr>
                  </pic:nvPicPr>
                  <pic:blipFill>
                    <a:blip r:embed="rId1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900" w:right="339" w:bottom="1440" w:gutter="0" w:footer="0" w:header="0"/>
          <w:type w:val="continuous"/>
        </w:sectPr>
      </w:pPr>
    </w:p>
    <w:bookmarkStart w:id="1" w:name="page2"/>
    <w:bookmarkEnd w:id="1"/>
    <w:p>
      <w:pPr>
        <w:jc w:val="center"/>
        <w:spacing w:after="0"/>
        <w:rPr>
          <w:sz w:val="20"/>
          <w:szCs w:val="20"/>
          <w:color w:val="auto"/>
        </w:rPr>
      </w:pPr>
      <w:r>
        <w:rPr>
          <w:rFonts w:ascii="Arial" w:cs="Arial" w:eastAsia="Arial" w:hAnsi="Arial"/>
          <w:sz w:val="18"/>
          <w:szCs w:val="18"/>
          <w:b w:val="1"/>
          <w:bCs w:val="1"/>
          <w:color w:val="auto"/>
        </w:rPr>
        <w:t>PART I – FINANCIAL INFORMATION</w:t>
      </w:r>
    </w:p>
    <w:p>
      <w:pPr>
        <w:spacing w:after="0" w:line="27" w:lineRule="exact"/>
        <w:rPr>
          <w:sz w:val="20"/>
          <w:szCs w:val="20"/>
          <w:color w:val="auto"/>
        </w:rPr>
      </w:pPr>
    </w:p>
    <w:p>
      <w:pPr>
        <w:spacing w:after="0"/>
        <w:tabs>
          <w:tab w:leader="none" w:pos="88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6"/>
          <w:szCs w:val="16"/>
          <w:b w:val="1"/>
          <w:bCs w:val="1"/>
          <w:color w:val="auto"/>
        </w:rPr>
        <w:t>Financial Statements</w:t>
      </w:r>
    </w:p>
    <w:p>
      <w:pPr>
        <w:spacing w:after="0" w:line="85"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BALANCE SHEETS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135"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196"/>
        </w:trPr>
        <w:tc>
          <w:tcPr>
            <w:tcW w:w="806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2980" w:type="dxa"/>
            <w:vAlign w:val="bottom"/>
            <w:gridSpan w:val="5"/>
          </w:tcPr>
          <w:p>
            <w:pPr>
              <w:jc w:val="right"/>
              <w:ind w:right="1140"/>
              <w:spacing w:after="0"/>
              <w:rPr>
                <w:sz w:val="20"/>
                <w:szCs w:val="20"/>
                <w:color w:val="auto"/>
              </w:rPr>
            </w:pPr>
            <w:r>
              <w:rPr>
                <w:rFonts w:ascii="Arial" w:cs="Arial" w:eastAsia="Arial" w:hAnsi="Arial"/>
                <w:sz w:val="14"/>
                <w:szCs w:val="14"/>
                <w:b w:val="1"/>
                <w:bCs w:val="1"/>
                <w:color w:val="auto"/>
              </w:rPr>
              <w:t>($ in thousands)</w:t>
            </w:r>
          </w:p>
        </w:tc>
      </w:tr>
      <w:tr>
        <w:trPr>
          <w:trHeight w:val="263"/>
        </w:trPr>
        <w:tc>
          <w:tcPr>
            <w:tcW w:w="8060" w:type="dxa"/>
            <w:vAlign w:val="bottom"/>
            <w:shd w:val="clear" w:color="auto" w:fill="CFF0FC"/>
          </w:tcPr>
          <w:p>
            <w:pPr>
              <w:ind w:left="3640"/>
              <w:spacing w:after="0"/>
              <w:rPr>
                <w:sz w:val="20"/>
                <w:szCs w:val="20"/>
                <w:color w:val="auto"/>
              </w:rPr>
            </w:pPr>
            <w:r>
              <w:rPr>
                <w:rFonts w:ascii="Arial" w:cs="Arial" w:eastAsia="Arial" w:hAnsi="Arial"/>
                <w:sz w:val="18"/>
                <w:szCs w:val="18"/>
                <w:b w:val="1"/>
                <w:bCs w:val="1"/>
                <w:color w:val="auto"/>
              </w:rPr>
              <w:t>ASSETS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Current assets: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Cash and cash equivalents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54,377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80,338</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Accounts receivable:</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Trade – less allowance for doubtful accounts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389,579</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315,283</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Other</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150,811</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284,899</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Inventories – net</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308,820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309,675</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Prepaid expenses and other current assets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75,004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57,776</w:t>
            </w:r>
          </w:p>
        </w:tc>
        <w:tc>
          <w:tcPr>
            <w:tcW w:w="100" w:type="dxa"/>
            <w:vAlign w:val="bottom"/>
          </w:tcPr>
          <w:p>
            <w:pPr>
              <w:spacing w:after="0"/>
              <w:rPr>
                <w:sz w:val="21"/>
                <w:szCs w:val="21"/>
                <w:color w:val="auto"/>
              </w:rPr>
            </w:pPr>
          </w:p>
        </w:tc>
      </w:tr>
      <w:tr>
        <w:trPr>
          <w:trHeight w:val="250"/>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current assets</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978,591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1,047,971</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Property and equipment</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5,385,478</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5,615,400</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Accumulated depreciation</w:t>
            </w:r>
          </w:p>
        </w:tc>
        <w:tc>
          <w:tcPr>
            <w:tcW w:w="20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(1,680,231 )</w:t>
            </w:r>
          </w:p>
        </w:tc>
        <w:tc>
          <w:tcPr>
            <w:tcW w:w="200" w:type="dxa"/>
            <w:vAlign w:val="bottom"/>
          </w:tcPr>
          <w:p>
            <w:pPr>
              <w:spacing w:after="0"/>
              <w:rPr>
                <w:sz w:val="21"/>
                <w:szCs w:val="21"/>
                <w:color w:val="auto"/>
              </w:rPr>
            </w:pPr>
          </w:p>
        </w:tc>
        <w:tc>
          <w:tcPr>
            <w:tcW w:w="1300" w:type="dxa"/>
            <w:vAlign w:val="bottom"/>
            <w:gridSpan w:val="2"/>
          </w:tcPr>
          <w:p>
            <w:pPr>
              <w:jc w:val="right"/>
              <w:ind w:right="40"/>
              <w:spacing w:after="0"/>
              <w:rPr>
                <w:sz w:val="20"/>
                <w:szCs w:val="20"/>
                <w:color w:val="auto"/>
              </w:rPr>
            </w:pPr>
            <w:r>
              <w:rPr>
                <w:rFonts w:ascii="Arial" w:cs="Arial" w:eastAsia="Arial" w:hAnsi="Arial"/>
                <w:sz w:val="18"/>
                <w:szCs w:val="18"/>
                <w:color w:val="auto"/>
              </w:rPr>
              <w:t>(1,698,330 )</w:t>
            </w:r>
          </w:p>
        </w:tc>
      </w:tr>
      <w:tr>
        <w:trPr>
          <w:trHeight w:val="250"/>
        </w:trPr>
        <w:tc>
          <w:tcPr>
            <w:tcW w:w="806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Property and equipment – net</w:t>
            </w: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3,705,247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top w:val="single" w:sz="8" w:color="auto"/>
              <w:bottom w:val="single" w:sz="8" w:color="auto"/>
            </w:tcBorders>
            <w:shd w:val="clear" w:color="auto" w:fill="CFF0FC"/>
          </w:tcPr>
          <w:p>
            <w:pPr>
              <w:spacing w:after="0"/>
              <w:rPr>
                <w:sz w:val="21"/>
                <w:szCs w:val="21"/>
                <w:color w:val="auto"/>
              </w:rPr>
            </w:pPr>
          </w:p>
        </w:tc>
        <w:tc>
          <w:tcPr>
            <w:tcW w:w="120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3,917,070</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right-of-use assets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159,627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174,317</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Goodwill</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438,748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657,800</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intangibles, net</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62,233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68,979</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Other assets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45,436</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58,037</w:t>
            </w:r>
          </w:p>
        </w:tc>
        <w:tc>
          <w:tcPr>
            <w:tcW w:w="100" w:type="dxa"/>
            <w:vAlign w:val="bottom"/>
          </w:tcPr>
          <w:p>
            <w:pPr>
              <w:spacing w:after="0"/>
              <w:rPr>
                <w:sz w:val="21"/>
                <w:szCs w:val="21"/>
                <w:color w:val="auto"/>
              </w:rPr>
            </w:pPr>
          </w:p>
        </w:tc>
      </w:tr>
      <w:tr>
        <w:trPr>
          <w:trHeight w:val="290"/>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assets</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5,389,882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122"/>
        </w:trPr>
        <w:tc>
          <w:tcPr>
            <w:tcW w:w="80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20" w:type="dxa"/>
            <w:vAlign w:val="bottom"/>
          </w:tcPr>
          <w:p>
            <w:pPr>
              <w:spacing w:after="0"/>
              <w:rPr>
                <w:sz w:val="10"/>
                <w:szCs w:val="10"/>
                <w:color w:val="auto"/>
              </w:rPr>
            </w:pPr>
          </w:p>
        </w:tc>
        <w:tc>
          <w:tcPr>
            <w:tcW w:w="260" w:type="dxa"/>
            <w:vAlign w:val="bottom"/>
          </w:tcPr>
          <w:p>
            <w:pPr>
              <w:spacing w:after="0"/>
              <w:rPr>
                <w:sz w:val="10"/>
                <w:szCs w:val="10"/>
                <w:color w:val="auto"/>
              </w:rPr>
            </w:pPr>
          </w:p>
        </w:tc>
        <w:tc>
          <w:tcPr>
            <w:tcW w:w="200" w:type="dxa"/>
            <w:vAlign w:val="bottom"/>
          </w:tcPr>
          <w:p>
            <w:pPr>
              <w:spacing w:after="0"/>
              <w:rPr>
                <w:sz w:val="10"/>
                <w:szCs w:val="10"/>
                <w:color w:val="auto"/>
              </w:rPr>
            </w:pPr>
          </w:p>
        </w:tc>
        <w:tc>
          <w:tcPr>
            <w:tcW w:w="1200" w:type="dxa"/>
            <w:vAlign w:val="bottom"/>
          </w:tcPr>
          <w:p>
            <w:pPr>
              <w:spacing w:after="0"/>
              <w:rPr>
                <w:sz w:val="10"/>
                <w:szCs w:val="10"/>
                <w:color w:val="auto"/>
              </w:rPr>
            </w:pPr>
          </w:p>
        </w:tc>
        <w:tc>
          <w:tcPr>
            <w:tcW w:w="100" w:type="dxa"/>
            <w:vAlign w:val="bottom"/>
          </w:tcPr>
          <w:p>
            <w:pPr>
              <w:spacing w:after="0"/>
              <w:rPr>
                <w:sz w:val="10"/>
                <w:szCs w:val="10"/>
                <w:color w:val="auto"/>
              </w:rPr>
            </w:pPr>
          </w:p>
        </w:tc>
      </w:tr>
      <w:tr>
        <w:trPr>
          <w:trHeight w:val="257"/>
        </w:trPr>
        <w:tc>
          <w:tcPr>
            <w:tcW w:w="8060" w:type="dxa"/>
            <w:vAlign w:val="bottom"/>
            <w:shd w:val="clear" w:color="auto" w:fill="CFF0FC"/>
          </w:tcPr>
          <w:p>
            <w:pPr>
              <w:ind w:left="2020"/>
              <w:spacing w:after="0"/>
              <w:rPr>
                <w:sz w:val="20"/>
                <w:szCs w:val="20"/>
                <w:color w:val="auto"/>
              </w:rPr>
            </w:pPr>
            <w:r>
              <w:rPr>
                <w:rFonts w:ascii="Arial" w:cs="Arial" w:eastAsia="Arial" w:hAnsi="Arial"/>
                <w:sz w:val="18"/>
                <w:szCs w:val="18"/>
                <w:b w:val="1"/>
                <w:bCs w:val="1"/>
                <w:color w:val="auto"/>
              </w:rPr>
              <w:t>LIABILITIES AND STOCKHOLDERS’ EQUITY</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Current liabilities:</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Bank notes payable</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Income taxes payable</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499</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474</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Accounts payable</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181,313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162,507</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Accrued liabilities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228,375</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224,855</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portion of operating lease liabilities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32,813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32,750</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Deferred revenues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67,214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45,406</w:t>
            </w:r>
          </w:p>
        </w:tc>
        <w:tc>
          <w:tcPr>
            <w:tcW w:w="100" w:type="dxa"/>
            <w:vAlign w:val="bottom"/>
          </w:tcPr>
          <w:p>
            <w:pPr>
              <w:spacing w:after="0"/>
              <w:rPr>
                <w:sz w:val="21"/>
                <w:szCs w:val="21"/>
                <w:color w:val="auto"/>
              </w:rPr>
            </w:pPr>
          </w:p>
        </w:tc>
      </w:tr>
      <w:tr>
        <w:trPr>
          <w:trHeight w:val="250"/>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current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512,197</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466,032</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net – less current portion</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1,206,193</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1,468,546</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Deferred income taxes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552,913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606,844</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liabilities – less current portion</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152,615</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163,496</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Other long-term liabilities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119,740</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131,703</w:t>
            </w:r>
          </w:p>
        </w:tc>
        <w:tc>
          <w:tcPr>
            <w:tcW w:w="100" w:type="dxa"/>
            <w:vAlign w:val="bottom"/>
          </w:tcPr>
          <w:p>
            <w:pPr>
              <w:spacing w:after="0"/>
              <w:rPr>
                <w:sz w:val="21"/>
                <w:szCs w:val="21"/>
                <w:color w:val="auto"/>
              </w:rPr>
            </w:pPr>
          </w:p>
        </w:tc>
      </w:tr>
      <w:tr>
        <w:trPr>
          <w:trHeight w:val="250"/>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long-term liabilities</w:t>
            </w:r>
          </w:p>
        </w:tc>
        <w:tc>
          <w:tcPr>
            <w:tcW w:w="200" w:type="dxa"/>
            <w:vAlign w:val="bottom"/>
            <w:tcBorders>
              <w:bottom w:val="single" w:sz="8" w:color="auto"/>
            </w:tcBorders>
            <w:shd w:val="clear" w:color="auto" w:fill="CFF0FC"/>
          </w:tcPr>
          <w:p>
            <w:pPr>
              <w:spacing w:after="0"/>
              <w:rPr>
                <w:sz w:val="21"/>
                <w:szCs w:val="21"/>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2,031,461</w:t>
            </w:r>
          </w:p>
        </w:tc>
        <w:tc>
          <w:tcPr>
            <w:tcW w:w="260" w:type="dxa"/>
            <w:vAlign w:val="bottom"/>
            <w:tcBorders>
              <w:bottom w:val="single" w:sz="8" w:color="CFF0FC"/>
            </w:tcBorders>
            <w:shd w:val="clear" w:color="auto" w:fill="CFF0FC"/>
          </w:tcPr>
          <w:p>
            <w:pPr>
              <w:spacing w:after="0"/>
              <w:rPr>
                <w:sz w:val="21"/>
                <w:szCs w:val="21"/>
                <w:color w:val="auto"/>
              </w:rPr>
            </w:pPr>
          </w:p>
        </w:tc>
        <w:tc>
          <w:tcPr>
            <w:tcW w:w="200" w:type="dxa"/>
            <w:vAlign w:val="bottom"/>
            <w:tcBorders>
              <w:bottom w:val="single" w:sz="8" w:color="auto"/>
            </w:tcBorders>
            <w:shd w:val="clear" w:color="auto" w:fill="CFF0FC"/>
          </w:tcPr>
          <w:p>
            <w:pPr>
              <w:spacing w:after="0"/>
              <w:rPr>
                <w:sz w:val="21"/>
                <w:szCs w:val="21"/>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2,370,589</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135"/>
        </w:trPr>
        <w:tc>
          <w:tcPr>
            <w:tcW w:w="8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480" w:type="dxa"/>
            <w:vAlign w:val="bottom"/>
            <w:gridSpan w:val="2"/>
          </w:tcPr>
          <w:p>
            <w:pPr>
              <w:spacing w:after="0"/>
              <w:rPr>
                <w:sz w:val="11"/>
                <w:szCs w:val="11"/>
                <w:color w:val="auto"/>
              </w:rPr>
            </w:pPr>
          </w:p>
        </w:tc>
        <w:tc>
          <w:tcPr>
            <w:tcW w:w="200" w:type="dxa"/>
            <w:vAlign w:val="bottom"/>
          </w:tcPr>
          <w:p>
            <w:pPr>
              <w:spacing w:after="0"/>
              <w:rPr>
                <w:sz w:val="11"/>
                <w:szCs w:val="11"/>
                <w:color w:val="auto"/>
              </w:rPr>
            </w:pPr>
          </w:p>
        </w:tc>
        <w:tc>
          <w:tcPr>
            <w:tcW w:w="1300" w:type="dxa"/>
            <w:vAlign w:val="bottom"/>
            <w:gridSpan w:val="2"/>
          </w:tcPr>
          <w:p>
            <w:pPr>
              <w:spacing w:after="0"/>
              <w:rPr>
                <w:sz w:val="11"/>
                <w:szCs w:val="11"/>
                <w:color w:val="auto"/>
              </w:rPr>
            </w:pPr>
          </w:p>
        </w:tc>
      </w:tr>
      <w:tr>
        <w:trPr>
          <w:trHeight w:val="25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Contingencies and commitments</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r>
      <w:tr>
        <w:trPr>
          <w:trHeight w:val="135"/>
        </w:trPr>
        <w:tc>
          <w:tcPr>
            <w:tcW w:w="80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20" w:type="dxa"/>
            <w:vAlign w:val="bottom"/>
          </w:tcPr>
          <w:p>
            <w:pPr>
              <w:spacing w:after="0"/>
              <w:rPr>
                <w:sz w:val="11"/>
                <w:szCs w:val="11"/>
                <w:color w:val="auto"/>
              </w:rPr>
            </w:pPr>
          </w:p>
        </w:tc>
        <w:tc>
          <w:tcPr>
            <w:tcW w:w="260" w:type="dxa"/>
            <w:vAlign w:val="bottom"/>
          </w:tcPr>
          <w:p>
            <w:pPr>
              <w:spacing w:after="0"/>
              <w:rPr>
                <w:sz w:val="11"/>
                <w:szCs w:val="11"/>
                <w:color w:val="auto"/>
              </w:rPr>
            </w:pPr>
          </w:p>
        </w:tc>
        <w:tc>
          <w:tcPr>
            <w:tcW w:w="200" w:type="dxa"/>
            <w:vAlign w:val="bottom"/>
          </w:tcPr>
          <w:p>
            <w:pPr>
              <w:spacing w:after="0"/>
              <w:rPr>
                <w:sz w:val="11"/>
                <w:szCs w:val="11"/>
                <w:color w:val="auto"/>
              </w:rPr>
            </w:pPr>
          </w:p>
        </w:tc>
        <w:tc>
          <w:tcPr>
            <w:tcW w:w="1200" w:type="dxa"/>
            <w:vAlign w:val="bottom"/>
          </w:tcPr>
          <w:p>
            <w:pPr>
              <w:spacing w:after="0"/>
              <w:rPr>
                <w:sz w:val="11"/>
                <w:szCs w:val="11"/>
                <w:color w:val="auto"/>
              </w:rPr>
            </w:pPr>
          </w:p>
        </w:tc>
        <w:tc>
          <w:tcPr>
            <w:tcW w:w="100" w:type="dxa"/>
            <w:vAlign w:val="bottom"/>
          </w:tcPr>
          <w:p>
            <w:pPr>
              <w:spacing w:after="0"/>
              <w:rPr>
                <w:sz w:val="11"/>
                <w:szCs w:val="11"/>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Equity:</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Kirby stockholders’ equity:</w:t>
            </w:r>
          </w:p>
        </w:tc>
        <w:tc>
          <w:tcPr>
            <w:tcW w:w="200" w:type="dxa"/>
            <w:vAlign w:val="bottom"/>
          </w:tcPr>
          <w:p>
            <w:pPr>
              <w:spacing w:after="0"/>
              <w:rPr>
                <w:sz w:val="21"/>
                <w:szCs w:val="21"/>
                <w:color w:val="auto"/>
              </w:rPr>
            </w:pPr>
          </w:p>
        </w:tc>
        <w:tc>
          <w:tcPr>
            <w:tcW w:w="12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4"/>
              </w:rPr>
              <w:t>Common stock, $0.10 par value per share. Authorized 120,000,000 shares, issued 65,472,000 shares</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Additional paid-in capital</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851,587</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844,979</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Accumulated other comprehensive income – net</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(54,663 )</w:t>
            </w: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(61,452 )</w:t>
            </w: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Retained earnings</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2,335,478</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2,593,393</w:t>
            </w:r>
          </w:p>
        </w:tc>
        <w:tc>
          <w:tcPr>
            <w:tcW w:w="100" w:type="dxa"/>
            <w:vAlign w:val="bottom"/>
          </w:tcPr>
          <w:p>
            <w:pPr>
              <w:spacing w:after="0"/>
              <w:rPr>
                <w:sz w:val="21"/>
                <w:szCs w:val="21"/>
                <w:color w:val="auto"/>
              </w:rPr>
            </w:pPr>
          </w:p>
        </w:tc>
      </w:tr>
      <w:tr>
        <w:trPr>
          <w:trHeight w:val="257"/>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w w:val="92"/>
              </w:rPr>
              <w:t>Treasury stock – at cost, 5,361,000 shares at September 30, 2021 and 5,434,000 at December 31, 2020</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(295,203 )</w:t>
            </w: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(299,161 )</w:t>
            </w:r>
          </w:p>
        </w:tc>
      </w:tr>
      <w:tr>
        <w:trPr>
          <w:trHeight w:val="250"/>
        </w:trPr>
        <w:tc>
          <w:tcPr>
            <w:tcW w:w="8060" w:type="dxa"/>
            <w:vAlign w:val="bottom"/>
            <w:tcBorders>
              <w:top w:val="single" w:sz="8" w:color="CFF0FC"/>
            </w:tcBorders>
          </w:tcPr>
          <w:p>
            <w:pPr>
              <w:ind w:left="200"/>
              <w:spacing w:after="0"/>
              <w:rPr>
                <w:sz w:val="20"/>
                <w:szCs w:val="20"/>
                <w:color w:val="auto"/>
              </w:rPr>
            </w:pPr>
            <w:r>
              <w:rPr>
                <w:rFonts w:ascii="Arial" w:cs="Arial" w:eastAsia="Arial" w:hAnsi="Arial"/>
                <w:sz w:val="18"/>
                <w:szCs w:val="18"/>
                <w:color w:val="auto"/>
              </w:rPr>
              <w:t>Total Kirby stockholders’ equity</w:t>
            </w:r>
          </w:p>
        </w:tc>
        <w:tc>
          <w:tcPr>
            <w:tcW w:w="200" w:type="dxa"/>
            <w:vAlign w:val="bottom"/>
            <w:tcBorders>
              <w:top w:val="single" w:sz="8" w:color="auto"/>
            </w:tcBorders>
          </w:tcPr>
          <w:p>
            <w:pPr>
              <w:spacing w:after="0"/>
              <w:rPr>
                <w:sz w:val="21"/>
                <w:szCs w:val="21"/>
                <w:color w:val="auto"/>
              </w:rPr>
            </w:pPr>
          </w:p>
        </w:tc>
        <w:tc>
          <w:tcPr>
            <w:tcW w:w="12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2,843,746</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tcBorders>
          </w:tcPr>
          <w:p>
            <w:pPr>
              <w:spacing w:after="0"/>
              <w:rPr>
                <w:sz w:val="21"/>
                <w:szCs w:val="21"/>
                <w:color w:val="auto"/>
              </w:rPr>
            </w:pPr>
          </w:p>
        </w:tc>
        <w:tc>
          <w:tcPr>
            <w:tcW w:w="120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3,084,306</w:t>
            </w:r>
          </w:p>
        </w:tc>
        <w:tc>
          <w:tcPr>
            <w:tcW w:w="100" w:type="dxa"/>
            <w:vAlign w:val="bottom"/>
            <w:tcBorders>
              <w:top w:val="single" w:sz="8" w:color="CFF0FC"/>
            </w:tcBorders>
          </w:tcPr>
          <w:p>
            <w:pPr>
              <w:spacing w:after="0"/>
              <w:rPr>
                <w:sz w:val="21"/>
                <w:szCs w:val="21"/>
                <w:color w:val="auto"/>
              </w:rPr>
            </w:pPr>
          </w:p>
        </w:tc>
      </w:tr>
      <w:tr>
        <w:trPr>
          <w:trHeight w:val="257"/>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2,478</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2,846,224</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3,087,553</w:t>
            </w:r>
          </w:p>
        </w:tc>
        <w:tc>
          <w:tcPr>
            <w:tcW w:w="100" w:type="dxa"/>
            <w:vAlign w:val="bottom"/>
          </w:tcPr>
          <w:p>
            <w:pPr>
              <w:spacing w:after="0"/>
              <w:rPr>
                <w:sz w:val="21"/>
                <w:szCs w:val="21"/>
                <w:color w:val="auto"/>
              </w:rPr>
            </w:pPr>
          </w:p>
        </w:tc>
      </w:tr>
      <w:tr>
        <w:trPr>
          <w:trHeight w:val="290"/>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Total liabilities and equity</w:t>
            </w:r>
          </w:p>
        </w:tc>
        <w:tc>
          <w:tcPr>
            <w:tcW w:w="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5,389,882</w:t>
            </w:r>
          </w:p>
        </w:tc>
        <w:tc>
          <w:tcPr>
            <w:tcW w:w="2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-6194425</wp:posOffset>
            </wp:positionV>
            <wp:extent cx="163195" cy="5715"/>
            <wp:wrapNone/>
            <wp:docPr id="8" name="Picture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pic:cNvPicPr>
                      <a:picLocks noChangeAspect="1" noChangeArrowheads="1"/>
                    </pic:cNvPicPr>
                  </pic:nvPicPr>
                  <pic:blipFill>
                    <a:blip r:embed="rId1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-6194425</wp:posOffset>
            </wp:positionV>
            <wp:extent cx="68580" cy="5715"/>
            <wp:wrapNone/>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
                    <pic:cNvPicPr>
                      <a:picLocks noChangeAspect="1" noChangeArrowheads="1"/>
                    </pic:cNvPicPr>
                  </pic:nvPicPr>
                  <pic:blipFill>
                    <a:blip r:embed="rId1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-5602605</wp:posOffset>
            </wp:positionV>
            <wp:extent cx="163195" cy="5715"/>
            <wp:wrapNone/>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
                    <pic:cNvPicPr>
                      <a:picLocks noChangeAspect="1" noChangeArrowheads="1"/>
                    </pic:cNvPicPr>
                  </pic:nvPicPr>
                  <pic:blipFill>
                    <a:blip r:embed="rId1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-5602605</wp:posOffset>
            </wp:positionV>
            <wp:extent cx="68580" cy="5715"/>
            <wp:wrapNone/>
            <wp:docPr id="11" name="Picture 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
                    <pic:cNvPicPr>
                      <a:picLocks noChangeAspect="1" noChangeArrowheads="1"/>
                    </pic:cNvPicPr>
                  </pic:nvPicPr>
                  <pic:blipFill>
                    <a:blip r:embed="rId1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-4688205</wp:posOffset>
            </wp:positionV>
            <wp:extent cx="163195" cy="8890"/>
            <wp:wrapNone/>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
                    <pic:cNvPicPr>
                      <a:picLocks noChangeAspect="1" noChangeArrowheads="1"/>
                    </pic:cNvPicPr>
                  </pic:nvPicPr>
                  <pic:blipFill>
                    <a:blip r:embed="rId1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-4671060</wp:posOffset>
            </wp:positionV>
            <wp:extent cx="163195" cy="8890"/>
            <wp:wrapNone/>
            <wp:docPr id="13" name="Picture 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
                    <pic:cNvPicPr>
                      <a:picLocks noChangeAspect="1" noChangeArrowheads="1"/>
                    </pic:cNvPicPr>
                  </pic:nvPicPr>
                  <pic:blipFill>
                    <a:blip r:embed="rId2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-4688205</wp:posOffset>
            </wp:positionV>
            <wp:extent cx="68580" cy="8890"/>
            <wp:wrapNone/>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
                    <pic:cNvPicPr>
                      <a:picLocks noChangeAspect="1" noChangeArrowheads="1"/>
                    </pic:cNvPicPr>
                  </pic:nvPicPr>
                  <pic:blipFill>
                    <a:blip r:embed="rId2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-4671060</wp:posOffset>
            </wp:positionV>
            <wp:extent cx="68580" cy="8890"/>
            <wp:wrapNone/>
            <wp:docPr id="15" name="Picture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
                    <pic:cNvPicPr>
                      <a:picLocks noChangeAspect="1" noChangeArrowheads="1"/>
                    </pic:cNvPicPr>
                  </pic:nvPicPr>
                  <pic:blipFill>
                    <a:blip r:embed="rId2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-3099435</wp:posOffset>
            </wp:positionV>
            <wp:extent cx="163195" cy="5715"/>
            <wp:wrapNone/>
            <wp:docPr id="16" name="Picture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
                    <pic:cNvPicPr>
                      <a:picLocks noChangeAspect="1" noChangeArrowheads="1"/>
                    </pic:cNvPicPr>
                  </pic:nvPicPr>
                  <pic:blipFill>
                    <a:blip r:embed="rId2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-3099435</wp:posOffset>
            </wp:positionV>
            <wp:extent cx="68580" cy="5715"/>
            <wp:wrapNone/>
            <wp:docPr id="17"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a:picLocks noChangeAspect="1" noChangeArrowheads="1"/>
                    </pic:cNvPicPr>
                  </pic:nvPicPr>
                  <pic:blipFill>
                    <a:blip r:embed="rId2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-2182495</wp:posOffset>
            </wp:positionV>
            <wp:extent cx="163195" cy="5715"/>
            <wp:wrapNone/>
            <wp:docPr id="18" name="Picture 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
                    <pic:cNvPicPr>
                      <a:picLocks noChangeAspect="1" noChangeArrowheads="1"/>
                    </pic:cNvPicPr>
                  </pic:nvPicPr>
                  <pic:blipFill>
                    <a:blip r:embed="rId2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-2182495</wp:posOffset>
            </wp:positionV>
            <wp:extent cx="68580" cy="5715"/>
            <wp:wrapNone/>
            <wp:docPr id="19" name="Picture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
                    <pic:cNvPicPr>
                      <a:picLocks noChangeAspect="1" noChangeArrowheads="1"/>
                    </pic:cNvPicPr>
                  </pic:nvPicPr>
                  <pic:blipFill>
                    <a:blip r:embed="rId2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-699135</wp:posOffset>
            </wp:positionV>
            <wp:extent cx="163195" cy="5715"/>
            <wp:wrapNone/>
            <wp:docPr id="20" name="Picture 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
                    <pic:cNvPicPr>
                      <a:picLocks noChangeAspect="1" noChangeArrowheads="1"/>
                    </pic:cNvPicPr>
                  </pic:nvPicPr>
                  <pic:blipFill>
                    <a:blip r:embed="rId27">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-699135</wp:posOffset>
            </wp:positionV>
            <wp:extent cx="68580" cy="5715"/>
            <wp:wrapNone/>
            <wp:docPr id="21" name="Picture 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
                    <pic:cNvPicPr>
                      <a:picLocks noChangeAspect="1" noChangeArrowheads="1"/>
                    </pic:cNvPicPr>
                  </pic:nvPicPr>
                  <pic:blipFill>
                    <a:blip r:embed="rId28">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-365125</wp:posOffset>
            </wp:positionV>
            <wp:extent cx="163195" cy="5715"/>
            <wp:wrapNone/>
            <wp:docPr id="22" name="Picture 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
                    <pic:cNvPicPr>
                      <a:picLocks noChangeAspect="1" noChangeArrowheads="1"/>
                    </pic:cNvPicPr>
                  </pic:nvPicPr>
                  <pic:blipFill>
                    <a:blip r:embed="rId2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-365125</wp:posOffset>
            </wp:positionV>
            <wp:extent cx="68580" cy="5715"/>
            <wp:wrapNone/>
            <wp:docPr id="23" name="Picture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
                    <pic:cNvPicPr>
                      <a:picLocks noChangeAspect="1" noChangeArrowheads="1"/>
                    </pic:cNvPicPr>
                  </pic:nvPicPr>
                  <pic:blipFill>
                    <a:blip r:embed="rId3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-25400</wp:posOffset>
            </wp:positionV>
            <wp:extent cx="163195" cy="8890"/>
            <wp:wrapNone/>
            <wp:docPr id="24" name="Picture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
                    <pic:cNvPicPr>
                      <a:picLocks noChangeAspect="1" noChangeArrowheads="1"/>
                    </pic:cNvPicPr>
                  </pic:nvPicPr>
                  <pic:blipFill>
                    <a:blip r:embed="rId3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-8255</wp:posOffset>
            </wp:positionV>
            <wp:extent cx="163195" cy="8890"/>
            <wp:wrapNone/>
            <wp:docPr id="25" name="Picture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
                    <pic:cNvPicPr>
                      <a:picLocks noChangeAspect="1" noChangeArrowheads="1"/>
                    </pic:cNvPicPr>
                  </pic:nvPicPr>
                  <pic:blipFill>
                    <a:blip r:embed="rId3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
                    <pic:cNvPicPr>
                      <a:picLocks noChangeAspect="1" noChangeArrowheads="1"/>
                    </pic:cNvPicPr>
                  </pic:nvPicPr>
                  <pic:blipFill>
                    <a:blip r:embed="rId3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27" name="Picture 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
                    <pic:cNvPicPr>
                      <a:picLocks noChangeAspect="1" noChangeArrowheads="1"/>
                    </pic:cNvPicPr>
                  </pic:nvPicPr>
                  <pic:blipFill>
                    <a:blip r:embed="rId3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8" name="Picture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
                    <pic:cNvPicPr>
                      <a:picLocks noChangeAspect="1" noChangeArrowheads="1"/>
                    </pic:cNvPicPr>
                  </pic:nvPicPr>
                  <pic:blipFill>
                    <a:blip r:embed="rId3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010" w:gutter="0" w:footer="0" w:header="0"/>
        </w:sectPr>
      </w:pPr>
    </w:p>
    <w:bookmarkStart w:id="2" w:name="page3"/>
    <w:bookmarkEnd w:id="2"/>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EARNINGS</w:t>
      </w:r>
    </w:p>
    <w:p>
      <w:pPr>
        <w:spacing w:after="0" w:line="23" w:lineRule="exact"/>
        <w:rPr>
          <w:sz w:val="20"/>
          <w:szCs w:val="20"/>
          <w:color w:val="auto"/>
        </w:rPr>
      </w:pPr>
    </w:p>
    <w:p>
      <w:pPr>
        <w:jc w:val="center"/>
        <w:ind w:right="40"/>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4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24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478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3140" w:type="dxa"/>
            <w:vAlign w:val="bottom"/>
            <w:gridSpan w:val="5"/>
          </w:tcPr>
          <w:p>
            <w:pPr>
              <w:jc w:val="right"/>
              <w:ind w:right="480"/>
              <w:spacing w:after="0"/>
              <w:rPr>
                <w:sz w:val="20"/>
                <w:szCs w:val="20"/>
                <w:color w:val="auto"/>
              </w:rPr>
            </w:pPr>
            <w:r>
              <w:rPr>
                <w:rFonts w:ascii="Arial" w:cs="Arial" w:eastAsia="Arial" w:hAnsi="Arial"/>
                <w:sz w:val="14"/>
                <w:szCs w:val="14"/>
                <w:b w:val="1"/>
                <w:bCs w:val="1"/>
                <w:color w:val="auto"/>
                <w:w w:val="91"/>
              </w:rPr>
              <w:t>($ in thousands, except per share amounts)</w:t>
            </w: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338,514</w:t>
            </w:r>
          </w:p>
        </w:tc>
        <w:tc>
          <w:tcPr>
            <w:tcW w:w="28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320,602</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972,352</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1,104,846</w:t>
            </w:r>
          </w:p>
        </w:tc>
        <w:tc>
          <w:tcPr>
            <w:tcW w:w="100" w:type="dxa"/>
            <w:vAlign w:val="bottom"/>
          </w:tcPr>
          <w:p>
            <w:pPr>
              <w:spacing w:after="0"/>
              <w:rPr>
                <w:sz w:val="21"/>
                <w:szCs w:val="21"/>
                <w:color w:val="auto"/>
              </w:rPr>
            </w:pPr>
          </w:p>
        </w:tc>
      </w:tr>
      <w:tr>
        <w:trPr>
          <w:trHeight w:val="257"/>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260,406</w:t>
            </w:r>
          </w:p>
        </w:tc>
        <w:tc>
          <w:tcPr>
            <w:tcW w:w="280" w:type="dxa"/>
            <w:vAlign w:val="bottom"/>
            <w:tcBorders>
              <w:bottom w:val="single" w:sz="8" w:color="CFF0FC"/>
            </w:tcBorders>
            <w:shd w:val="clear" w:color="auto" w:fill="CFF0FC"/>
          </w:tcPr>
          <w:p>
            <w:pPr>
              <w:spacing w:after="0"/>
              <w:rPr>
                <w:sz w:val="22"/>
                <w:szCs w:val="22"/>
                <w:color w:val="auto"/>
              </w:rPr>
            </w:pPr>
          </w:p>
        </w:tc>
        <w:tc>
          <w:tcPr>
            <w:tcW w:w="14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175,965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683,042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576,806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780" w:type="dxa"/>
            <w:vAlign w:val="bottom"/>
          </w:tcPr>
          <w:p>
            <w:pPr>
              <w:ind w:left="380"/>
              <w:spacing w:after="0"/>
              <w:rPr>
                <w:sz w:val="20"/>
                <w:szCs w:val="20"/>
                <w:color w:val="auto"/>
              </w:rPr>
            </w:pPr>
            <w:r>
              <w:rPr>
                <w:rFonts w:ascii="Arial" w:cs="Arial" w:eastAsia="Arial" w:hAnsi="Arial"/>
                <w:sz w:val="18"/>
                <w:szCs w:val="18"/>
                <w:color w:val="auto"/>
              </w:rPr>
              <w:t>Total revenues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598,920</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496,567</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1,655,394</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1,681,652</w:t>
            </w:r>
          </w:p>
        </w:tc>
        <w:tc>
          <w:tcPr>
            <w:tcW w:w="100" w:type="dxa"/>
            <w:vAlign w:val="bottom"/>
          </w:tcPr>
          <w:p>
            <w:pPr>
              <w:spacing w:after="0"/>
              <w:rPr>
                <w:sz w:val="21"/>
                <w:szCs w:val="21"/>
                <w:color w:val="auto"/>
              </w:rPr>
            </w:pPr>
          </w:p>
        </w:tc>
      </w:tr>
      <w:tr>
        <w:trPr>
          <w:trHeight w:val="257"/>
        </w:trPr>
        <w:tc>
          <w:tcPr>
            <w:tcW w:w="47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Costs and expenses: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Costs of sales and operating expenses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446,519</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340,764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1,219,038</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1,167,871</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Selling, general and administrative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66,065</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61,720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198,434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199,412</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Taxes, other than on income</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9,917</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9,077</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28,541</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33,548</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53,462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54,779</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163,484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165,067</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Impairments and other charges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340,713</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340,713</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561,274</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(Gain) loss on disposition of assets</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(830 )</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316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(5,082 )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13</w:t>
            </w:r>
          </w:p>
        </w:tc>
        <w:tc>
          <w:tcPr>
            <w:tcW w:w="100" w:type="dxa"/>
            <w:vAlign w:val="bottom"/>
          </w:tcPr>
          <w:p>
            <w:pPr>
              <w:spacing w:after="0"/>
              <w:rPr>
                <w:sz w:val="21"/>
                <w:szCs w:val="21"/>
                <w:color w:val="auto"/>
              </w:rPr>
            </w:pPr>
          </w:p>
        </w:tc>
      </w:tr>
      <w:tr>
        <w:trPr>
          <w:trHeight w:val="250"/>
        </w:trPr>
        <w:tc>
          <w:tcPr>
            <w:tcW w:w="4780" w:type="dxa"/>
            <w:vAlign w:val="bottom"/>
            <w:tcBorders>
              <w:bottom w:val="single" w:sz="8" w:color="CFF0FC"/>
            </w:tcBorders>
            <w:shd w:val="clear" w:color="auto" w:fill="CFF0FC"/>
          </w:tcPr>
          <w:p>
            <w:pPr>
              <w:ind w:left="380"/>
              <w:spacing w:after="0"/>
              <w:rPr>
                <w:sz w:val="20"/>
                <w:szCs w:val="20"/>
                <w:color w:val="auto"/>
              </w:rPr>
            </w:pPr>
            <w:r>
              <w:rPr>
                <w:rFonts w:ascii="Arial" w:cs="Arial" w:eastAsia="Arial" w:hAnsi="Arial"/>
                <w:sz w:val="18"/>
                <w:szCs w:val="18"/>
                <w:color w:val="auto"/>
              </w:rPr>
              <w:t>Total costs and expenses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915,846</w:t>
            </w:r>
          </w:p>
        </w:tc>
        <w:tc>
          <w:tcPr>
            <w:tcW w:w="280" w:type="dxa"/>
            <w:vAlign w:val="bottom"/>
            <w:tcBorders>
              <w:bottom w:val="single" w:sz="8" w:color="CFF0FC"/>
            </w:tcBorders>
            <w:shd w:val="clear" w:color="auto" w:fill="CFF0FC"/>
          </w:tcPr>
          <w:p>
            <w:pPr>
              <w:spacing w:after="0"/>
              <w:rPr>
                <w:sz w:val="21"/>
                <w:szCs w:val="21"/>
                <w:color w:val="auto"/>
              </w:rPr>
            </w:pPr>
          </w:p>
        </w:tc>
        <w:tc>
          <w:tcPr>
            <w:tcW w:w="140" w:type="dxa"/>
            <w:vAlign w:val="bottom"/>
            <w:tcBorders>
              <w:top w:val="single" w:sz="8" w:color="auto"/>
              <w:bottom w:val="single" w:sz="8" w:color="auto"/>
            </w:tcBorders>
            <w:shd w:val="clear" w:color="auto" w:fill="CFF0FC"/>
          </w:tcPr>
          <w:p>
            <w:pPr>
              <w:spacing w:after="0"/>
              <w:rPr>
                <w:sz w:val="21"/>
                <w:szCs w:val="21"/>
                <w:color w:val="auto"/>
              </w:rPr>
            </w:pP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466,656</w:t>
            </w:r>
          </w:p>
        </w:tc>
        <w:tc>
          <w:tcPr>
            <w:tcW w:w="260" w:type="dxa"/>
            <w:vAlign w:val="bottom"/>
            <w:tcBorders>
              <w:bottom w:val="single" w:sz="8" w:color="CFF0FC"/>
            </w:tcBorders>
            <w:shd w:val="clear" w:color="auto" w:fill="CFF0FC"/>
          </w:tcPr>
          <w:p>
            <w:pPr>
              <w:spacing w:after="0"/>
              <w:rPr>
                <w:sz w:val="21"/>
                <w:szCs w:val="21"/>
                <w:color w:val="auto"/>
              </w:rPr>
            </w:pPr>
          </w:p>
        </w:tc>
        <w:tc>
          <w:tcPr>
            <w:tcW w:w="260" w:type="dxa"/>
            <w:vAlign w:val="bottom"/>
            <w:tcBorders>
              <w:top w:val="single" w:sz="8" w:color="auto"/>
              <w:bottom w:val="single" w:sz="8" w:color="auto"/>
            </w:tcBorders>
            <w:shd w:val="clear" w:color="auto" w:fill="CFF0FC"/>
          </w:tcPr>
          <w:p>
            <w:pPr>
              <w:spacing w:after="0"/>
              <w:rPr>
                <w:sz w:val="21"/>
                <w:szCs w:val="21"/>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1,945,128</w:t>
            </w:r>
          </w:p>
        </w:tc>
        <w:tc>
          <w:tcPr>
            <w:tcW w:w="260" w:type="dxa"/>
            <w:vAlign w:val="bottom"/>
            <w:tcBorders>
              <w:bottom w:val="single" w:sz="8" w:color="CFF0FC"/>
            </w:tcBorders>
            <w:shd w:val="clear" w:color="auto" w:fill="CFF0FC"/>
          </w:tcPr>
          <w:p>
            <w:pPr>
              <w:spacing w:after="0"/>
              <w:rPr>
                <w:sz w:val="21"/>
                <w:szCs w:val="21"/>
                <w:color w:val="auto"/>
              </w:rPr>
            </w:pPr>
          </w:p>
        </w:tc>
        <w:tc>
          <w:tcPr>
            <w:tcW w:w="320" w:type="dxa"/>
            <w:vAlign w:val="bottom"/>
            <w:tcBorders>
              <w:top w:val="single" w:sz="8" w:color="auto"/>
              <w:bottom w:val="single" w:sz="8" w:color="auto"/>
            </w:tcBorders>
            <w:shd w:val="clear" w:color="auto" w:fill="CFF0FC"/>
          </w:tcPr>
          <w:p>
            <w:pPr>
              <w:spacing w:after="0"/>
              <w:rPr>
                <w:sz w:val="21"/>
                <w:szCs w:val="21"/>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2,127,185</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47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420" w:type="dxa"/>
            <w:vAlign w:val="bottom"/>
            <w:gridSpan w:val="2"/>
          </w:tcPr>
          <w:p>
            <w:pPr>
              <w:spacing w:after="0"/>
              <w:rPr>
                <w:sz w:val="22"/>
                <w:szCs w:val="22"/>
                <w:color w:val="auto"/>
              </w:rPr>
            </w:pPr>
          </w:p>
        </w:tc>
        <w:tc>
          <w:tcPr>
            <w:tcW w:w="140" w:type="dxa"/>
            <w:vAlign w:val="bottom"/>
          </w:tcPr>
          <w:p>
            <w:pPr>
              <w:spacing w:after="0"/>
              <w:rPr>
                <w:sz w:val="22"/>
                <w:szCs w:val="22"/>
                <w:color w:val="auto"/>
              </w:rPr>
            </w:pPr>
          </w:p>
        </w:tc>
        <w:tc>
          <w:tcPr>
            <w:tcW w:w="12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1380" w:type="dxa"/>
            <w:vAlign w:val="bottom"/>
            <w:gridSpan w:val="2"/>
          </w:tcPr>
          <w:p>
            <w:pPr>
              <w:spacing w:after="0"/>
              <w:rPr>
                <w:sz w:val="22"/>
                <w:szCs w:val="22"/>
                <w:color w:val="auto"/>
              </w:rPr>
            </w:pPr>
          </w:p>
        </w:tc>
        <w:tc>
          <w:tcPr>
            <w:tcW w:w="320" w:type="dxa"/>
            <w:vAlign w:val="bottom"/>
          </w:tcPr>
          <w:p>
            <w:pPr>
              <w:spacing w:after="0"/>
              <w:rPr>
                <w:sz w:val="22"/>
                <w:szCs w:val="22"/>
                <w:color w:val="auto"/>
              </w:rPr>
            </w:pPr>
          </w:p>
        </w:tc>
        <w:tc>
          <w:tcPr>
            <w:tcW w:w="1160" w:type="dxa"/>
            <w:vAlign w:val="bottom"/>
            <w:gridSpan w:val="2"/>
          </w:tcPr>
          <w:p>
            <w:pPr>
              <w:spacing w:after="0"/>
              <w:rPr>
                <w:sz w:val="22"/>
                <w:szCs w:val="22"/>
                <w:color w:val="auto"/>
              </w:rPr>
            </w:pPr>
          </w:p>
        </w:tc>
      </w:tr>
      <w:tr>
        <w:trPr>
          <w:trHeight w:val="257"/>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income (loss)</w:t>
            </w: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(316,926 )</w:t>
            </w: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29,911</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(289,734 )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(445,533 )</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1,832</w:t>
            </w:r>
          </w:p>
        </w:tc>
        <w:tc>
          <w:tcPr>
            <w:tcW w:w="2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8,146</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6,185</w:t>
            </w:r>
          </w:p>
        </w:tc>
        <w:tc>
          <w:tcPr>
            <w:tcW w:w="100" w:type="dxa"/>
            <w:vAlign w:val="bottom"/>
          </w:tcPr>
          <w:p>
            <w:pPr>
              <w:spacing w:after="0"/>
              <w:rPr>
                <w:sz w:val="21"/>
                <w:szCs w:val="21"/>
                <w:color w:val="auto"/>
              </w:rPr>
            </w:pPr>
          </w:p>
        </w:tc>
      </w:tr>
      <w:tr>
        <w:trPr>
          <w:trHeight w:val="25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(10,500 )</w:t>
            </w:r>
          </w:p>
        </w:tc>
        <w:tc>
          <w:tcPr>
            <w:tcW w:w="1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(11,809 )</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(32,172 )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(37,316 )</w:t>
            </w:r>
          </w:p>
        </w:tc>
      </w:tr>
      <w:tr>
        <w:trPr>
          <w:trHeight w:val="256"/>
        </w:trPr>
        <w:tc>
          <w:tcPr>
            <w:tcW w:w="478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Earnings (loss) before taxes on income</w:t>
            </w: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(325,594 )</w:t>
            </w: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(313,760 )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(476,664 )</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Benefit for taxes on income</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60,442</w:t>
            </w:r>
          </w:p>
        </w:tc>
        <w:tc>
          <w:tcPr>
            <w:tcW w:w="280" w:type="dxa"/>
            <w:vAlign w:val="bottom"/>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8,419</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55,840</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182,657</w:t>
            </w:r>
          </w:p>
        </w:tc>
        <w:tc>
          <w:tcPr>
            <w:tcW w:w="100" w:type="dxa"/>
            <w:vAlign w:val="bottom"/>
          </w:tcPr>
          <w:p>
            <w:pPr>
              <w:spacing w:after="0"/>
              <w:rPr>
                <w:sz w:val="21"/>
                <w:szCs w:val="21"/>
                <w:color w:val="auto"/>
              </w:rPr>
            </w:pPr>
          </w:p>
        </w:tc>
      </w:tr>
      <w:tr>
        <w:trPr>
          <w:trHeight w:val="256"/>
        </w:trPr>
        <w:tc>
          <w:tcPr>
            <w:tcW w:w="47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spacing w:after="0"/>
              <w:rPr>
                <w:sz w:val="22"/>
                <w:szCs w:val="22"/>
                <w:color w:val="auto"/>
              </w:rPr>
            </w:pPr>
          </w:p>
        </w:tc>
      </w:tr>
      <w:tr>
        <w:trPr>
          <w:trHeight w:val="250"/>
        </w:trPr>
        <w:tc>
          <w:tcPr>
            <w:tcW w:w="4780" w:type="dxa"/>
            <w:vAlign w:val="bottom"/>
          </w:tcPr>
          <w:p>
            <w:pPr>
              <w:ind w:left="380"/>
              <w:spacing w:after="0"/>
              <w:rPr>
                <w:sz w:val="20"/>
                <w:szCs w:val="20"/>
                <w:color w:val="auto"/>
              </w:rPr>
            </w:pPr>
            <w:r>
              <w:rPr>
                <w:rFonts w:ascii="Arial" w:cs="Arial" w:eastAsia="Arial" w:hAnsi="Arial"/>
                <w:sz w:val="18"/>
                <w:szCs w:val="18"/>
                <w:color w:val="auto"/>
              </w:rPr>
              <w:t>Net earnings (loss)</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(265,152 )</w:t>
            </w:r>
          </w:p>
        </w:tc>
        <w:tc>
          <w:tcPr>
            <w:tcW w:w="14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27,693</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(257,920 )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(294,007 )</w:t>
            </w:r>
          </w:p>
        </w:tc>
      </w:tr>
      <w:tr>
        <w:trPr>
          <w:trHeight w:val="25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attributable to noncontrolling interests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5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(204 )</w:t>
            </w: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r>
      <w:tr>
        <w:trPr>
          <w:trHeight w:val="256"/>
        </w:trPr>
        <w:tc>
          <w:tcPr>
            <w:tcW w:w="478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140" w:type="dxa"/>
            <w:vAlign w:val="bottom"/>
            <w:tcBorders>
              <w:top w:val="single" w:sz="8" w:color="auto"/>
            </w:tcBorders>
          </w:tcPr>
          <w:p>
            <w:pPr>
              <w:spacing w:after="0"/>
              <w:rPr>
                <w:sz w:val="22"/>
                <w:szCs w:val="22"/>
                <w:color w:val="auto"/>
              </w:rPr>
            </w:pPr>
          </w:p>
        </w:tc>
        <w:tc>
          <w:tcPr>
            <w:tcW w:w="12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2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90"/>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earnings (loss) attributable to Kirby</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(264,730 )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27,489</w:t>
            </w:r>
          </w:p>
        </w:tc>
        <w:tc>
          <w:tcPr>
            <w:tcW w:w="260" w:type="dxa"/>
            <w:vAlign w:val="bottom"/>
            <w:shd w:val="clear" w:color="auto" w:fill="CFF0FC"/>
          </w:tcPr>
          <w:p>
            <w:pPr>
              <w:spacing w:after="0"/>
              <w:rPr>
                <w:sz w:val="24"/>
                <w:szCs w:val="24"/>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(257,915 )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(294,750 )</w:t>
            </w:r>
          </w:p>
        </w:tc>
      </w:tr>
      <w:tr>
        <w:trPr>
          <w:trHeight w:val="244"/>
        </w:trPr>
        <w:tc>
          <w:tcPr>
            <w:tcW w:w="4780" w:type="dxa"/>
            <w:vAlign w:val="bottom"/>
            <w:tcBorders>
              <w:top w:val="single" w:sz="8" w:color="CFF0FC"/>
            </w:tcBorders>
          </w:tcPr>
          <w:p>
            <w:pPr>
              <w:spacing w:after="0"/>
              <w:rPr>
                <w:sz w:val="21"/>
                <w:szCs w:val="21"/>
                <w:color w:val="auto"/>
              </w:rPr>
            </w:pPr>
          </w:p>
        </w:tc>
        <w:tc>
          <w:tcPr>
            <w:tcW w:w="280" w:type="dxa"/>
            <w:vAlign w:val="bottom"/>
            <w:tcBorders>
              <w:top w:val="single" w:sz="8" w:color="auto"/>
            </w:tcBorders>
          </w:tcPr>
          <w:p>
            <w:pPr>
              <w:spacing w:after="0"/>
              <w:rPr>
                <w:sz w:val="21"/>
                <w:szCs w:val="21"/>
                <w:color w:val="auto"/>
              </w:rPr>
            </w:pPr>
          </w:p>
        </w:tc>
        <w:tc>
          <w:tcPr>
            <w:tcW w:w="1140" w:type="dxa"/>
            <w:vAlign w:val="bottom"/>
            <w:tcBorders>
              <w:top w:val="single" w:sz="8" w:color="auto"/>
            </w:tcBorders>
          </w:tcPr>
          <w:p>
            <w:pPr>
              <w:spacing w:after="0"/>
              <w:rPr>
                <w:sz w:val="21"/>
                <w:szCs w:val="21"/>
                <w:color w:val="auto"/>
              </w:rPr>
            </w:pPr>
          </w:p>
        </w:tc>
        <w:tc>
          <w:tcPr>
            <w:tcW w:w="280" w:type="dxa"/>
            <w:vAlign w:val="bottom"/>
            <w:tcBorders>
              <w:top w:val="single" w:sz="8" w:color="CFF0FC"/>
            </w:tcBorders>
          </w:tcPr>
          <w:p>
            <w:pPr>
              <w:spacing w:after="0"/>
              <w:rPr>
                <w:sz w:val="21"/>
                <w:szCs w:val="21"/>
                <w:color w:val="auto"/>
              </w:rPr>
            </w:pPr>
          </w:p>
        </w:tc>
        <w:tc>
          <w:tcPr>
            <w:tcW w:w="140" w:type="dxa"/>
            <w:vAlign w:val="bottom"/>
            <w:tcBorders>
              <w:top w:val="single" w:sz="8" w:color="auto"/>
            </w:tcBorders>
          </w:tcPr>
          <w:p>
            <w:pPr>
              <w:spacing w:after="0"/>
              <w:rPr>
                <w:sz w:val="21"/>
                <w:szCs w:val="21"/>
                <w:color w:val="auto"/>
              </w:rPr>
            </w:pPr>
          </w:p>
        </w:tc>
        <w:tc>
          <w:tcPr>
            <w:tcW w:w="124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260" w:type="dxa"/>
            <w:vAlign w:val="bottom"/>
            <w:tcBorders>
              <w:top w:val="single" w:sz="8" w:color="auto"/>
            </w:tcBorders>
          </w:tcPr>
          <w:p>
            <w:pPr>
              <w:spacing w:after="0"/>
              <w:rPr>
                <w:sz w:val="21"/>
                <w:szCs w:val="21"/>
                <w:color w:val="auto"/>
              </w:rPr>
            </w:pPr>
          </w:p>
        </w:tc>
        <w:tc>
          <w:tcPr>
            <w:tcW w:w="1120" w:type="dxa"/>
            <w:vAlign w:val="bottom"/>
            <w:tcBorders>
              <w:top w:val="single" w:sz="8" w:color="auto"/>
            </w:tcBorders>
          </w:tcPr>
          <w:p>
            <w:pPr>
              <w:spacing w:after="0"/>
              <w:rPr>
                <w:sz w:val="21"/>
                <w:szCs w:val="21"/>
                <w:color w:val="auto"/>
              </w:rPr>
            </w:pPr>
          </w:p>
        </w:tc>
        <w:tc>
          <w:tcPr>
            <w:tcW w:w="260" w:type="dxa"/>
            <w:vAlign w:val="bottom"/>
            <w:tcBorders>
              <w:top w:val="single" w:sz="8" w:color="CFF0FC"/>
            </w:tcBorders>
          </w:tcPr>
          <w:p>
            <w:pPr>
              <w:spacing w:after="0"/>
              <w:rPr>
                <w:sz w:val="21"/>
                <w:szCs w:val="21"/>
                <w:color w:val="auto"/>
              </w:rPr>
            </w:pPr>
          </w:p>
        </w:tc>
        <w:tc>
          <w:tcPr>
            <w:tcW w:w="320" w:type="dxa"/>
            <w:vAlign w:val="bottom"/>
            <w:tcBorders>
              <w:top w:val="single" w:sz="8" w:color="auto"/>
            </w:tcBorders>
          </w:tcPr>
          <w:p>
            <w:pPr>
              <w:spacing w:after="0"/>
              <w:rPr>
                <w:sz w:val="21"/>
                <w:szCs w:val="21"/>
                <w:color w:val="auto"/>
              </w:rPr>
            </w:pPr>
          </w:p>
        </w:tc>
        <w:tc>
          <w:tcPr>
            <w:tcW w:w="1060" w:type="dxa"/>
            <w:vAlign w:val="bottom"/>
            <w:tcBorders>
              <w:top w:val="single" w:sz="8" w:color="auto"/>
            </w:tcBorders>
          </w:tcPr>
          <w:p>
            <w:pPr>
              <w:spacing w:after="0"/>
              <w:rPr>
                <w:sz w:val="21"/>
                <w:szCs w:val="21"/>
                <w:color w:val="auto"/>
              </w:rPr>
            </w:pPr>
          </w:p>
        </w:tc>
        <w:tc>
          <w:tcPr>
            <w:tcW w:w="100" w:type="dxa"/>
            <w:vAlign w:val="bottom"/>
            <w:tcBorders>
              <w:top w:val="single" w:sz="8" w:color="CFF0FC"/>
            </w:tcBorders>
          </w:tcPr>
          <w:p>
            <w:pPr>
              <w:spacing w:after="0"/>
              <w:rPr>
                <w:sz w:val="21"/>
                <w:szCs w:val="21"/>
                <w:color w:val="auto"/>
              </w:rPr>
            </w:pPr>
          </w:p>
        </w:tc>
      </w:tr>
      <w:tr>
        <w:trPr>
          <w:trHeight w:val="242"/>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attributable to Kirby common</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2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(4.41 )</w:t>
            </w: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(4.92 )</w:t>
            </w: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7"/>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(4.41 )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(4.92 )</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12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-4514215</wp:posOffset>
            </wp:positionV>
            <wp:extent cx="180340" cy="5715"/>
            <wp:wrapNone/>
            <wp:docPr id="29" name="Picture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
                    <pic:cNvPicPr>
                      <a:picLocks noChangeAspect="1" noChangeArrowheads="1"/>
                    </pic:cNvPicPr>
                  </pic:nvPicPr>
                  <pic:blipFill>
                    <a:blip r:embed="rId36">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-4514215</wp:posOffset>
            </wp:positionV>
            <wp:extent cx="162560" cy="5715"/>
            <wp:wrapNone/>
            <wp:docPr id="30" name="Picture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
                    <pic:cNvPicPr>
                      <a:picLocks noChangeAspect="1" noChangeArrowheads="1"/>
                    </pic:cNvPicPr>
                  </pic:nvPicPr>
                  <pic:blipFill>
                    <a:blip r:embed="rId37">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-4514215</wp:posOffset>
            </wp:positionV>
            <wp:extent cx="162560" cy="5715"/>
            <wp:wrapNone/>
            <wp:docPr id="31" name="Picture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
                    <pic:cNvPicPr>
                      <a:picLocks noChangeAspect="1" noChangeArrowheads="1"/>
                    </pic:cNvPicPr>
                  </pic:nvPicPr>
                  <pic:blipFill>
                    <a:blip r:embed="rId3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-4514215</wp:posOffset>
            </wp:positionV>
            <wp:extent cx="68580" cy="5715"/>
            <wp:wrapNone/>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
                    <pic:cNvPicPr>
                      <a:picLocks noChangeAspect="1" noChangeArrowheads="1"/>
                    </pic:cNvPicPr>
                  </pic:nvPicPr>
                  <pic:blipFill>
                    <a:blip r:embed="rId39">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-2859405</wp:posOffset>
            </wp:positionV>
            <wp:extent cx="180340" cy="5715"/>
            <wp:wrapNone/>
            <wp:docPr id="33" name="Picture 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
                    <pic:cNvPicPr>
                      <a:picLocks noChangeAspect="1" noChangeArrowheads="1"/>
                    </pic:cNvPicPr>
                  </pic:nvPicPr>
                  <pic:blipFill>
                    <a:blip r:embed="rId40">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-2859405</wp:posOffset>
            </wp:positionV>
            <wp:extent cx="162560" cy="5715"/>
            <wp:wrapNone/>
            <wp:docPr id="34" name="Picture 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
                    <pic:cNvPicPr>
                      <a:picLocks noChangeAspect="1" noChangeArrowheads="1"/>
                    </pic:cNvPicPr>
                  </pic:nvPicPr>
                  <pic:blipFill>
                    <a:blip r:embed="rId4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-2859405</wp:posOffset>
            </wp:positionV>
            <wp:extent cx="162560" cy="5715"/>
            <wp:wrapNone/>
            <wp:docPr id="35" name="Picture 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
                    <pic:cNvPicPr>
                      <a:picLocks noChangeAspect="1" noChangeArrowheads="1"/>
                    </pic:cNvPicPr>
                  </pic:nvPicPr>
                  <pic:blipFill>
                    <a:blip r:embed="rId4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-2859405</wp:posOffset>
            </wp:positionV>
            <wp:extent cx="68580" cy="5715"/>
            <wp:wrapNone/>
            <wp:docPr id="36" name="Picture 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
                    <pic:cNvPicPr>
                      <a:picLocks noChangeAspect="1" noChangeArrowheads="1"/>
                    </pic:cNvPicPr>
                  </pic:nvPicPr>
                  <pic:blipFill>
                    <a:blip r:embed="rId4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-2199640</wp:posOffset>
            </wp:positionV>
            <wp:extent cx="180340" cy="5715"/>
            <wp:wrapNone/>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
                    <pic:cNvPicPr>
                      <a:picLocks noChangeAspect="1" noChangeArrowheads="1"/>
                    </pic:cNvPicPr>
                  </pic:nvPicPr>
                  <pic:blipFill>
                    <a:blip r:embed="rId4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-2199640</wp:posOffset>
            </wp:positionV>
            <wp:extent cx="162560" cy="5715"/>
            <wp:wrapNone/>
            <wp:docPr id="38" name="Picture 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
                    <pic:cNvPicPr>
                      <a:picLocks noChangeAspect="1" noChangeArrowheads="1"/>
                    </pic:cNvPicPr>
                  </pic:nvPicPr>
                  <pic:blipFill>
                    <a:blip r:embed="rId4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-2199640</wp:posOffset>
            </wp:positionV>
            <wp:extent cx="162560" cy="5715"/>
            <wp:wrapNone/>
            <wp:docPr id="39" name="Picture 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
                    <pic:cNvPicPr>
                      <a:picLocks noChangeAspect="1" noChangeArrowheads="1"/>
                    </pic:cNvPicPr>
                  </pic:nvPicPr>
                  <pic:blipFill>
                    <a:blip r:embed="rId4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-2199640</wp:posOffset>
            </wp:positionV>
            <wp:extent cx="68580" cy="5715"/>
            <wp:wrapNone/>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
                    <pic:cNvPicPr>
                      <a:picLocks noChangeAspect="1" noChangeArrowheads="1"/>
                    </pic:cNvPicPr>
                  </pic:nvPicPr>
                  <pic:blipFill>
                    <a:blip r:embed="rId47">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-1205230</wp:posOffset>
            </wp:positionV>
            <wp:extent cx="180340" cy="5715"/>
            <wp:wrapNone/>
            <wp:docPr id="41" name="Picture 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1"/>
                    <pic:cNvPicPr>
                      <a:picLocks noChangeAspect="1" noChangeArrowheads="1"/>
                    </pic:cNvPicPr>
                  </pic:nvPicPr>
                  <pic:blipFill>
                    <a:blip r:embed="rId4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-1205230</wp:posOffset>
            </wp:positionV>
            <wp:extent cx="162560" cy="5715"/>
            <wp:wrapNone/>
            <wp:docPr id="42" name="Picture 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2"/>
                    <pic:cNvPicPr>
                      <a:picLocks noChangeAspect="1" noChangeArrowheads="1"/>
                    </pic:cNvPicPr>
                  </pic:nvPicPr>
                  <pic:blipFill>
                    <a:blip r:embed="rId4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-1205230</wp:posOffset>
            </wp:positionV>
            <wp:extent cx="162560" cy="5715"/>
            <wp:wrapNone/>
            <wp:docPr id="43" name="Picture 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3"/>
                    <pic:cNvPicPr>
                      <a:picLocks noChangeAspect="1" noChangeArrowheads="1"/>
                    </pic:cNvPicPr>
                  </pic:nvPicPr>
                  <pic:blipFill>
                    <a:blip r:embed="rId5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-1205230</wp:posOffset>
            </wp:positionV>
            <wp:extent cx="68580" cy="5715"/>
            <wp:wrapNone/>
            <wp:docPr id="44" name="Picture 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4"/>
                    <pic:cNvPicPr>
                      <a:picLocks noChangeAspect="1" noChangeArrowheads="1"/>
                    </pic:cNvPicPr>
                  </pic:nvPicPr>
                  <pic:blipFill>
                    <a:blip r:embed="rId5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-873760</wp:posOffset>
            </wp:positionV>
            <wp:extent cx="180340" cy="8255"/>
            <wp:wrapNone/>
            <wp:docPr id="45" name="Picture 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5"/>
                    <pic:cNvPicPr>
                      <a:picLocks noChangeAspect="1" noChangeArrowheads="1"/>
                    </pic:cNvPicPr>
                  </pic:nvPicPr>
                  <pic:blipFill>
                    <a:blip r:embed="rId5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-856615</wp:posOffset>
            </wp:positionV>
            <wp:extent cx="180340" cy="8255"/>
            <wp:wrapNone/>
            <wp:docPr id="46" name="Picture 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6"/>
                    <pic:cNvPicPr>
                      <a:picLocks noChangeAspect="1" noChangeArrowheads="1"/>
                    </pic:cNvPicPr>
                  </pic:nvPicPr>
                  <pic:blipFill>
                    <a:blip r:embed="rId5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-873760</wp:posOffset>
            </wp:positionV>
            <wp:extent cx="162560" cy="8255"/>
            <wp:wrapNone/>
            <wp:docPr id="47" name="Picture 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7"/>
                    <pic:cNvPicPr>
                      <a:picLocks noChangeAspect="1" noChangeArrowheads="1"/>
                    </pic:cNvPicPr>
                  </pic:nvPicPr>
                  <pic:blipFill>
                    <a:blip r:embed="rId5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-856615</wp:posOffset>
            </wp:positionV>
            <wp:extent cx="162560" cy="8255"/>
            <wp:wrapNone/>
            <wp:docPr id="48" name="Picture 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8"/>
                    <pic:cNvPicPr>
                      <a:picLocks noChangeAspect="1" noChangeArrowheads="1"/>
                    </pic:cNvPicPr>
                  </pic:nvPicPr>
                  <pic:blipFill>
                    <a:blip r:embed="rId5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-873760</wp:posOffset>
            </wp:positionV>
            <wp:extent cx="162560" cy="8255"/>
            <wp:wrapNone/>
            <wp:docPr id="49" name="Picture 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9"/>
                    <pic:cNvPicPr>
                      <a:picLocks noChangeAspect="1" noChangeArrowheads="1"/>
                    </pic:cNvPicPr>
                  </pic:nvPicPr>
                  <pic:blipFill>
                    <a:blip r:embed="rId5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-856615</wp:posOffset>
            </wp:positionV>
            <wp:extent cx="162560" cy="8255"/>
            <wp:wrapNone/>
            <wp:docPr id="50" name="Picture 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0"/>
                    <pic:cNvPicPr>
                      <a:picLocks noChangeAspect="1" noChangeArrowheads="1"/>
                    </pic:cNvPicPr>
                  </pic:nvPicPr>
                  <pic:blipFill>
                    <a:blip r:embed="rId5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255"/>
            <wp:wrapNone/>
            <wp:docPr id="51" name="Picture 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1"/>
                    <pic:cNvPicPr>
                      <a:picLocks noChangeAspect="1" noChangeArrowheads="1"/>
                    </pic:cNvPicPr>
                  </pic:nvPicPr>
                  <pic:blipFill>
                    <a:blip r:embed="rId5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52" name="Picture 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2"/>
                    <pic:cNvPicPr>
                      <a:picLocks noChangeAspect="1" noChangeArrowheads="1"/>
                    </pic:cNvPicPr>
                  </pic:nvPicPr>
                  <pic:blipFill>
                    <a:blip r:embed="rId5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180340" cy="8890"/>
            <wp:wrapNone/>
            <wp:docPr id="53" name="Picture 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3"/>
                    <pic:cNvPicPr>
                      <a:picLocks noChangeAspect="1" noChangeArrowheads="1"/>
                    </pic:cNvPicPr>
                  </pic:nvPicPr>
                  <pic:blipFill>
                    <a:blip r:embed="rId60">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180340" cy="8255"/>
            <wp:wrapNone/>
            <wp:docPr id="54" name="Picture 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4"/>
                    <pic:cNvPicPr>
                      <a:picLocks noChangeAspect="1" noChangeArrowheads="1"/>
                    </pic:cNvPicPr>
                  </pic:nvPicPr>
                  <pic:blipFill>
                    <a:blip r:embed="rId61">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62560" cy="8890"/>
            <wp:wrapNone/>
            <wp:docPr id="55" name="Picture 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5"/>
                    <pic:cNvPicPr>
                      <a:picLocks noChangeAspect="1" noChangeArrowheads="1"/>
                    </pic:cNvPicPr>
                  </pic:nvPicPr>
                  <pic:blipFill>
                    <a:blip r:embed="rId62">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62560" cy="8255"/>
            <wp:wrapNone/>
            <wp:docPr id="56" name="Picture 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6"/>
                    <pic:cNvPicPr>
                      <a:picLocks noChangeAspect="1" noChangeArrowheads="1"/>
                    </pic:cNvPicPr>
                  </pic:nvPicPr>
                  <pic:blipFill>
                    <a:blip r:embed="rId6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62560" cy="8890"/>
            <wp:wrapNone/>
            <wp:docPr id="57" name="Picture 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7"/>
                    <pic:cNvPicPr>
                      <a:picLocks noChangeAspect="1" noChangeArrowheads="1"/>
                    </pic:cNvPicPr>
                  </pic:nvPicPr>
                  <pic:blipFill>
                    <a:blip r:embed="rId6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62560" cy="8255"/>
            <wp:wrapNone/>
            <wp:docPr id="58" name="Picture 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8"/>
                    <pic:cNvPicPr>
                      <a:picLocks noChangeAspect="1" noChangeArrowheads="1"/>
                    </pic:cNvPicPr>
                  </pic:nvPicPr>
                  <pic:blipFill>
                    <a:blip r:embed="rId6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890"/>
            <wp:wrapNone/>
            <wp:docPr id="59" name="Picture 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9"/>
                    <pic:cNvPicPr>
                      <a:picLocks noChangeAspect="1" noChangeArrowheads="1"/>
                    </pic:cNvPicPr>
                  </pic:nvPicPr>
                  <pic:blipFill>
                    <a:blip r:embed="rId66">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60" name="Picture 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0"/>
                    <pic:cNvPicPr>
                      <a:picLocks noChangeAspect="1" noChangeArrowheads="1"/>
                    </pic:cNvPicPr>
                  </pic:nvPicPr>
                  <pic:blipFill>
                    <a:blip r:embed="rId67">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61" name="Picture 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1"/>
                    <pic:cNvPicPr>
                      <a:picLocks noChangeAspect="1" noChangeArrowheads="1"/>
                    </pic:cNvPicPr>
                  </pic:nvPicPr>
                  <pic:blipFill>
                    <a:blip r:embed="rId6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 w:name="page4"/>
    <w:bookmarkEnd w:id="3"/>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COMPREHENSIVE INCOME</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380" w:type="dxa"/>
            <w:vAlign w:val="bottom"/>
          </w:tcPr>
          <w:p>
            <w:pPr>
              <w:spacing w:after="0"/>
              <w:rPr>
                <w:sz w:val="16"/>
                <w:szCs w:val="16"/>
                <w:color w:val="auto"/>
              </w:rPr>
            </w:pPr>
          </w:p>
        </w:tc>
        <w:tc>
          <w:tcPr>
            <w:tcW w:w="274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4"/>
              </w:rPr>
              <w:t>Nine Months Ended September 30,</w:t>
            </w:r>
          </w:p>
        </w:tc>
      </w:tr>
      <w:tr>
        <w:trPr>
          <w:trHeight w:val="196"/>
        </w:trPr>
        <w:tc>
          <w:tcPr>
            <w:tcW w:w="480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380" w:type="dxa"/>
            <w:vAlign w:val="bottom"/>
            <w:tcBorders>
              <w:top w:val="single" w:sz="8" w:color="auto"/>
              <w:bottom w:val="single" w:sz="8" w:color="auto"/>
            </w:tcBorders>
          </w:tcPr>
          <w:p>
            <w:pPr>
              <w:spacing w:after="0"/>
              <w:rPr>
                <w:sz w:val="17"/>
                <w:szCs w:val="17"/>
                <w:color w:val="auto"/>
              </w:rPr>
            </w:pPr>
          </w:p>
        </w:tc>
        <w:tc>
          <w:tcPr>
            <w:tcW w:w="100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48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114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340" w:type="dxa"/>
            <w:vAlign w:val="bottom"/>
          </w:tcPr>
          <w:p>
            <w:pPr>
              <w:spacing w:after="0"/>
              <w:rPr>
                <w:sz w:val="17"/>
                <w:szCs w:val="17"/>
                <w:color w:val="auto"/>
              </w:rPr>
            </w:pPr>
          </w:p>
        </w:tc>
        <w:tc>
          <w:tcPr>
            <w:tcW w:w="1680" w:type="dxa"/>
            <w:vAlign w:val="bottom"/>
            <w:gridSpan w:val="3"/>
          </w:tcPr>
          <w:p>
            <w:pPr>
              <w:jc w:val="right"/>
              <w:spacing w:after="0"/>
              <w:rPr>
                <w:sz w:val="20"/>
                <w:szCs w:val="20"/>
                <w:color w:val="auto"/>
              </w:rPr>
            </w:pPr>
            <w:r>
              <w:rPr>
                <w:rFonts w:ascii="Arial" w:cs="Arial" w:eastAsia="Arial" w:hAnsi="Arial"/>
                <w:sz w:val="14"/>
                <w:szCs w:val="14"/>
                <w:b w:val="1"/>
                <w:bCs w:val="1"/>
                <w:color w:val="auto"/>
              </w:rPr>
              <w:t>($ in thousands)</w:t>
            </w:r>
          </w:p>
        </w:tc>
        <w:tc>
          <w:tcPr>
            <w:tcW w:w="1000" w:type="dxa"/>
            <w:vAlign w:val="bottom"/>
          </w:tcPr>
          <w:p>
            <w:pPr>
              <w:spacing w:after="0"/>
              <w:rPr>
                <w:sz w:val="17"/>
                <w:szCs w:val="17"/>
                <w:color w:val="auto"/>
              </w:rPr>
            </w:pPr>
          </w:p>
        </w:tc>
        <w:tc>
          <w:tcPr>
            <w:tcW w:w="260" w:type="dxa"/>
            <w:vAlign w:val="bottom"/>
          </w:tcPr>
          <w:p>
            <w:pPr>
              <w:spacing w:after="0"/>
              <w:rPr>
                <w:sz w:val="17"/>
                <w:szCs w:val="17"/>
                <w:color w:val="auto"/>
              </w:rPr>
            </w:pPr>
          </w:p>
        </w:tc>
        <w:tc>
          <w:tcPr>
            <w:tcW w:w="320" w:type="dxa"/>
            <w:vAlign w:val="bottom"/>
          </w:tcPr>
          <w:p>
            <w:pPr>
              <w:spacing w:after="0"/>
              <w:rPr>
                <w:sz w:val="17"/>
                <w:szCs w:val="17"/>
                <w:color w:val="auto"/>
              </w:rPr>
            </w:pPr>
          </w:p>
        </w:tc>
        <w:tc>
          <w:tcPr>
            <w:tcW w:w="106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(265,152 )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27,693</w:t>
            </w: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(257,920 )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(294,007 )</w:t>
            </w:r>
          </w:p>
        </w:tc>
      </w:tr>
      <w:tr>
        <w:trPr>
          <w:trHeight w:val="256"/>
        </w:trPr>
        <w:tc>
          <w:tcPr>
            <w:tcW w:w="480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Other comprehensive income (loss), net of taxes:</w:t>
            </w:r>
          </w:p>
        </w:tc>
        <w:tc>
          <w:tcPr>
            <w:tcW w:w="2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Pension and postretirement benefits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3,142</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(4,279 )</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7,494</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(6,674 )</w:t>
            </w:r>
          </w:p>
        </w:tc>
      </w:tr>
      <w:tr>
        <w:trPr>
          <w:trHeight w:val="257"/>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 currency translation adjustments</w:t>
            </w:r>
          </w:p>
        </w:tc>
        <w:tc>
          <w:tcPr>
            <w:tcW w:w="26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(122 )</w:t>
            </w: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(239 )</w:t>
            </w:r>
          </w:p>
        </w:tc>
        <w:tc>
          <w:tcPr>
            <w:tcW w:w="38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(705 )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(1,162 )</w:t>
            </w:r>
          </w:p>
        </w:tc>
      </w:tr>
      <w:tr>
        <w:trPr>
          <w:trHeight w:val="20"/>
        </w:trPr>
        <w:tc>
          <w:tcPr>
            <w:tcW w:w="480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80" w:type="dxa"/>
            <w:vAlign w:val="bottom"/>
            <w:shd w:val="clear" w:color="auto" w:fill="000000"/>
          </w:tcPr>
          <w:p>
            <w:pPr>
              <w:spacing w:after="0" w:line="20" w:lineRule="exact"/>
              <w:rPr>
                <w:sz w:val="1"/>
                <w:szCs w:val="1"/>
                <w:color w:val="auto"/>
              </w:rPr>
            </w:pPr>
          </w:p>
        </w:tc>
        <w:tc>
          <w:tcPr>
            <w:tcW w:w="100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800" w:type="dxa"/>
            <w:vAlign w:val="bottom"/>
          </w:tcPr>
          <w:p>
            <w:pPr>
              <w:ind w:left="380"/>
              <w:spacing w:after="0"/>
              <w:rPr>
                <w:sz w:val="20"/>
                <w:szCs w:val="20"/>
                <w:color w:val="auto"/>
              </w:rPr>
            </w:pPr>
            <w:r>
              <w:rPr>
                <w:rFonts w:ascii="Arial" w:cs="Arial" w:eastAsia="Arial" w:hAnsi="Arial"/>
                <w:sz w:val="18"/>
                <w:szCs w:val="18"/>
                <w:color w:val="auto"/>
              </w:rPr>
              <w:t>Total other comprehensive income (loss), net of taxes</w:t>
            </w:r>
          </w:p>
        </w:tc>
        <w:tc>
          <w:tcPr>
            <w:tcW w:w="26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3,020</w:t>
            </w:r>
          </w:p>
        </w:tc>
        <w:tc>
          <w:tcPr>
            <w:tcW w:w="28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300" w:type="dxa"/>
            <w:vAlign w:val="bottom"/>
            <w:gridSpan w:val="2"/>
          </w:tcPr>
          <w:p>
            <w:pPr>
              <w:jc w:val="right"/>
              <w:ind w:right="180"/>
              <w:spacing w:after="0"/>
              <w:rPr>
                <w:sz w:val="20"/>
                <w:szCs w:val="20"/>
                <w:color w:val="auto"/>
              </w:rPr>
            </w:pPr>
            <w:r>
              <w:rPr>
                <w:rFonts w:ascii="Arial" w:cs="Arial" w:eastAsia="Arial" w:hAnsi="Arial"/>
                <w:sz w:val="18"/>
                <w:szCs w:val="18"/>
                <w:color w:val="auto"/>
              </w:rPr>
              <w:t>(4,518 )</w:t>
            </w:r>
          </w:p>
        </w:tc>
        <w:tc>
          <w:tcPr>
            <w:tcW w:w="380" w:type="dxa"/>
            <w:vAlign w:val="bottom"/>
          </w:tcPr>
          <w:p>
            <w:pPr>
              <w:spacing w:after="0"/>
              <w:rPr>
                <w:sz w:val="21"/>
                <w:szCs w:val="21"/>
                <w:color w:val="auto"/>
              </w:rPr>
            </w:pPr>
          </w:p>
        </w:tc>
        <w:tc>
          <w:tcPr>
            <w:tcW w:w="1000" w:type="dxa"/>
            <w:vAlign w:val="bottom"/>
          </w:tcPr>
          <w:p>
            <w:pPr>
              <w:jc w:val="right"/>
              <w:spacing w:after="0"/>
              <w:rPr>
                <w:sz w:val="20"/>
                <w:szCs w:val="20"/>
                <w:color w:val="auto"/>
              </w:rPr>
            </w:pPr>
            <w:r>
              <w:rPr>
                <w:rFonts w:ascii="Arial" w:cs="Arial" w:eastAsia="Arial" w:hAnsi="Arial"/>
                <w:sz w:val="18"/>
                <w:szCs w:val="18"/>
                <w:color w:val="auto"/>
              </w:rPr>
              <w:t>6,789</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(7,836 )</w:t>
            </w:r>
          </w:p>
        </w:tc>
      </w:tr>
      <w:tr>
        <w:trPr>
          <w:trHeight w:val="257"/>
        </w:trPr>
        <w:tc>
          <w:tcPr>
            <w:tcW w:w="480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80" w:type="dxa"/>
            <w:vAlign w:val="bottom"/>
            <w:tcBorders>
              <w:top w:val="single" w:sz="8" w:color="auto"/>
            </w:tcBorders>
            <w:shd w:val="clear" w:color="auto" w:fill="CFF0FC"/>
          </w:tcPr>
          <w:p>
            <w:pPr>
              <w:spacing w:after="0"/>
              <w:rPr>
                <w:sz w:val="22"/>
                <w:szCs w:val="22"/>
                <w:color w:val="auto"/>
              </w:rPr>
            </w:pPr>
          </w:p>
        </w:tc>
        <w:tc>
          <w:tcPr>
            <w:tcW w:w="1000" w:type="dxa"/>
            <w:vAlign w:val="bottom"/>
            <w:tcBorders>
              <w:top w:val="single" w:sz="8" w:color="auto"/>
            </w:tcBorders>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
              <w:spacing w:after="0"/>
              <w:rPr>
                <w:sz w:val="20"/>
                <w:szCs w:val="20"/>
                <w:color w:val="auto"/>
              </w:rPr>
            </w:pPr>
            <w:r>
              <w:rPr>
                <w:rFonts w:ascii="Arial" w:cs="Arial" w:eastAsia="Arial" w:hAnsi="Arial"/>
                <w:sz w:val="18"/>
                <w:szCs w:val="18"/>
                <w:color w:val="auto"/>
              </w:rPr>
              <w:t>Total comprehensive income (loss), net of taxes</w:t>
            </w:r>
          </w:p>
        </w:tc>
        <w:tc>
          <w:tcPr>
            <w:tcW w:w="260" w:type="dxa"/>
            <w:vAlign w:val="bottom"/>
          </w:tcPr>
          <w:p>
            <w:pPr>
              <w:spacing w:after="0"/>
              <w:rPr>
                <w:sz w:val="21"/>
                <w:szCs w:val="21"/>
                <w:color w:val="auto"/>
              </w:rPr>
            </w:pPr>
          </w:p>
        </w:tc>
        <w:tc>
          <w:tcPr>
            <w:tcW w:w="1420" w:type="dxa"/>
            <w:vAlign w:val="bottom"/>
            <w:gridSpan w:val="2"/>
          </w:tcPr>
          <w:p>
            <w:pPr>
              <w:jc w:val="right"/>
              <w:ind w:right="200"/>
              <w:spacing w:after="0"/>
              <w:rPr>
                <w:sz w:val="20"/>
                <w:szCs w:val="20"/>
                <w:color w:val="auto"/>
              </w:rPr>
            </w:pPr>
            <w:r>
              <w:rPr>
                <w:rFonts w:ascii="Arial" w:cs="Arial" w:eastAsia="Arial" w:hAnsi="Arial"/>
                <w:sz w:val="18"/>
                <w:szCs w:val="18"/>
                <w:color w:val="auto"/>
              </w:rPr>
              <w:t>(262,132 )</w:t>
            </w:r>
          </w:p>
        </w:tc>
        <w:tc>
          <w:tcPr>
            <w:tcW w:w="340" w:type="dxa"/>
            <w:vAlign w:val="bottom"/>
          </w:tcPr>
          <w:p>
            <w:pPr>
              <w:spacing w:after="0"/>
              <w:rPr>
                <w:sz w:val="21"/>
                <w:szCs w:val="21"/>
                <w:color w:val="auto"/>
              </w:rPr>
            </w:pPr>
          </w:p>
        </w:tc>
        <w:tc>
          <w:tcPr>
            <w:tcW w:w="1040" w:type="dxa"/>
            <w:vAlign w:val="bottom"/>
          </w:tcPr>
          <w:p>
            <w:pPr>
              <w:jc w:val="right"/>
              <w:spacing w:after="0"/>
              <w:rPr>
                <w:sz w:val="20"/>
                <w:szCs w:val="20"/>
                <w:color w:val="auto"/>
              </w:rPr>
            </w:pPr>
            <w:r>
              <w:rPr>
                <w:rFonts w:ascii="Arial" w:cs="Arial" w:eastAsia="Arial" w:hAnsi="Arial"/>
                <w:sz w:val="18"/>
                <w:szCs w:val="18"/>
                <w:color w:val="auto"/>
              </w:rPr>
              <w:t>23,175</w:t>
            </w:r>
          </w:p>
        </w:tc>
        <w:tc>
          <w:tcPr>
            <w:tcW w:w="26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1260" w:type="dxa"/>
            <w:vAlign w:val="bottom"/>
            <w:gridSpan w:val="2"/>
          </w:tcPr>
          <w:p>
            <w:pPr>
              <w:jc w:val="right"/>
              <w:ind w:right="180"/>
              <w:spacing w:after="0"/>
              <w:rPr>
                <w:sz w:val="20"/>
                <w:szCs w:val="20"/>
                <w:color w:val="auto"/>
              </w:rPr>
            </w:pPr>
            <w:r>
              <w:rPr>
                <w:rFonts w:ascii="Arial" w:cs="Arial" w:eastAsia="Arial" w:hAnsi="Arial"/>
                <w:sz w:val="18"/>
                <w:szCs w:val="18"/>
                <w:color w:val="auto"/>
              </w:rPr>
              <w:t>(251,131 )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(301,843 )</w:t>
            </w:r>
          </w:p>
        </w:tc>
      </w:tr>
      <w:tr>
        <w:trPr>
          <w:trHeight w:val="257"/>
        </w:trPr>
        <w:tc>
          <w:tcPr>
            <w:tcW w:w="480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Net (earnings) loss attributable to noncontrolling interests</w:t>
            </w:r>
          </w:p>
        </w:tc>
        <w:tc>
          <w:tcPr>
            <w:tcW w:w="26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(204 )</w:t>
            </w:r>
          </w:p>
        </w:tc>
        <w:tc>
          <w:tcPr>
            <w:tcW w:w="380" w:type="dxa"/>
            <w:vAlign w:val="bottom"/>
            <w:shd w:val="clear" w:color="auto" w:fill="CFF0FC"/>
          </w:tcPr>
          <w:p>
            <w:pPr>
              <w:spacing w:after="0"/>
              <w:rPr>
                <w:sz w:val="22"/>
                <w:szCs w:val="22"/>
                <w:color w:val="auto"/>
              </w:rPr>
            </w:pPr>
          </w:p>
        </w:tc>
        <w:tc>
          <w:tcPr>
            <w:tcW w:w="10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(743 )</w:t>
            </w:r>
          </w:p>
        </w:tc>
      </w:tr>
      <w:tr>
        <w:trPr>
          <w:trHeight w:val="257"/>
        </w:trPr>
        <w:tc>
          <w:tcPr>
            <w:tcW w:w="4800" w:type="dxa"/>
            <w:vAlign w:val="bottom"/>
            <w:tcBorders>
              <w:top w:val="single" w:sz="8" w:color="CFF0FC"/>
            </w:tcBorders>
          </w:tcPr>
          <w:p>
            <w:pPr>
              <w:spacing w:after="0"/>
              <w:rPr>
                <w:sz w:val="22"/>
                <w:szCs w:val="22"/>
                <w:color w:val="auto"/>
              </w:rPr>
            </w:pPr>
          </w:p>
        </w:tc>
        <w:tc>
          <w:tcPr>
            <w:tcW w:w="26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80" w:type="dxa"/>
            <w:vAlign w:val="bottom"/>
            <w:tcBorders>
              <w:top w:val="single" w:sz="8" w:color="CFF0FC"/>
            </w:tcBorders>
          </w:tcPr>
          <w:p>
            <w:pPr>
              <w:spacing w:after="0"/>
              <w:rPr>
                <w:sz w:val="22"/>
                <w:szCs w:val="22"/>
                <w:color w:val="auto"/>
              </w:rPr>
            </w:pPr>
          </w:p>
        </w:tc>
        <w:tc>
          <w:tcPr>
            <w:tcW w:w="340" w:type="dxa"/>
            <w:vAlign w:val="bottom"/>
            <w:tcBorders>
              <w:top w:val="single" w:sz="8" w:color="auto"/>
            </w:tcBorders>
          </w:tcPr>
          <w:p>
            <w:pPr>
              <w:spacing w:after="0"/>
              <w:rPr>
                <w:sz w:val="22"/>
                <w:szCs w:val="22"/>
                <w:color w:val="auto"/>
              </w:rPr>
            </w:pPr>
          </w:p>
        </w:tc>
        <w:tc>
          <w:tcPr>
            <w:tcW w:w="10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80" w:type="dxa"/>
            <w:vAlign w:val="bottom"/>
            <w:tcBorders>
              <w:top w:val="single" w:sz="8" w:color="auto"/>
            </w:tcBorders>
          </w:tcPr>
          <w:p>
            <w:pPr>
              <w:spacing w:after="0"/>
              <w:rPr>
                <w:sz w:val="22"/>
                <w:szCs w:val="22"/>
                <w:color w:val="auto"/>
              </w:rPr>
            </w:pPr>
          </w:p>
        </w:tc>
        <w:tc>
          <w:tcPr>
            <w:tcW w:w="100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320" w:type="dxa"/>
            <w:vAlign w:val="bottom"/>
            <w:tcBorders>
              <w:top w:val="single" w:sz="8" w:color="auto"/>
            </w:tcBorders>
          </w:tcPr>
          <w:p>
            <w:pPr>
              <w:spacing w:after="0"/>
              <w:rPr>
                <w:sz w:val="22"/>
                <w:szCs w:val="22"/>
                <w:color w:val="auto"/>
              </w:rPr>
            </w:pPr>
          </w:p>
        </w:tc>
        <w:tc>
          <w:tcPr>
            <w:tcW w:w="106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70"/>
        </w:trPr>
        <w:tc>
          <w:tcPr>
            <w:tcW w:w="480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Comprehensive income (loss) attributable to Kirby</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42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(261,710 )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22,971</w:t>
            </w:r>
          </w:p>
        </w:tc>
        <w:tc>
          <w:tcPr>
            <w:tcW w:w="260" w:type="dxa"/>
            <w:vAlign w:val="bottom"/>
            <w:shd w:val="clear" w:color="auto" w:fill="CFF0FC"/>
          </w:tcPr>
          <w:p>
            <w:pPr>
              <w:spacing w:after="0"/>
              <w:rPr>
                <w:sz w:val="23"/>
                <w:szCs w:val="23"/>
                <w:color w:val="auto"/>
              </w:rPr>
            </w:pPr>
          </w:p>
        </w:tc>
        <w:tc>
          <w:tcPr>
            <w:tcW w:w="380" w:type="dxa"/>
            <w:vAlign w:val="bottom"/>
            <w:shd w:val="clear" w:color="auto" w:fill="CFF0FC"/>
          </w:tcPr>
          <w:p>
            <w:pPr>
              <w:jc w:val="right"/>
              <w:ind w:right="19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(251,126 )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(302,586 )</w:t>
            </w:r>
          </w:p>
        </w:tc>
      </w:tr>
      <w:tr>
        <w:trPr>
          <w:trHeight w:val="20"/>
        </w:trPr>
        <w:tc>
          <w:tcPr>
            <w:tcW w:w="48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40" w:type="dxa"/>
            <w:vAlign w:val="bottom"/>
            <w:tcBorders>
              <w:top w:val="single" w:sz="8" w:color="auto"/>
            </w:tcBorders>
            <w:shd w:val="clear" w:color="auto" w:fill="000000"/>
          </w:tcPr>
          <w:p>
            <w:pPr>
              <w:spacing w:after="0" w:line="20" w:lineRule="exact"/>
              <w:rPr>
                <w:sz w:val="1"/>
                <w:szCs w:val="1"/>
                <w:color w:val="auto"/>
              </w:rPr>
            </w:pPr>
          </w:p>
        </w:tc>
        <w:tc>
          <w:tcPr>
            <w:tcW w:w="10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80" w:type="dxa"/>
            <w:vAlign w:val="bottom"/>
            <w:tcBorders>
              <w:top w:val="single" w:sz="8" w:color="auto"/>
            </w:tcBorders>
            <w:shd w:val="clear" w:color="auto" w:fill="000000"/>
          </w:tcPr>
          <w:p>
            <w:pPr>
              <w:spacing w:after="0" w:line="20" w:lineRule="exact"/>
              <w:rPr>
                <w:sz w:val="1"/>
                <w:szCs w:val="1"/>
                <w:color w:val="auto"/>
              </w:rPr>
            </w:pPr>
          </w:p>
        </w:tc>
        <w:tc>
          <w:tcPr>
            <w:tcW w:w="100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46"/>
        </w:trPr>
        <w:tc>
          <w:tcPr>
            <w:tcW w:w="8120" w:type="dxa"/>
            <w:vAlign w:val="bottom"/>
            <w:gridSpan w:val="7"/>
          </w:tcPr>
          <w:p>
            <w:pPr>
              <w:ind w:left="3480"/>
              <w:spacing w:after="0"/>
              <w:rPr>
                <w:sz w:val="20"/>
                <w:szCs w:val="20"/>
                <w:color w:val="auto"/>
              </w:rPr>
            </w:pPr>
            <w:r>
              <w:rPr>
                <w:rFonts w:ascii="Arial" w:cs="Arial" w:eastAsia="Arial" w:hAnsi="Arial"/>
                <w:sz w:val="18"/>
                <w:szCs w:val="18"/>
                <w:color w:val="auto"/>
                <w:w w:val="95"/>
              </w:rPr>
              <w:t>See accompanying notes to condensed financial statements.</w:t>
            </w: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59"/>
        </w:trPr>
        <w:tc>
          <w:tcPr>
            <w:tcW w:w="48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40" w:type="dxa"/>
            <w:vAlign w:val="bottom"/>
          </w:tcPr>
          <w:p>
            <w:pPr>
              <w:jc w:val="right"/>
              <w:ind w:right="454"/>
              <w:spacing w:after="0"/>
              <w:rPr>
                <w:sz w:val="20"/>
                <w:szCs w:val="20"/>
                <w:color w:val="auto"/>
              </w:rPr>
            </w:pPr>
            <w:r>
              <w:rPr>
                <w:rFonts w:ascii="Arial" w:cs="Arial" w:eastAsia="Arial" w:hAnsi="Arial"/>
                <w:sz w:val="18"/>
                <w:szCs w:val="18"/>
                <w:color w:val="auto"/>
              </w:rPr>
              <w:t>3</w:t>
            </w:r>
          </w:p>
        </w:tc>
        <w:tc>
          <w:tcPr>
            <w:tcW w:w="28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8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48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4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80" w:type="dxa"/>
            <w:vAlign w:val="bottom"/>
            <w:tcBorders>
              <w:bottom w:val="single" w:sz="8" w:color="9A9A9A"/>
            </w:tcBorders>
          </w:tcPr>
          <w:p>
            <w:pPr>
              <w:spacing w:after="0"/>
              <w:rPr>
                <w:sz w:val="10"/>
                <w:szCs w:val="10"/>
                <w:color w:val="auto"/>
              </w:rPr>
            </w:pPr>
          </w:p>
        </w:tc>
        <w:tc>
          <w:tcPr>
            <w:tcW w:w="100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-2353945</wp:posOffset>
            </wp:positionV>
            <wp:extent cx="179705" cy="5715"/>
            <wp:wrapNone/>
            <wp:docPr id="62" name="Picture 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2"/>
                    <pic:cNvPicPr>
                      <a:picLocks noChangeAspect="1" noChangeArrowheads="1"/>
                    </pic:cNvPicPr>
                  </pic:nvPicPr>
                  <pic:blipFill>
                    <a:blip r:embed="rId6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-2353945</wp:posOffset>
            </wp:positionV>
            <wp:extent cx="162560" cy="5715"/>
            <wp:wrapNone/>
            <wp:docPr id="63" name="Picture 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3"/>
                    <pic:cNvPicPr>
                      <a:picLocks noChangeAspect="1" noChangeArrowheads="1"/>
                    </pic:cNvPicPr>
                  </pic:nvPicPr>
                  <pic:blipFill>
                    <a:blip r:embed="rId7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-2353945</wp:posOffset>
            </wp:positionV>
            <wp:extent cx="162560" cy="5715"/>
            <wp:wrapNone/>
            <wp:docPr id="64" name="Picture 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4"/>
                    <pic:cNvPicPr>
                      <a:picLocks noChangeAspect="1" noChangeArrowheads="1"/>
                    </pic:cNvPicPr>
                  </pic:nvPicPr>
                  <pic:blipFill>
                    <a:blip r:embed="rId7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-2353945</wp:posOffset>
            </wp:positionV>
            <wp:extent cx="68580" cy="5715"/>
            <wp:wrapNone/>
            <wp:docPr id="65" name="Picture 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5"/>
                    <pic:cNvPicPr>
                      <a:picLocks noChangeAspect="1" noChangeArrowheads="1"/>
                    </pic:cNvPicPr>
                  </pic:nvPicPr>
                  <pic:blipFill>
                    <a:blip r:embed="rId7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-1693545</wp:posOffset>
            </wp:positionV>
            <wp:extent cx="179705" cy="5715"/>
            <wp:wrapNone/>
            <wp:docPr id="66" name="Picture 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6"/>
                    <pic:cNvPicPr>
                      <a:picLocks noChangeAspect="1" noChangeArrowheads="1"/>
                    </pic:cNvPicPr>
                  </pic:nvPicPr>
                  <pic:blipFill>
                    <a:blip r:embed="rId7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-1693545</wp:posOffset>
            </wp:positionV>
            <wp:extent cx="162560" cy="5715"/>
            <wp:wrapNone/>
            <wp:docPr id="67" name="Picture 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7"/>
                    <pic:cNvPicPr>
                      <a:picLocks noChangeAspect="1" noChangeArrowheads="1"/>
                    </pic:cNvPicPr>
                  </pic:nvPicPr>
                  <pic:blipFill>
                    <a:blip r:embed="rId7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-1693545</wp:posOffset>
            </wp:positionV>
            <wp:extent cx="162560" cy="5715"/>
            <wp:wrapNone/>
            <wp:docPr id="68" name="Picture 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8"/>
                    <pic:cNvPicPr>
                      <a:picLocks noChangeAspect="1" noChangeArrowheads="1"/>
                    </pic:cNvPicPr>
                  </pic:nvPicPr>
                  <pic:blipFill>
                    <a:blip r:embed="rId7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-1693545</wp:posOffset>
            </wp:positionV>
            <wp:extent cx="68580" cy="5715"/>
            <wp:wrapNone/>
            <wp:docPr id="69" name="Picture 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9"/>
                    <pic:cNvPicPr>
                      <a:picLocks noChangeAspect="1" noChangeArrowheads="1"/>
                    </pic:cNvPicPr>
                  </pic:nvPicPr>
                  <pic:blipFill>
                    <a:blip r:embed="rId7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-1024890</wp:posOffset>
            </wp:positionV>
            <wp:extent cx="179705" cy="5715"/>
            <wp:wrapNone/>
            <wp:docPr id="70" name="Picture 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0"/>
                    <pic:cNvPicPr>
                      <a:picLocks noChangeAspect="1" noChangeArrowheads="1"/>
                    </pic:cNvPicPr>
                  </pic:nvPicPr>
                  <pic:blipFill>
                    <a:blip r:embed="rId7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-1024890</wp:posOffset>
            </wp:positionV>
            <wp:extent cx="162560" cy="5715"/>
            <wp:wrapNone/>
            <wp:docPr id="71" name="Picture 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1"/>
                    <pic:cNvPicPr>
                      <a:picLocks noChangeAspect="1" noChangeArrowheads="1"/>
                    </pic:cNvPicPr>
                  </pic:nvPicPr>
                  <pic:blipFill>
                    <a:blip r:embed="rId7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-1024890</wp:posOffset>
            </wp:positionV>
            <wp:extent cx="162560" cy="5715"/>
            <wp:wrapNone/>
            <wp:docPr id="72" name="Picture 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2"/>
                    <pic:cNvPicPr>
                      <a:picLocks noChangeAspect="1" noChangeArrowheads="1"/>
                    </pic:cNvPicPr>
                  </pic:nvPicPr>
                  <pic:blipFill>
                    <a:blip r:embed="rId7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-1024890</wp:posOffset>
            </wp:positionV>
            <wp:extent cx="68580" cy="5715"/>
            <wp:wrapNone/>
            <wp:docPr id="73" name="Picture 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3"/>
                    <pic:cNvPicPr>
                      <a:picLocks noChangeAspect="1" noChangeArrowheads="1"/>
                    </pic:cNvPicPr>
                  </pic:nvPicPr>
                  <pic:blipFill>
                    <a:blip r:embed="rId8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-693420</wp:posOffset>
            </wp:positionV>
            <wp:extent cx="179705" cy="8255"/>
            <wp:wrapNone/>
            <wp:docPr id="74" name="Picture 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4"/>
                    <pic:cNvPicPr>
                      <a:picLocks noChangeAspect="1" noChangeArrowheads="1"/>
                    </pic:cNvPicPr>
                  </pic:nvPicPr>
                  <pic:blipFill>
                    <a:blip r:embed="rId81">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-676910</wp:posOffset>
            </wp:positionV>
            <wp:extent cx="179705" cy="8890"/>
            <wp:wrapNone/>
            <wp:docPr id="75" name="Picture 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5"/>
                    <pic:cNvPicPr>
                      <a:picLocks noChangeAspect="1" noChangeArrowheads="1"/>
                    </pic:cNvPicPr>
                  </pic:nvPicPr>
                  <pic:blipFill>
                    <a:blip r:embed="rId82">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-693420</wp:posOffset>
            </wp:positionV>
            <wp:extent cx="162560" cy="8255"/>
            <wp:wrapNone/>
            <wp:docPr id="76" name="Picture 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6"/>
                    <pic:cNvPicPr>
                      <a:picLocks noChangeAspect="1" noChangeArrowheads="1"/>
                    </pic:cNvPicPr>
                  </pic:nvPicPr>
                  <pic:blipFill>
                    <a:blip r:embed="rId83">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-676910</wp:posOffset>
            </wp:positionV>
            <wp:extent cx="162560" cy="8890"/>
            <wp:wrapNone/>
            <wp:docPr id="77" name="Picture 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7"/>
                    <pic:cNvPicPr>
                      <a:picLocks noChangeAspect="1" noChangeArrowheads="1"/>
                    </pic:cNvPicPr>
                  </pic:nvPicPr>
                  <pic:blipFill>
                    <a:blip r:embed="rId8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-693420</wp:posOffset>
            </wp:positionV>
            <wp:extent cx="162560" cy="8255"/>
            <wp:wrapNone/>
            <wp:docPr id="78" name="Picture 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8"/>
                    <pic:cNvPicPr>
                      <a:picLocks noChangeAspect="1" noChangeArrowheads="1"/>
                    </pic:cNvPicPr>
                  </pic:nvPicPr>
                  <pic:blipFill>
                    <a:blip r:embed="rId8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-676910</wp:posOffset>
            </wp:positionV>
            <wp:extent cx="162560" cy="8890"/>
            <wp:wrapNone/>
            <wp:docPr id="79" name="Picture 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79"/>
                    <pic:cNvPicPr>
                      <a:picLocks noChangeAspect="1" noChangeArrowheads="1"/>
                    </pic:cNvPicPr>
                  </pic:nvPicPr>
                  <pic:blipFill>
                    <a:blip r:embed="rId8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-693420</wp:posOffset>
            </wp:positionV>
            <wp:extent cx="68580" cy="8255"/>
            <wp:wrapNone/>
            <wp:docPr id="80" name="Picture 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0"/>
                    <pic:cNvPicPr>
                      <a:picLocks noChangeAspect="1" noChangeArrowheads="1"/>
                    </pic:cNvPicPr>
                  </pic:nvPicPr>
                  <pic:blipFill>
                    <a:blip r:embed="rId8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-676910</wp:posOffset>
            </wp:positionV>
            <wp:extent cx="68580" cy="8890"/>
            <wp:wrapNone/>
            <wp:docPr id="81" name="Picture 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1"/>
                    <pic:cNvPicPr>
                      <a:picLocks noChangeAspect="1" noChangeArrowheads="1"/>
                    </pic:cNvPicPr>
                  </pic:nvPicPr>
                  <pic:blipFill>
                    <a:blip r:embed="rId8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82" name="Picture 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2"/>
                    <pic:cNvPicPr>
                      <a:picLocks noChangeAspect="1" noChangeArrowheads="1"/>
                    </pic:cNvPicPr>
                  </pic:nvPicPr>
                  <pic:blipFill>
                    <a:blip r:embed="rId8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83" name="Picture 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3"/>
                    <pic:cNvPicPr>
                      <a:picLocks noChangeAspect="1" noChangeArrowheads="1"/>
                    </pic:cNvPicPr>
                  </pic:nvPicPr>
                  <pic:blipFill>
                    <a:blip r:embed="rId9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4" w:name="page5"/>
    <w:bookmarkEnd w:id="4"/>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CASH FLOWS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460" w:type="dxa"/>
            <w:vAlign w:val="bottom"/>
            <w:tcBorders>
              <w:top w:val="single" w:sz="8" w:color="auto"/>
              <w:bottom w:val="single" w:sz="8" w:color="auto"/>
            </w:tcBorders>
          </w:tcPr>
          <w:p>
            <w:pPr>
              <w:spacing w:after="0"/>
              <w:rPr>
                <w:sz w:val="17"/>
                <w:szCs w:val="17"/>
                <w:color w:val="auto"/>
              </w:rPr>
            </w:pPr>
          </w:p>
        </w:tc>
        <w:tc>
          <w:tcPr>
            <w:tcW w:w="94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196"/>
        </w:trPr>
        <w:tc>
          <w:tcPr>
            <w:tcW w:w="8060" w:type="dxa"/>
            <w:vAlign w:val="bottom"/>
          </w:tcPr>
          <w:p>
            <w:pPr>
              <w:spacing w:after="0"/>
              <w:rPr>
                <w:sz w:val="17"/>
                <w:szCs w:val="17"/>
                <w:color w:val="auto"/>
              </w:rPr>
            </w:pPr>
          </w:p>
        </w:tc>
        <w:tc>
          <w:tcPr>
            <w:tcW w:w="280" w:type="dxa"/>
            <w:vAlign w:val="bottom"/>
          </w:tcPr>
          <w:p>
            <w:pPr>
              <w:spacing w:after="0"/>
              <w:rPr>
                <w:sz w:val="17"/>
                <w:szCs w:val="17"/>
                <w:color w:val="auto"/>
              </w:rPr>
            </w:pPr>
          </w:p>
        </w:tc>
        <w:tc>
          <w:tcPr>
            <w:tcW w:w="1860" w:type="dxa"/>
            <w:vAlign w:val="bottom"/>
            <w:gridSpan w:val="3"/>
          </w:tcPr>
          <w:p>
            <w:pPr>
              <w:jc w:val="right"/>
              <w:ind w:right="10"/>
              <w:spacing w:after="0"/>
              <w:rPr>
                <w:sz w:val="20"/>
                <w:szCs w:val="20"/>
                <w:color w:val="auto"/>
              </w:rPr>
            </w:pPr>
            <w:r>
              <w:rPr>
                <w:rFonts w:ascii="Arial" w:cs="Arial" w:eastAsia="Arial" w:hAnsi="Arial"/>
                <w:sz w:val="14"/>
                <w:szCs w:val="14"/>
                <w:b w:val="1"/>
                <w:bCs w:val="1"/>
                <w:color w:val="auto"/>
              </w:rPr>
              <w:t>($ in thousands)</w:t>
            </w:r>
          </w:p>
        </w:tc>
        <w:tc>
          <w:tcPr>
            <w:tcW w:w="940" w:type="dxa"/>
            <w:vAlign w:val="bottom"/>
          </w:tcPr>
          <w:p>
            <w:pPr>
              <w:spacing w:after="0"/>
              <w:rPr>
                <w:sz w:val="17"/>
                <w:szCs w:val="17"/>
                <w:color w:val="auto"/>
              </w:rPr>
            </w:pPr>
          </w:p>
        </w:tc>
        <w:tc>
          <w:tcPr>
            <w:tcW w:w="100" w:type="dxa"/>
            <w:vAlign w:val="bottom"/>
          </w:tcPr>
          <w:p>
            <w:pPr>
              <w:spacing w:after="0"/>
              <w:rPr>
                <w:sz w:val="17"/>
                <w:szCs w:val="17"/>
                <w:color w:val="auto"/>
              </w:rPr>
            </w:pPr>
          </w:p>
        </w:tc>
      </w:tr>
      <w:tr>
        <w:trPr>
          <w:trHeight w:val="262"/>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operating activities: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Net loss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(257,920 )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(294,007 )</w:t>
            </w: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Adjustments to reconcile net loss to net cash provided by operations: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Depreciation and amortization</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163,484</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165,067</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Provision (benefit) for deferred income taxes</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(56,448 )</w:t>
            </w: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5,382</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Impairments and other charges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340,713</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561,274</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Amortization of unearned share-based compensation</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12,793</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Amortization of major maintenance costs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26,189</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21,857</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Other</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(6,290 )</w:t>
            </w: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3,523</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Increase (decrease) in cash flows resulting from changes in operating assets and liabilities, net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57,841</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(115,399 )</w:t>
            </w:r>
          </w:p>
        </w:tc>
      </w:tr>
      <w:tr>
        <w:trPr>
          <w:trHeight w:val="250"/>
        </w:trPr>
        <w:tc>
          <w:tcPr>
            <w:tcW w:w="8060" w:type="dxa"/>
            <w:vAlign w:val="bottom"/>
            <w:tcBorders>
              <w:bottom w:val="single" w:sz="8" w:color="CFF0FC"/>
            </w:tcBorders>
            <w:shd w:val="clear" w:color="auto" w:fill="CFF0FC"/>
          </w:tcPr>
          <w:p>
            <w:pPr>
              <w:ind w:left="56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Borders>
              <w:top w:val="single" w:sz="8" w:color="auto"/>
              <w:bottom w:val="single" w:sz="8" w:color="auto"/>
            </w:tcBorders>
            <w:shd w:val="clear" w:color="auto" w:fill="CFF0FC"/>
          </w:tcPr>
          <w:p>
            <w:pPr>
              <w:spacing w:after="0"/>
              <w:rPr>
                <w:sz w:val="21"/>
                <w:szCs w:val="21"/>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280,362</w:t>
            </w:r>
          </w:p>
        </w:tc>
        <w:tc>
          <w:tcPr>
            <w:tcW w:w="260" w:type="dxa"/>
            <w:vAlign w:val="bottom"/>
            <w:tcBorders>
              <w:bottom w:val="single" w:sz="8" w:color="CFF0FC"/>
            </w:tcBorders>
            <w:shd w:val="clear" w:color="auto" w:fill="CFF0FC"/>
          </w:tcPr>
          <w:p>
            <w:pPr>
              <w:spacing w:after="0"/>
              <w:rPr>
                <w:sz w:val="21"/>
                <w:szCs w:val="21"/>
                <w:color w:val="auto"/>
              </w:rPr>
            </w:pPr>
          </w:p>
        </w:tc>
        <w:tc>
          <w:tcPr>
            <w:tcW w:w="460" w:type="dxa"/>
            <w:vAlign w:val="bottom"/>
            <w:tcBorders>
              <w:top w:val="single" w:sz="8" w:color="auto"/>
              <w:bottom w:val="single" w:sz="8" w:color="auto"/>
            </w:tcBorders>
            <w:shd w:val="clear" w:color="auto" w:fill="CFF0FC"/>
          </w:tcPr>
          <w:p>
            <w:pPr>
              <w:spacing w:after="0"/>
              <w:rPr>
                <w:sz w:val="21"/>
                <w:szCs w:val="21"/>
                <w:color w:val="auto"/>
              </w:rPr>
            </w:pPr>
          </w:p>
        </w:tc>
        <w:tc>
          <w:tcPr>
            <w:tcW w:w="9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359,763</w:t>
            </w:r>
          </w:p>
        </w:tc>
        <w:tc>
          <w:tcPr>
            <w:tcW w:w="100" w:type="dxa"/>
            <w:vAlign w:val="bottom"/>
            <w:tcBorders>
              <w:bottom w:val="single" w:sz="8" w:color="CFF0FC"/>
            </w:tcBorders>
            <w:shd w:val="clear" w:color="auto" w:fill="CFF0FC"/>
          </w:tcPr>
          <w:p>
            <w:pPr>
              <w:spacing w:after="0"/>
              <w:rPr>
                <w:sz w:val="21"/>
                <w:szCs w:val="21"/>
                <w:color w:val="auto"/>
              </w:rPr>
            </w:pPr>
          </w:p>
        </w:tc>
      </w:tr>
      <w:tr>
        <w:trPr>
          <w:trHeight w:val="256"/>
        </w:trPr>
        <w:tc>
          <w:tcPr>
            <w:tcW w:w="806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260" w:type="dxa"/>
            <w:vAlign w:val="bottom"/>
          </w:tcPr>
          <w:p>
            <w:pPr>
              <w:spacing w:after="0"/>
              <w:rPr>
                <w:sz w:val="22"/>
                <w:szCs w:val="22"/>
                <w:color w:val="auto"/>
              </w:rPr>
            </w:pPr>
          </w:p>
        </w:tc>
        <w:tc>
          <w:tcPr>
            <w:tcW w:w="460" w:type="dxa"/>
            <w:vAlign w:val="bottom"/>
          </w:tcPr>
          <w:p>
            <w:pPr>
              <w:spacing w:after="0"/>
              <w:rPr>
                <w:sz w:val="22"/>
                <w:szCs w:val="22"/>
                <w:color w:val="auto"/>
              </w:rPr>
            </w:pPr>
          </w:p>
        </w:tc>
        <w:tc>
          <w:tcPr>
            <w:tcW w:w="9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investing activities: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Capital expenditures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(71,968 )</w:t>
            </w:r>
          </w:p>
        </w:tc>
        <w:tc>
          <w:tcPr>
            <w:tcW w:w="4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(129,371 )</w:t>
            </w: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Acquisitions of businesses and marine equipment</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(7,470 )</w:t>
            </w:r>
          </w:p>
        </w:tc>
        <w:tc>
          <w:tcPr>
            <w:tcW w:w="4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(348,772 )</w:t>
            </w: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disposition of assets</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39,163</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6,538</w:t>
            </w:r>
          </w:p>
        </w:tc>
        <w:tc>
          <w:tcPr>
            <w:tcW w:w="100" w:type="dxa"/>
            <w:vAlign w:val="bottom"/>
          </w:tcPr>
          <w:p>
            <w:pPr>
              <w:spacing w:after="0"/>
              <w:rPr>
                <w:sz w:val="21"/>
                <w:szCs w:val="21"/>
                <w:color w:val="auto"/>
              </w:rPr>
            </w:pPr>
          </w:p>
        </w:tc>
      </w:tr>
      <w:tr>
        <w:trPr>
          <w:trHeight w:val="250"/>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used in investing activities</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(40,275 )</w:t>
            </w:r>
          </w:p>
        </w:tc>
        <w:tc>
          <w:tcPr>
            <w:tcW w:w="46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(471,605 )</w:t>
            </w:r>
          </w:p>
        </w:tc>
      </w:tr>
      <w:tr>
        <w:trPr>
          <w:trHeight w:val="256"/>
        </w:trPr>
        <w:tc>
          <w:tcPr>
            <w:tcW w:w="8060" w:type="dxa"/>
            <w:vAlign w:val="bottom"/>
            <w:tcBorders>
              <w:top w:val="single" w:sz="8" w:color="CFF0FC"/>
            </w:tcBorders>
          </w:tcPr>
          <w:p>
            <w:pPr>
              <w:spacing w:after="0"/>
              <w:rPr>
                <w:sz w:val="22"/>
                <w:szCs w:val="22"/>
                <w:color w:val="auto"/>
              </w:rPr>
            </w:pPr>
          </w:p>
        </w:tc>
        <w:tc>
          <w:tcPr>
            <w:tcW w:w="280" w:type="dxa"/>
            <w:vAlign w:val="bottom"/>
            <w:tcBorders>
              <w:top w:val="single" w:sz="8" w:color="auto"/>
            </w:tcBorders>
          </w:tcPr>
          <w:p>
            <w:pPr>
              <w:spacing w:after="0"/>
              <w:rPr>
                <w:sz w:val="22"/>
                <w:szCs w:val="22"/>
                <w:color w:val="auto"/>
              </w:rPr>
            </w:pPr>
          </w:p>
        </w:tc>
        <w:tc>
          <w:tcPr>
            <w:tcW w:w="1140" w:type="dxa"/>
            <w:vAlign w:val="bottom"/>
            <w:tcBorders>
              <w:top w:val="single" w:sz="8" w:color="auto"/>
            </w:tcBorders>
          </w:tcPr>
          <w:p>
            <w:pPr>
              <w:spacing w:after="0"/>
              <w:rPr>
                <w:sz w:val="22"/>
                <w:szCs w:val="22"/>
                <w:color w:val="auto"/>
              </w:rPr>
            </w:pPr>
          </w:p>
        </w:tc>
        <w:tc>
          <w:tcPr>
            <w:tcW w:w="260" w:type="dxa"/>
            <w:vAlign w:val="bottom"/>
            <w:tcBorders>
              <w:top w:val="single" w:sz="8" w:color="CFF0FC"/>
            </w:tcBorders>
          </w:tcPr>
          <w:p>
            <w:pPr>
              <w:spacing w:after="0"/>
              <w:rPr>
                <w:sz w:val="22"/>
                <w:szCs w:val="22"/>
                <w:color w:val="auto"/>
              </w:rPr>
            </w:pPr>
          </w:p>
        </w:tc>
        <w:tc>
          <w:tcPr>
            <w:tcW w:w="460" w:type="dxa"/>
            <w:vAlign w:val="bottom"/>
            <w:tcBorders>
              <w:top w:val="single" w:sz="8" w:color="auto"/>
            </w:tcBorders>
          </w:tcPr>
          <w:p>
            <w:pPr>
              <w:spacing w:after="0"/>
              <w:rPr>
                <w:sz w:val="22"/>
                <w:szCs w:val="22"/>
                <w:color w:val="auto"/>
              </w:rPr>
            </w:pPr>
          </w:p>
        </w:tc>
        <w:tc>
          <w:tcPr>
            <w:tcW w:w="940" w:type="dxa"/>
            <w:vAlign w:val="bottom"/>
            <w:tcBorders>
              <w:top w:val="single" w:sz="8" w:color="auto"/>
            </w:tcBorders>
          </w:tcPr>
          <w:p>
            <w:pPr>
              <w:spacing w:after="0"/>
              <w:rPr>
                <w:sz w:val="22"/>
                <w:szCs w:val="22"/>
                <w:color w:val="auto"/>
              </w:rPr>
            </w:pPr>
          </w:p>
        </w:tc>
        <w:tc>
          <w:tcPr>
            <w:tcW w:w="100" w:type="dxa"/>
            <w:vAlign w:val="bottom"/>
            <w:tcBorders>
              <w:top w:val="single" w:sz="8" w:color="CFF0FC"/>
            </w:tcBorders>
          </w:tcPr>
          <w:p>
            <w:pPr>
              <w:spacing w:after="0"/>
              <w:rPr>
                <w:sz w:val="22"/>
                <w:szCs w:val="22"/>
                <w:color w:val="auto"/>
              </w:rPr>
            </w:pPr>
          </w:p>
        </w:tc>
      </w:tr>
      <w:tr>
        <w:trPr>
          <w:trHeight w:val="257"/>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Cash flows from financing activities: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Borrowings (payments) on bank credit facilities, net</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(248,057 )</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360,139</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on long-term debt</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(15,000 )</w:t>
            </w:r>
          </w:p>
        </w:tc>
        <w:tc>
          <w:tcPr>
            <w:tcW w:w="4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(150,000 )</w:t>
            </w: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Proceeds from exercise of stock options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629</w:t>
            </w: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353</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Payments related to tax withholding for share-based compensation</w:t>
            </w:r>
          </w:p>
        </w:tc>
        <w:tc>
          <w:tcPr>
            <w:tcW w:w="280" w:type="dxa"/>
            <w:vAlign w:val="bottom"/>
            <w:shd w:val="clear" w:color="auto" w:fill="CFF0FC"/>
          </w:tcPr>
          <w:p>
            <w:pPr>
              <w:spacing w:after="0"/>
              <w:rPr>
                <w:sz w:val="22"/>
                <w:szCs w:val="22"/>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(2,856 )</w:t>
            </w:r>
          </w:p>
        </w:tc>
        <w:tc>
          <w:tcPr>
            <w:tcW w:w="460" w:type="dxa"/>
            <w:vAlign w:val="bottom"/>
            <w:shd w:val="clear" w:color="auto" w:fill="CFF0FC"/>
          </w:tcPr>
          <w:p>
            <w:pPr>
              <w:spacing w:after="0"/>
              <w:rPr>
                <w:sz w:val="22"/>
                <w:szCs w:val="22"/>
                <w:color w:val="auto"/>
              </w:rPr>
            </w:pPr>
          </w:p>
        </w:tc>
        <w:tc>
          <w:tcPr>
            <w:tcW w:w="104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(3,193 )</w:t>
            </w: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Return of investment to noncontrolling interest</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(764 )</w:t>
            </w:r>
          </w:p>
        </w:tc>
        <w:tc>
          <w:tcPr>
            <w:tcW w:w="460" w:type="dxa"/>
            <w:vAlign w:val="bottom"/>
          </w:tcPr>
          <w:p>
            <w:pPr>
              <w:spacing w:after="0"/>
              <w:rPr>
                <w:sz w:val="21"/>
                <w:szCs w:val="21"/>
                <w:color w:val="auto"/>
              </w:rPr>
            </w:pP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(608 )</w:t>
            </w:r>
          </w:p>
        </w:tc>
      </w:tr>
      <w:tr>
        <w:trPr>
          <w:trHeight w:val="20"/>
        </w:trPr>
        <w:tc>
          <w:tcPr>
            <w:tcW w:w="8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50"/>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cash provided by (used in) financing activities</w:t>
            </w:r>
          </w:p>
        </w:tc>
        <w:tc>
          <w:tcPr>
            <w:tcW w:w="280" w:type="dxa"/>
            <w:vAlign w:val="bottom"/>
            <w:shd w:val="clear" w:color="auto" w:fill="CFF0FC"/>
          </w:tcPr>
          <w:p>
            <w:pPr>
              <w:spacing w:after="0"/>
              <w:rPr>
                <w:sz w:val="21"/>
                <w:szCs w:val="21"/>
                <w:color w:val="auto"/>
              </w:rPr>
            </w:pP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(266,048 )</w:t>
            </w:r>
          </w:p>
        </w:tc>
        <w:tc>
          <w:tcPr>
            <w:tcW w:w="460" w:type="dxa"/>
            <w:vAlign w:val="bottom"/>
            <w:shd w:val="clear" w:color="auto" w:fill="CFF0FC"/>
          </w:tcPr>
          <w:p>
            <w:pPr>
              <w:spacing w:after="0"/>
              <w:rPr>
                <w:sz w:val="21"/>
                <w:szCs w:val="21"/>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206,691</w:t>
            </w:r>
          </w:p>
        </w:tc>
        <w:tc>
          <w:tcPr>
            <w:tcW w:w="100" w:type="dxa"/>
            <w:vAlign w:val="bottom"/>
            <w:shd w:val="clear" w:color="auto" w:fill="CFF0FC"/>
          </w:tcPr>
          <w:p>
            <w:pPr>
              <w:spacing w:after="0"/>
              <w:rPr>
                <w:sz w:val="21"/>
                <w:szCs w:val="21"/>
                <w:color w:val="auto"/>
              </w:rPr>
            </w:pPr>
          </w:p>
        </w:tc>
      </w:tr>
      <w:tr>
        <w:trPr>
          <w:trHeight w:val="20"/>
        </w:trPr>
        <w:tc>
          <w:tcPr>
            <w:tcW w:w="806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46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Increase (decrease) in cash and cash equivalents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(25,961 )</w:t>
            </w:r>
          </w:p>
        </w:tc>
        <w:tc>
          <w:tcPr>
            <w:tcW w:w="460" w:type="dxa"/>
            <w:vAlign w:val="bottom"/>
          </w:tcPr>
          <w:p>
            <w:pPr>
              <w:spacing w:after="0"/>
              <w:rPr>
                <w:sz w:val="21"/>
                <w:szCs w:val="21"/>
                <w:color w:val="auto"/>
              </w:rPr>
            </w:pPr>
          </w:p>
        </w:tc>
        <w:tc>
          <w:tcPr>
            <w:tcW w:w="940" w:type="dxa"/>
            <w:vAlign w:val="bottom"/>
          </w:tcPr>
          <w:p>
            <w:pPr>
              <w:jc w:val="right"/>
              <w:spacing w:after="0"/>
              <w:rPr>
                <w:sz w:val="20"/>
                <w:szCs w:val="20"/>
                <w:color w:val="auto"/>
              </w:rPr>
            </w:pPr>
            <w:r>
              <w:rPr>
                <w:rFonts w:ascii="Arial" w:cs="Arial" w:eastAsia="Arial" w:hAnsi="Arial"/>
                <w:sz w:val="18"/>
                <w:szCs w:val="18"/>
                <w:color w:val="auto"/>
              </w:rPr>
              <w:t>94,849</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Cash and cash equivalents, beginning of year</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80,338</w:t>
            </w:r>
          </w:p>
        </w:tc>
        <w:tc>
          <w:tcPr>
            <w:tcW w:w="260" w:type="dxa"/>
            <w:vAlign w:val="bottom"/>
          </w:tcPr>
          <w:p>
            <w:pPr>
              <w:spacing w:after="0"/>
              <w:rPr>
                <w:sz w:val="21"/>
                <w:szCs w:val="21"/>
                <w:color w:val="auto"/>
              </w:rPr>
            </w:pPr>
          </w:p>
        </w:tc>
        <w:tc>
          <w:tcPr>
            <w:tcW w:w="460" w:type="dxa"/>
            <w:vAlign w:val="bottom"/>
            <w:tcBorders>
              <w:bottom w:val="single" w:sz="8" w:color="auto"/>
            </w:tcBorders>
          </w:tcPr>
          <w:p>
            <w:pPr>
              <w:spacing w:after="0"/>
              <w:rPr>
                <w:sz w:val="21"/>
                <w:szCs w:val="21"/>
                <w:color w:val="auto"/>
              </w:rPr>
            </w:pPr>
          </w:p>
        </w:tc>
        <w:tc>
          <w:tcPr>
            <w:tcW w:w="9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24,737</w:t>
            </w:r>
          </w:p>
        </w:tc>
        <w:tc>
          <w:tcPr>
            <w:tcW w:w="100" w:type="dxa"/>
            <w:vAlign w:val="bottom"/>
          </w:tcPr>
          <w:p>
            <w:pPr>
              <w:spacing w:after="0"/>
              <w:rPr>
                <w:sz w:val="21"/>
                <w:szCs w:val="21"/>
                <w:color w:val="auto"/>
              </w:rPr>
            </w:pPr>
          </w:p>
        </w:tc>
      </w:tr>
      <w:tr>
        <w:trPr>
          <w:trHeight w:val="290"/>
        </w:trPr>
        <w:tc>
          <w:tcPr>
            <w:tcW w:w="80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Cash and cash equivalents, end of period</w:t>
            </w:r>
          </w:p>
        </w:tc>
        <w:tc>
          <w:tcPr>
            <w:tcW w:w="28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54,377</w:t>
            </w:r>
          </w:p>
        </w:tc>
        <w:tc>
          <w:tcPr>
            <w:tcW w:w="260" w:type="dxa"/>
            <w:vAlign w:val="bottom"/>
            <w:tcBorders>
              <w:bottom w:val="single" w:sz="8" w:color="CFF0FC"/>
            </w:tcBorders>
            <w:shd w:val="clear" w:color="auto" w:fill="CFF0FC"/>
          </w:tcPr>
          <w:p>
            <w:pPr>
              <w:spacing w:after="0"/>
              <w:rPr>
                <w:sz w:val="24"/>
                <w:szCs w:val="24"/>
                <w:color w:val="auto"/>
              </w:rPr>
            </w:pPr>
          </w:p>
        </w:tc>
        <w:tc>
          <w:tcPr>
            <w:tcW w:w="460" w:type="dxa"/>
            <w:vAlign w:val="bottom"/>
            <w:tcBorders>
              <w:bottom w:val="single" w:sz="8" w:color="auto"/>
            </w:tcBorders>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119,586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3"/>
        </w:trPr>
        <w:tc>
          <w:tcPr>
            <w:tcW w:w="806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Supplemental disclosures of cash flow information:</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Cash paid (received) during the period:</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Interest paid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39,134</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45,776</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380"/>
              <w:spacing w:after="0"/>
              <w:rPr>
                <w:sz w:val="20"/>
                <w:szCs w:val="20"/>
                <w:color w:val="auto"/>
              </w:rPr>
            </w:pPr>
            <w:r>
              <w:rPr>
                <w:rFonts w:ascii="Arial" w:cs="Arial" w:eastAsia="Arial" w:hAnsi="Arial"/>
                <w:sz w:val="18"/>
                <w:szCs w:val="18"/>
                <w:color w:val="auto"/>
              </w:rPr>
              <w:t>Income taxes refunded, net</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(116,010 )</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1040" w:type="dxa"/>
            <w:vAlign w:val="bottom"/>
            <w:gridSpan w:val="2"/>
          </w:tcPr>
          <w:p>
            <w:pPr>
              <w:jc w:val="right"/>
              <w:ind w:right="40"/>
              <w:spacing w:after="0"/>
              <w:rPr>
                <w:sz w:val="20"/>
                <w:szCs w:val="20"/>
                <w:color w:val="auto"/>
              </w:rPr>
            </w:pPr>
            <w:r>
              <w:rPr>
                <w:rFonts w:ascii="Arial" w:cs="Arial" w:eastAsia="Arial" w:hAnsi="Arial"/>
                <w:sz w:val="18"/>
                <w:szCs w:val="18"/>
                <w:color w:val="auto"/>
              </w:rPr>
              <w:t>(36,499 )</w:t>
            </w: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Operating cash outflow from operating leases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33,575</w:t>
            </w:r>
          </w:p>
        </w:tc>
        <w:tc>
          <w:tcPr>
            <w:tcW w:w="260" w:type="dxa"/>
            <w:vAlign w:val="bottom"/>
            <w:shd w:val="clear" w:color="auto" w:fill="CFF0FC"/>
          </w:tcPr>
          <w:p>
            <w:pPr>
              <w:spacing w:after="0"/>
              <w:rPr>
                <w:sz w:val="22"/>
                <w:szCs w:val="22"/>
                <w:color w:val="auto"/>
              </w:rPr>
            </w:pP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32,507</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Non-cash investing activity:</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9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Capital expenditures included in accounts payable</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(13,549 )</w:t>
            </w:r>
          </w:p>
        </w:tc>
        <w:tc>
          <w:tcPr>
            <w:tcW w:w="460" w:type="dxa"/>
            <w:vAlign w:val="bottom"/>
            <w:shd w:val="clear" w:color="auto" w:fill="CFF0FC"/>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11,441</w:t>
            </w:r>
          </w:p>
        </w:tc>
        <w:tc>
          <w:tcPr>
            <w:tcW w:w="100" w:type="dxa"/>
            <w:vAlign w:val="bottom"/>
            <w:shd w:val="clear" w:color="auto" w:fill="CFF0FC"/>
          </w:tcPr>
          <w:p>
            <w:pPr>
              <w:spacing w:after="0"/>
              <w:rPr>
                <w:sz w:val="22"/>
                <w:szCs w:val="22"/>
                <w:color w:val="auto"/>
              </w:rPr>
            </w:pPr>
          </w:p>
        </w:tc>
      </w:tr>
      <w:tr>
        <w:trPr>
          <w:trHeight w:val="243"/>
        </w:trPr>
        <w:tc>
          <w:tcPr>
            <w:tcW w:w="8060" w:type="dxa"/>
            <w:vAlign w:val="bottom"/>
          </w:tcPr>
          <w:p>
            <w:pPr>
              <w:ind w:left="380"/>
              <w:spacing w:after="0"/>
              <w:rPr>
                <w:sz w:val="20"/>
                <w:szCs w:val="20"/>
                <w:color w:val="auto"/>
              </w:rPr>
            </w:pPr>
            <w:r>
              <w:rPr>
                <w:rFonts w:ascii="Arial" w:cs="Arial" w:eastAsia="Arial" w:hAnsi="Arial"/>
                <w:sz w:val="18"/>
                <w:szCs w:val="18"/>
                <w:color w:val="auto"/>
              </w:rPr>
              <w:t>Right-of-use assets obtained in exchange for lease obligations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18,117</w:t>
            </w:r>
          </w:p>
        </w:tc>
        <w:tc>
          <w:tcPr>
            <w:tcW w:w="26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42,470</w:t>
            </w:r>
          </w:p>
        </w:tc>
        <w:tc>
          <w:tcPr>
            <w:tcW w:w="100" w:type="dxa"/>
            <w:vAlign w:val="bottom"/>
          </w:tcPr>
          <w:p>
            <w:pPr>
              <w:spacing w:after="0"/>
              <w:rPr>
                <w:sz w:val="21"/>
                <w:szCs w:val="2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-4462780</wp:posOffset>
            </wp:positionV>
            <wp:extent cx="163195" cy="5715"/>
            <wp:wrapNone/>
            <wp:docPr id="84" name="Picture 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4"/>
                    <pic:cNvPicPr>
                      <a:picLocks noChangeAspect="1" noChangeArrowheads="1"/>
                    </pic:cNvPicPr>
                  </pic:nvPicPr>
                  <pic:blipFill>
                    <a:blip r:embed="rId9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-4462780</wp:posOffset>
            </wp:positionV>
            <wp:extent cx="68580" cy="5715"/>
            <wp:wrapNone/>
            <wp:docPr id="85" name="Picture 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5"/>
                    <pic:cNvPicPr>
                      <a:picLocks noChangeAspect="1" noChangeArrowheads="1"/>
                    </pic:cNvPicPr>
                  </pic:nvPicPr>
                  <pic:blipFill>
                    <a:blip r:embed="rId9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-3468370</wp:posOffset>
            </wp:positionV>
            <wp:extent cx="163195" cy="5715"/>
            <wp:wrapNone/>
            <wp:docPr id="86" name="Picture 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6"/>
                    <pic:cNvPicPr>
                      <a:picLocks noChangeAspect="1" noChangeArrowheads="1"/>
                    </pic:cNvPicPr>
                  </pic:nvPicPr>
                  <pic:blipFill>
                    <a:blip r:embed="rId9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-3468370</wp:posOffset>
            </wp:positionV>
            <wp:extent cx="68580" cy="5715"/>
            <wp:wrapNone/>
            <wp:docPr id="87" name="Picture 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7"/>
                    <pic:cNvPicPr>
                      <a:picLocks noChangeAspect="1" noChangeArrowheads="1"/>
                    </pic:cNvPicPr>
                  </pic:nvPicPr>
                  <pic:blipFill>
                    <a:blip r:embed="rId9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-2148205</wp:posOffset>
            </wp:positionV>
            <wp:extent cx="163195" cy="5715"/>
            <wp:wrapNone/>
            <wp:docPr id="88" name="Picture 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8"/>
                    <pic:cNvPicPr>
                      <a:picLocks noChangeAspect="1" noChangeArrowheads="1"/>
                    </pic:cNvPicPr>
                  </pic:nvPicPr>
                  <pic:blipFill>
                    <a:blip r:embed="rId95">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-2148205</wp:posOffset>
            </wp:positionV>
            <wp:extent cx="68580" cy="5715"/>
            <wp:wrapNone/>
            <wp:docPr id="89" name="Picture 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9"/>
                    <pic:cNvPicPr>
                      <a:picLocks noChangeAspect="1" noChangeArrowheads="1"/>
                    </pic:cNvPicPr>
                  </pic:nvPicPr>
                  <pic:blipFill>
                    <a:blip r:embed="rId96">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-1482090</wp:posOffset>
            </wp:positionV>
            <wp:extent cx="163195" cy="8890"/>
            <wp:wrapNone/>
            <wp:docPr id="90" name="Picture 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0"/>
                    <pic:cNvPicPr>
                      <a:picLocks noChangeAspect="1" noChangeArrowheads="1"/>
                    </pic:cNvPicPr>
                  </pic:nvPicPr>
                  <pic:blipFill>
                    <a:blip r:embed="rId97">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-1464945</wp:posOffset>
            </wp:positionV>
            <wp:extent cx="163195" cy="8255"/>
            <wp:wrapNone/>
            <wp:docPr id="91" name="Picture 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1"/>
                    <pic:cNvPicPr>
                      <a:picLocks noChangeAspect="1" noChangeArrowheads="1"/>
                    </pic:cNvPicPr>
                  </pic:nvPicPr>
                  <pic:blipFill>
                    <a:blip r:embed="rId9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-1482090</wp:posOffset>
            </wp:positionV>
            <wp:extent cx="68580" cy="8890"/>
            <wp:wrapNone/>
            <wp:docPr id="92" name="Picture 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2"/>
                    <pic:cNvPicPr>
                      <a:picLocks noChangeAspect="1" noChangeArrowheads="1"/>
                    </pic:cNvPicPr>
                  </pic:nvPicPr>
                  <pic:blipFill>
                    <a:blip r:embed="rId9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-1464945</wp:posOffset>
            </wp:positionV>
            <wp:extent cx="68580" cy="8255"/>
            <wp:wrapNone/>
            <wp:docPr id="93" name="Picture 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3"/>
                    <pic:cNvPicPr>
                      <a:picLocks noChangeAspect="1" noChangeArrowheads="1"/>
                    </pic:cNvPicPr>
                  </pic:nvPicPr>
                  <pic:blipFill>
                    <a:blip r:embed="rId10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94" name="Picture 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4"/>
                    <pic:cNvPicPr>
                      <a:picLocks noChangeAspect="1" noChangeArrowheads="1"/>
                    </pic:cNvPicPr>
                  </pic:nvPicPr>
                  <pic:blipFill>
                    <a:blip r:embed="rId1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5" w:name="page6"/>
    <w:bookmarkEnd w:id="5"/>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4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16"/>
                <w:szCs w:val="16"/>
                <w:color w:val="auto"/>
              </w:rPr>
            </w:pPr>
          </w:p>
        </w:tc>
        <w:tc>
          <w:tcPr>
            <w:tcW w:w="78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8"/>
                <w:szCs w:val="18"/>
                <w:color w:val="auto"/>
              </w:rPr>
            </w:pPr>
          </w:p>
        </w:tc>
        <w:tc>
          <w:tcPr>
            <w:tcW w:w="960" w:type="dxa"/>
            <w:vAlign w:val="bottom"/>
            <w:gridSpan w:val="2"/>
          </w:tcPr>
          <w:p>
            <w:pPr>
              <w:ind w:left="40"/>
              <w:spacing w:after="0"/>
              <w:rPr>
                <w:sz w:val="20"/>
                <w:szCs w:val="20"/>
                <w:color w:val="auto"/>
              </w:rPr>
            </w:pPr>
            <w:r>
              <w:rPr>
                <w:rFonts w:ascii="Arial" w:cs="Arial" w:eastAsia="Arial" w:hAnsi="Arial"/>
                <w:sz w:val="14"/>
                <w:szCs w:val="14"/>
                <w:b w:val="1"/>
                <w:bCs w:val="1"/>
                <w:color w:val="auto"/>
              </w:rPr>
              <w:t>Retained</w:t>
            </w:r>
          </w:p>
        </w:tc>
        <w:tc>
          <w:tcPr>
            <w:tcW w:w="16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55"/>
              <w:spacing w:after="0"/>
              <w:rPr>
                <w:sz w:val="20"/>
                <w:szCs w:val="20"/>
                <w:color w:val="auto"/>
              </w:rPr>
            </w:pPr>
            <w:r>
              <w:rPr>
                <w:rFonts w:ascii="Arial" w:cs="Arial" w:eastAsia="Arial" w:hAnsi="Arial"/>
                <w:sz w:val="14"/>
                <w:szCs w:val="14"/>
                <w:b w:val="1"/>
                <w:bCs w:val="1"/>
                <w:color w:val="auto"/>
                <w:w w:val="98"/>
              </w:rPr>
              <w:t>Capital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 Net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4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Balance at June 30, 2021</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2,600,20</w:t>
            </w:r>
          </w:p>
        </w:tc>
        <w:tc>
          <w:tcPr>
            <w:tcW w:w="180" w:type="dxa"/>
            <w:vAlign w:val="bottom"/>
            <w:tcBorders>
              <w:right w:val="single" w:sz="8" w:color="CFF0FC"/>
            </w:tcBorders>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(295,46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3,105,32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6,547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848,081</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(57,683 )</w:t>
            </w:r>
          </w:p>
        </w:tc>
        <w:tc>
          <w:tcPr>
            <w:tcW w:w="120" w:type="dxa"/>
            <w:vAlign w:val="bottom"/>
            <w:shd w:val="clear" w:color="auto" w:fill="CFF0FC"/>
          </w:tcPr>
          <w:p>
            <w:pPr>
              <w:spacing w:after="0"/>
              <w:rPr>
                <w:sz w:val="20"/>
                <w:szCs w:val="20"/>
                <w:color w:val="auto"/>
              </w:rPr>
            </w:pPr>
            <w:r>
              <w:rPr>
                <w:rFonts w:ascii="Arial" w:cs="Arial" w:eastAsia="Arial" w:hAnsi="Arial"/>
                <w:sz w:val="18"/>
                <w:szCs w:val="18"/>
                <w:color w:val="auto"/>
                <w:w w:val="99"/>
              </w:rPr>
              <w:t>$</w:t>
            </w: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80" w:type="dxa"/>
            <w:vAlign w:val="bottom"/>
            <w:tcBorders>
              <w:right w:val="single" w:sz="8" w:color="CFF0FC"/>
            </w:tcBorders>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(5,366 )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3 )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3,639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0"/>
              <w:spacing w:after="0"/>
              <w:rPr>
                <w:sz w:val="20"/>
                <w:szCs w:val="20"/>
                <w:color w:val="auto"/>
              </w:rPr>
            </w:pPr>
            <w:r>
              <w:rPr>
                <w:rFonts w:ascii="Arial" w:cs="Arial" w:eastAsia="Arial" w:hAnsi="Arial"/>
                <w:sz w:val="18"/>
                <w:szCs w:val="18"/>
                <w:color w:val="auto"/>
              </w:rPr>
              <w:t>Stock option exercises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tcPr>
          <w:p>
            <w:pPr>
              <w:jc w:val="right"/>
              <w:ind w:right="100"/>
              <w:spacing w:after="0"/>
              <w:rPr>
                <w:sz w:val="20"/>
                <w:szCs w:val="20"/>
                <w:color w:val="auto"/>
              </w:rPr>
            </w:pPr>
            <w:r>
              <w:rPr>
                <w:rFonts w:ascii="Arial" w:cs="Arial" w:eastAsia="Arial" w:hAnsi="Arial"/>
                <w:sz w:val="18"/>
                <w:szCs w:val="18"/>
                <w:color w:val="auto"/>
              </w:rPr>
              <w:t>(9 )</w:t>
            </w:r>
          </w:p>
        </w:tc>
        <w:tc>
          <w:tcPr>
            <w:tcW w:w="100" w:type="dxa"/>
            <w:vAlign w:val="bottom"/>
          </w:tcPr>
          <w:p>
            <w:pPr>
              <w:spacing w:after="0"/>
              <w:rPr>
                <w:sz w:val="21"/>
                <w:szCs w:val="21"/>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2</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133</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124</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stock for</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 net of</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(130 )</w:t>
            </w:r>
          </w:p>
        </w:tc>
        <w:tc>
          <w:tcPr>
            <w:tcW w:w="10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70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rPr>
              <w:t>Tax withholdings 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(3 )</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Amortization of unearned</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4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80" w:type="dxa"/>
            <w:vAlign w:val="bottom"/>
            <w:tcBorders>
              <w:right w:val="single" w:sz="8" w:color="CFF0FC"/>
            </w:tcBorders>
            <w:shd w:val="clear" w:color="auto" w:fill="CFF0FC"/>
          </w:tcPr>
          <w:p>
            <w:pPr>
              <w:spacing w:after="0"/>
              <w:rPr>
                <w:sz w:val="19"/>
                <w:szCs w:val="19"/>
                <w:color w:val="auto"/>
              </w:rPr>
            </w:pPr>
          </w:p>
        </w:tc>
        <w:tc>
          <w:tcPr>
            <w:tcW w:w="180" w:type="dxa"/>
            <w:vAlign w:val="bottom"/>
            <w:tcBorders>
              <w:right w:val="single" w:sz="8" w:color="CFF0FC"/>
            </w:tcBorders>
            <w:shd w:val="clear" w:color="auto" w:fill="CFF0FC"/>
          </w:tcPr>
          <w:p>
            <w:pPr>
              <w:spacing w:after="0"/>
              <w:rPr>
                <w:sz w:val="19"/>
                <w:szCs w:val="19"/>
                <w:color w:val="auto"/>
              </w:rPr>
            </w:pPr>
          </w:p>
        </w:tc>
        <w:tc>
          <w:tcPr>
            <w:tcW w:w="700" w:type="dxa"/>
            <w:vAlign w:val="bottom"/>
            <w:tcBorders>
              <w:right w:val="single" w:sz="8" w:color="CFF0FC"/>
            </w:tcBorders>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w w:val="88"/>
              </w:rPr>
              <w:t>Total comprehensive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net of taxes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3,020</w:t>
            </w:r>
          </w:p>
        </w:tc>
        <w:tc>
          <w:tcPr>
            <w:tcW w:w="18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tcPr>
          <w:p>
            <w:pPr>
              <w:jc w:val="right"/>
              <w:ind w:right="120"/>
              <w:spacing w:after="0"/>
              <w:rPr>
                <w:sz w:val="20"/>
                <w:szCs w:val="20"/>
                <w:color w:val="auto"/>
              </w:rPr>
            </w:pPr>
            <w:r>
              <w:rPr>
                <w:rFonts w:ascii="Arial" w:cs="Arial" w:eastAsia="Arial" w:hAnsi="Arial"/>
                <w:sz w:val="18"/>
                <w:szCs w:val="18"/>
                <w:color w:val="auto"/>
                <w:w w:val="99"/>
              </w:rPr>
              <w:t>(264,730 )</w:t>
            </w:r>
          </w:p>
        </w:tc>
        <w:tc>
          <w:tcPr>
            <w:tcW w:w="8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(422 )</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(262,132 )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Return of investment to</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vMerge w:val="restart"/>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(739 )</w:t>
            </w:r>
          </w:p>
        </w:tc>
        <w:tc>
          <w:tcPr>
            <w:tcW w:w="140" w:type="dxa"/>
            <w:vAlign w:val="bottom"/>
            <w:shd w:val="clear" w:color="auto" w:fill="CFF0FC"/>
          </w:tcPr>
          <w:p>
            <w:pPr>
              <w:spacing w:after="0"/>
              <w:rPr>
                <w:sz w:val="21"/>
                <w:szCs w:val="21"/>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(739 )</w:t>
            </w: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7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60" w:type="dxa"/>
            <w:vAlign w:val="bottom"/>
            <w:tcBorders>
              <w:right w:val="single" w:sz="8" w:color="CFF0FC"/>
            </w:tcBorders>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60" w:type="dxa"/>
            <w:vAlign w:val="bottom"/>
            <w:tcBorders>
              <w:right w:val="single" w:sz="8" w:color="CFF0FC"/>
            </w:tcBorders>
            <w:gridSpan w:val="2"/>
            <w:vMerge w:val="continue"/>
            <w:shd w:val="clear" w:color="auto" w:fill="CFF0FC"/>
          </w:tcPr>
          <w:p>
            <w:pPr>
              <w:spacing w:after="0"/>
              <w:rPr>
                <w:sz w:val="20"/>
                <w:szCs w:val="20"/>
                <w:color w:val="auto"/>
              </w:rPr>
            </w:pPr>
          </w:p>
        </w:tc>
        <w:tc>
          <w:tcPr>
            <w:tcW w:w="86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7"/>
              </w:rPr>
              <w:t>Balance at September 30,</w:t>
            </w: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4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8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2,335,47</w:t>
            </w:r>
          </w:p>
        </w:tc>
        <w:tc>
          <w:tcPr>
            <w:tcW w:w="18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(295,20</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2,846,22</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700" w:type="dxa"/>
            <w:vAlign w:val="bottom"/>
          </w:tcPr>
          <w:p>
            <w:pPr>
              <w:jc w:val="right"/>
              <w:spacing w:after="0"/>
              <w:rPr>
                <w:sz w:val="20"/>
                <w:szCs w:val="20"/>
                <w:color w:val="auto"/>
              </w:rPr>
            </w:pPr>
            <w:r>
              <w:rPr>
                <w:rFonts w:ascii="Arial" w:cs="Arial" w:eastAsia="Arial" w:hAnsi="Arial"/>
                <w:sz w:val="18"/>
                <w:szCs w:val="18"/>
                <w:color w:val="auto"/>
              </w:rPr>
              <w:t>65,472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6,547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851,587</w:t>
            </w:r>
          </w:p>
        </w:tc>
        <w:tc>
          <w:tcPr>
            <w:tcW w:w="16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(54,663 )</w:t>
            </w:r>
          </w:p>
        </w:tc>
        <w:tc>
          <w:tcPr>
            <w:tcW w:w="120" w:type="dxa"/>
            <w:vAlign w:val="bottom"/>
          </w:tcPr>
          <w:p>
            <w:pPr>
              <w:spacing w:after="0"/>
              <w:rPr>
                <w:sz w:val="20"/>
                <w:szCs w:val="20"/>
                <w:color w:val="auto"/>
              </w:rPr>
            </w:pPr>
            <w:r>
              <w:rPr>
                <w:rFonts w:ascii="Arial" w:cs="Arial" w:eastAsia="Arial" w:hAnsi="Arial"/>
                <w:sz w:val="18"/>
                <w:szCs w:val="18"/>
                <w:color w:val="auto"/>
                <w:w w:val="99"/>
              </w:rPr>
              <w:t>$</w:t>
            </w:r>
          </w:p>
        </w:tc>
        <w:tc>
          <w:tcPr>
            <w:tcW w:w="78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60" w:type="dxa"/>
            <w:vAlign w:val="bottom"/>
            <w:gridSpan w:val="2"/>
          </w:tcPr>
          <w:p>
            <w:pPr>
              <w:jc w:val="right"/>
              <w:ind w:right="100"/>
              <w:spacing w:after="0"/>
              <w:rPr>
                <w:sz w:val="20"/>
                <w:szCs w:val="20"/>
                <w:color w:val="auto"/>
              </w:rPr>
            </w:pPr>
            <w:r>
              <w:rPr>
                <w:rFonts w:ascii="Arial" w:cs="Arial" w:eastAsia="Arial" w:hAnsi="Arial"/>
                <w:sz w:val="18"/>
                <w:szCs w:val="18"/>
                <w:color w:val="auto"/>
              </w:rPr>
              <w:t>(5,361 )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
              <w:spacing w:after="0"/>
              <w:rPr>
                <w:sz w:val="20"/>
                <w:szCs w:val="20"/>
                <w:color w:val="auto"/>
              </w:rPr>
            </w:pPr>
            <w:r>
              <w:rPr>
                <w:rFonts w:ascii="Arial" w:cs="Arial" w:eastAsia="Arial" w:hAnsi="Arial"/>
                <w:sz w:val="18"/>
                <w:szCs w:val="18"/>
                <w:color w:val="auto"/>
              </w:rPr>
              <w:t>3 ) $</w:t>
            </w:r>
          </w:p>
        </w:tc>
        <w:tc>
          <w:tcPr>
            <w:tcW w:w="880" w:type="dxa"/>
            <w:vAlign w:val="bottom"/>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8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4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60" w:type="dxa"/>
            <w:vAlign w:val="bottom"/>
            <w:gridSpan w:val="2"/>
          </w:tcPr>
          <w:p>
            <w:pPr>
              <w:jc w:val="center"/>
              <w:ind w:right="320"/>
              <w:spacing w:after="0"/>
              <w:rPr>
                <w:sz w:val="20"/>
                <w:szCs w:val="20"/>
                <w:color w:val="auto"/>
              </w:rPr>
            </w:pPr>
            <w:r>
              <w:rPr>
                <w:rFonts w:ascii="Arial" w:cs="Arial" w:eastAsia="Arial" w:hAnsi="Arial"/>
                <w:sz w:val="14"/>
                <w:szCs w:val="14"/>
                <w:b w:val="1"/>
                <w:bCs w:val="1"/>
                <w:color w:val="auto"/>
                <w:w w:val="93"/>
              </w:rPr>
              <w:t>Accumulated</w:t>
            </w:r>
          </w:p>
        </w:tc>
        <w:tc>
          <w:tcPr>
            <w:tcW w:w="120" w:type="dxa"/>
            <w:vAlign w:val="bottom"/>
          </w:tcPr>
          <w:p>
            <w:pPr>
              <w:spacing w:after="0"/>
              <w:rPr>
                <w:sz w:val="24"/>
                <w:szCs w:val="24"/>
                <w:color w:val="auto"/>
              </w:rPr>
            </w:pPr>
          </w:p>
        </w:tc>
        <w:tc>
          <w:tcPr>
            <w:tcW w:w="78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Additional</w:t>
            </w:r>
          </w:p>
        </w:tc>
        <w:tc>
          <w:tcPr>
            <w:tcW w:w="100" w:type="dxa"/>
            <w:vAlign w:val="bottom"/>
          </w:tcPr>
          <w:p>
            <w:pPr>
              <w:spacing w:after="0"/>
              <w:rPr>
                <w:sz w:val="17"/>
                <w:szCs w:val="17"/>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rPr>
              <w:t>Other</w:t>
            </w:r>
          </w:p>
        </w:tc>
        <w:tc>
          <w:tcPr>
            <w:tcW w:w="120" w:type="dxa"/>
            <w:vAlign w:val="bottom"/>
          </w:tcPr>
          <w:p>
            <w:pPr>
              <w:spacing w:after="0"/>
              <w:rPr>
                <w:sz w:val="17"/>
                <w:szCs w:val="17"/>
                <w:color w:val="auto"/>
              </w:rPr>
            </w:pPr>
          </w:p>
        </w:tc>
        <w:tc>
          <w:tcPr>
            <w:tcW w:w="7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93"/>
              </w:rPr>
              <w:t>Paid-in-</w:t>
            </w:r>
          </w:p>
        </w:tc>
        <w:tc>
          <w:tcPr>
            <w:tcW w:w="100" w:type="dxa"/>
            <w:vAlign w:val="bottom"/>
          </w:tcPr>
          <w:p>
            <w:pPr>
              <w:spacing w:after="0"/>
              <w:rPr>
                <w:sz w:val="18"/>
                <w:szCs w:val="18"/>
                <w:color w:val="auto"/>
              </w:rPr>
            </w:pPr>
          </w:p>
        </w:tc>
        <w:tc>
          <w:tcPr>
            <w:tcW w:w="1260" w:type="dxa"/>
            <w:vAlign w:val="bottom"/>
            <w:gridSpan w:val="2"/>
          </w:tcPr>
          <w:p>
            <w:pPr>
              <w:jc w:val="center"/>
              <w:ind w:right="280"/>
              <w:spacing w:after="0"/>
              <w:rPr>
                <w:sz w:val="20"/>
                <w:szCs w:val="20"/>
                <w:color w:val="auto"/>
              </w:rPr>
            </w:pPr>
            <w:r>
              <w:rPr>
                <w:rFonts w:ascii="Arial" w:cs="Arial" w:eastAsia="Arial" w:hAnsi="Arial"/>
                <w:sz w:val="14"/>
                <w:szCs w:val="14"/>
                <w:b w:val="1"/>
                <w:bCs w:val="1"/>
                <w:color w:val="auto"/>
                <w:w w:val="89"/>
              </w:rPr>
              <w:t>Comprehensive</w:t>
            </w:r>
          </w:p>
        </w:tc>
        <w:tc>
          <w:tcPr>
            <w:tcW w:w="120" w:type="dxa"/>
            <w:vAlign w:val="bottom"/>
          </w:tcPr>
          <w:p>
            <w:pPr>
              <w:spacing w:after="0"/>
              <w:rPr>
                <w:sz w:val="18"/>
                <w:szCs w:val="18"/>
                <w:color w:val="auto"/>
              </w:rPr>
            </w:pPr>
          </w:p>
        </w:tc>
        <w:tc>
          <w:tcPr>
            <w:tcW w:w="960" w:type="dxa"/>
            <w:vAlign w:val="bottom"/>
            <w:gridSpan w:val="2"/>
          </w:tcPr>
          <w:p>
            <w:pPr>
              <w:ind w:left="60"/>
              <w:spacing w:after="0"/>
              <w:rPr>
                <w:sz w:val="20"/>
                <w:szCs w:val="20"/>
                <w:color w:val="auto"/>
              </w:rPr>
            </w:pPr>
            <w:r>
              <w:rPr>
                <w:rFonts w:ascii="Arial" w:cs="Arial" w:eastAsia="Arial" w:hAnsi="Arial"/>
                <w:sz w:val="14"/>
                <w:szCs w:val="14"/>
                <w:b w:val="1"/>
                <w:bCs w:val="1"/>
                <w:color w:val="auto"/>
              </w:rPr>
              <w:t>Retained</w:t>
            </w:r>
          </w:p>
        </w:tc>
        <w:tc>
          <w:tcPr>
            <w:tcW w:w="164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8"/>
                <w:szCs w:val="18"/>
                <w:color w:val="auto"/>
              </w:rPr>
            </w:pPr>
          </w:p>
        </w:tc>
        <w:tc>
          <w:tcPr>
            <w:tcW w:w="1240" w:type="dxa"/>
            <w:vAlign w:val="bottom"/>
            <w:gridSpan w:val="3"/>
          </w:tcPr>
          <w:p>
            <w:pPr>
              <w:jc w:val="center"/>
              <w:ind w:right="180"/>
              <w:spacing w:after="0"/>
              <w:rPr>
                <w:sz w:val="20"/>
                <w:szCs w:val="20"/>
                <w:color w:val="auto"/>
              </w:rPr>
            </w:pPr>
            <w:r>
              <w:rPr>
                <w:rFonts w:ascii="Arial" w:cs="Arial" w:eastAsia="Arial" w:hAnsi="Arial"/>
                <w:sz w:val="14"/>
                <w:szCs w:val="14"/>
                <w:b w:val="1"/>
                <w:bCs w:val="1"/>
                <w:color w:val="auto"/>
                <w:w w:val="94"/>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4"/>
              </w:rPr>
              <w:t>Capital</w:t>
            </w:r>
          </w:p>
        </w:tc>
        <w:tc>
          <w:tcPr>
            <w:tcW w:w="16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 Net</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80" w:type="dxa"/>
            <w:vAlign w:val="bottom"/>
            <w:tcBorders>
              <w:bottom w:val="single" w:sz="8" w:color="auto"/>
            </w:tcBorders>
          </w:tcPr>
          <w:p>
            <w:pPr>
              <w:ind w:left="60"/>
              <w:spacing w:after="0"/>
              <w:rPr>
                <w:sz w:val="20"/>
                <w:szCs w:val="20"/>
                <w:color w:val="auto"/>
              </w:rPr>
            </w:pPr>
            <w:r>
              <w:rPr>
                <w:rFonts w:ascii="Arial" w:cs="Arial" w:eastAsia="Arial" w:hAnsi="Arial"/>
                <w:sz w:val="14"/>
                <w:szCs w:val="14"/>
                <w:b w:val="1"/>
                <w:bCs w:val="1"/>
                <w:color w:val="auto"/>
              </w:rPr>
              <w:t>Earnings</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ind w:right="7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4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80" w:type="dxa"/>
            <w:vAlign w:val="bottom"/>
            <w:gridSpan w:val="3"/>
          </w:tcPr>
          <w:p>
            <w:pPr>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Balance at June 30, 2020</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(299,12</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3,051,98</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spacing w:after="0"/>
              <w:rPr>
                <w:sz w:val="21"/>
                <w:szCs w:val="21"/>
                <w:color w:val="auto"/>
              </w:rPr>
            </w:pP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6,547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838,874</w:t>
            </w: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(41,117 )</w:t>
            </w: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$ 2,543,700</w:t>
            </w:r>
          </w:p>
        </w:tc>
        <w:tc>
          <w:tcPr>
            <w:tcW w:w="180" w:type="dxa"/>
            <w:vAlign w:val="bottom"/>
            <w:tcBorders>
              <w:right w:val="single" w:sz="8" w:color="CFF0FC"/>
            </w:tcBorders>
            <w:shd w:val="clear" w:color="auto" w:fill="CFF0FC"/>
          </w:tcPr>
          <w:p>
            <w:pPr>
              <w:spacing w:after="0"/>
              <w:rPr>
                <w:sz w:val="21"/>
                <w:szCs w:val="21"/>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4 )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rPr>
              <w:t>Issuance of stock for</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rPr>
              <w:t>equity awards, net of</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forfeitures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13</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(13 )</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Tax withholdings on</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 vesting</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960" w:type="dxa"/>
            <w:vAlign w:val="bottom"/>
            <w:tcBorders>
              <w:right w:val="single" w:sz="8" w:color="CFF0FC"/>
            </w:tcBorders>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(2 )</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(2 )</w:t>
            </w: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w w:val="92"/>
              </w:rPr>
              <w:t>Amortization of unearned</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rPr>
              <w:t>share-based</w:t>
            </w: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46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84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00" w:type="dxa"/>
            <w:vAlign w:val="bottom"/>
          </w:tcPr>
          <w:p>
            <w:pPr>
              <w:spacing w:after="0"/>
              <w:rPr>
                <w:sz w:val="19"/>
                <w:szCs w:val="19"/>
                <w:color w:val="auto"/>
              </w:rPr>
            </w:pPr>
          </w:p>
        </w:tc>
        <w:tc>
          <w:tcPr>
            <w:tcW w:w="10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780" w:type="dxa"/>
            <w:vAlign w:val="bottom"/>
          </w:tcPr>
          <w:p>
            <w:pPr>
              <w:spacing w:after="0"/>
              <w:rPr>
                <w:sz w:val="19"/>
                <w:szCs w:val="19"/>
                <w:color w:val="auto"/>
              </w:rPr>
            </w:pPr>
          </w:p>
        </w:tc>
        <w:tc>
          <w:tcPr>
            <w:tcW w:w="180" w:type="dxa"/>
            <w:vAlign w:val="bottom"/>
          </w:tcPr>
          <w:p>
            <w:pPr>
              <w:spacing w:after="0"/>
              <w:rPr>
                <w:sz w:val="19"/>
                <w:szCs w:val="19"/>
                <w:color w:val="auto"/>
              </w:rPr>
            </w:pPr>
          </w:p>
        </w:tc>
        <w:tc>
          <w:tcPr>
            <w:tcW w:w="7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20" w:type="dxa"/>
            <w:vAlign w:val="bottom"/>
          </w:tcPr>
          <w:p>
            <w:pPr>
              <w:spacing w:after="0"/>
              <w:rPr>
                <w:sz w:val="19"/>
                <w:szCs w:val="19"/>
                <w:color w:val="auto"/>
              </w:rPr>
            </w:pPr>
          </w:p>
        </w:tc>
        <w:tc>
          <w:tcPr>
            <w:tcW w:w="6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200" w:type="dxa"/>
            <w:vAlign w:val="bottom"/>
          </w:tcPr>
          <w:p>
            <w:pPr>
              <w:spacing w:after="0"/>
              <w:rPr>
                <w:sz w:val="19"/>
                <w:szCs w:val="19"/>
                <w:color w:val="auto"/>
              </w:rPr>
            </w:pPr>
          </w:p>
        </w:tc>
        <w:tc>
          <w:tcPr>
            <w:tcW w:w="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720" w:type="dxa"/>
            <w:vAlign w:val="bottom"/>
          </w:tcPr>
          <w:p>
            <w:pPr>
              <w:spacing w:after="0"/>
              <w:rPr>
                <w:sz w:val="19"/>
                <w:szCs w:val="19"/>
                <w:color w:val="auto"/>
              </w:rPr>
            </w:pPr>
          </w:p>
        </w:tc>
        <w:tc>
          <w:tcPr>
            <w:tcW w:w="80" w:type="dxa"/>
            <w:vAlign w:val="bottom"/>
          </w:tcPr>
          <w:p>
            <w:pPr>
              <w:spacing w:after="0"/>
              <w:rPr>
                <w:sz w:val="19"/>
                <w:szCs w:val="19"/>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3,414</w:t>
            </w:r>
          </w:p>
        </w:tc>
        <w:tc>
          <w:tcPr>
            <w:tcW w:w="160" w:type="dxa"/>
            <w:vAlign w:val="bottom"/>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9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3,414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comprehensive</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4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spacing w:after="0"/>
              <w:rPr>
                <w:sz w:val="21"/>
                <w:szCs w:val="21"/>
                <w:color w:val="auto"/>
              </w:rPr>
            </w:pPr>
          </w:p>
        </w:tc>
        <w:tc>
          <w:tcPr>
            <w:tcW w:w="180" w:type="dxa"/>
            <w:vAlign w:val="bottom"/>
            <w:tcBorders>
              <w:right w:val="single" w:sz="8" w:color="CFF0FC"/>
            </w:tcBorders>
            <w:shd w:val="clear" w:color="auto" w:fill="CFF0FC"/>
          </w:tcPr>
          <w:p>
            <w:pPr>
              <w:spacing w:after="0"/>
              <w:rPr>
                <w:sz w:val="21"/>
                <w:szCs w:val="21"/>
                <w:color w:val="auto"/>
              </w:rPr>
            </w:pPr>
          </w:p>
        </w:tc>
        <w:tc>
          <w:tcPr>
            <w:tcW w:w="700" w:type="dxa"/>
            <w:vAlign w:val="bottom"/>
            <w:tcBorders>
              <w:right w:val="single" w:sz="8" w:color="CFF0FC"/>
            </w:tcBorders>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income, net of taxes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(4,518 )</w:t>
            </w:r>
          </w:p>
        </w:tc>
        <w:tc>
          <w:tcPr>
            <w:tcW w:w="120" w:type="dxa"/>
            <w:vAlign w:val="bottom"/>
            <w:shd w:val="clear" w:color="auto" w:fill="CFF0FC"/>
          </w:tcPr>
          <w:p>
            <w:pPr>
              <w:spacing w:after="0"/>
              <w:rPr>
                <w:sz w:val="21"/>
                <w:szCs w:val="21"/>
                <w:color w:val="auto"/>
              </w:rPr>
            </w:pPr>
          </w:p>
        </w:tc>
        <w:tc>
          <w:tcPr>
            <w:tcW w:w="78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27,489</w:t>
            </w:r>
          </w:p>
        </w:tc>
        <w:tc>
          <w:tcPr>
            <w:tcW w:w="180" w:type="dxa"/>
            <w:vAlign w:val="bottom"/>
            <w:tcBorders>
              <w:right w:val="single" w:sz="8" w:color="CFF0FC"/>
            </w:tcBorders>
            <w:shd w:val="clear" w:color="auto" w:fill="CFF0FC"/>
          </w:tcPr>
          <w:p>
            <w:pPr>
              <w:spacing w:after="0"/>
              <w:rPr>
                <w:sz w:val="21"/>
                <w:szCs w:val="21"/>
                <w:color w:val="auto"/>
              </w:rPr>
            </w:pPr>
          </w:p>
        </w:tc>
        <w:tc>
          <w:tcPr>
            <w:tcW w:w="8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204</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23,175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w w:val="99"/>
              </w:rPr>
              <w:t>Return of investment to</w:t>
            </w:r>
          </w:p>
        </w:tc>
        <w:tc>
          <w:tcPr>
            <w:tcW w:w="70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vMerge w:val="restart"/>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00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c>
          <w:tcPr>
            <w:tcW w:w="1260" w:type="dxa"/>
            <w:vAlign w:val="bottom"/>
            <w:gridSpan w:val="2"/>
            <w:vMerge w:val="restart"/>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9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86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1"/>
                <w:szCs w:val="21"/>
                <w:color w:val="auto"/>
              </w:rPr>
            </w:pPr>
          </w:p>
        </w:tc>
        <w:tc>
          <w:tcPr>
            <w:tcW w:w="800" w:type="dxa"/>
            <w:vAlign w:val="bottom"/>
            <w:gridSpan w:val="2"/>
            <w:vMerge w:val="restart"/>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040" w:type="dxa"/>
            <w:vAlign w:val="bottom"/>
            <w:gridSpan w:val="2"/>
            <w:vMerge w:val="restart"/>
          </w:tcPr>
          <w:p>
            <w:pPr>
              <w:jc w:val="right"/>
              <w:ind w:right="80"/>
              <w:spacing w:after="0"/>
              <w:rPr>
                <w:sz w:val="20"/>
                <w:szCs w:val="20"/>
                <w:color w:val="auto"/>
              </w:rPr>
            </w:pPr>
            <w:r>
              <w:rPr>
                <w:rFonts w:ascii="Arial" w:cs="Arial" w:eastAsia="Arial" w:hAnsi="Arial"/>
                <w:sz w:val="18"/>
                <w:szCs w:val="18"/>
                <w:color w:val="auto"/>
              </w:rPr>
              <w:t>(204 )</w:t>
            </w:r>
          </w:p>
        </w:tc>
        <w:tc>
          <w:tcPr>
            <w:tcW w:w="140" w:type="dxa"/>
            <w:vAlign w:val="bottom"/>
          </w:tcPr>
          <w:p>
            <w:pPr>
              <w:spacing w:after="0"/>
              <w:rPr>
                <w:sz w:val="21"/>
                <w:szCs w:val="21"/>
                <w:color w:val="auto"/>
              </w:rPr>
            </w:pPr>
          </w:p>
        </w:tc>
        <w:tc>
          <w:tcPr>
            <w:tcW w:w="800" w:type="dxa"/>
            <w:vAlign w:val="bottom"/>
            <w:gridSpan w:val="2"/>
            <w:vMerge w:val="restart"/>
          </w:tcPr>
          <w:p>
            <w:pPr>
              <w:jc w:val="right"/>
              <w:spacing w:after="0"/>
              <w:rPr>
                <w:sz w:val="20"/>
                <w:szCs w:val="20"/>
                <w:color w:val="auto"/>
              </w:rPr>
            </w:pPr>
            <w:r>
              <w:rPr>
                <w:rFonts w:ascii="Arial" w:cs="Arial" w:eastAsia="Arial" w:hAnsi="Arial"/>
                <w:sz w:val="18"/>
                <w:szCs w:val="18"/>
                <w:color w:val="auto"/>
              </w:rPr>
              <w:t>(204 )</w:t>
            </w:r>
          </w:p>
        </w:tc>
        <w:tc>
          <w:tcPr>
            <w:tcW w:w="0" w:type="dxa"/>
            <w:vAlign w:val="bottom"/>
          </w:tcPr>
          <w:p>
            <w:pPr>
              <w:spacing w:after="0"/>
              <w:rPr>
                <w:sz w:val="1"/>
                <w:szCs w:val="1"/>
                <w:color w:val="auto"/>
              </w:rPr>
            </w:pPr>
          </w:p>
        </w:tc>
      </w:tr>
      <w:tr>
        <w:trPr>
          <w:trHeight w:val="230"/>
        </w:trPr>
        <w:tc>
          <w:tcPr>
            <w:tcW w:w="2080" w:type="dxa"/>
            <w:vAlign w:val="bottom"/>
          </w:tcPr>
          <w:p>
            <w:pPr>
              <w:ind w:left="200"/>
              <w:spacing w:after="0"/>
              <w:rPr>
                <w:sz w:val="20"/>
                <w:szCs w:val="20"/>
                <w:color w:val="auto"/>
              </w:rPr>
            </w:pPr>
            <w:r>
              <w:rPr>
                <w:rFonts w:ascii="Arial" w:cs="Arial" w:eastAsia="Arial" w:hAnsi="Arial"/>
                <w:sz w:val="18"/>
                <w:szCs w:val="18"/>
                <w:color w:val="auto"/>
              </w:rPr>
              <w:t>noncontrolling interests</w:t>
            </w:r>
          </w:p>
        </w:tc>
        <w:tc>
          <w:tcPr>
            <w:tcW w:w="70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vMerge w:val="continue"/>
          </w:tcPr>
          <w:p>
            <w:pPr>
              <w:spacing w:after="0"/>
              <w:rPr>
                <w:sz w:val="20"/>
                <w:szCs w:val="20"/>
                <w:color w:val="auto"/>
              </w:rPr>
            </w:pP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vMerge w:val="continue"/>
          </w:tcPr>
          <w:p>
            <w:pPr>
              <w:spacing w:after="0"/>
              <w:rPr>
                <w:sz w:val="20"/>
                <w:szCs w:val="20"/>
                <w:color w:val="auto"/>
              </w:rPr>
            </w:pPr>
          </w:p>
        </w:tc>
        <w:tc>
          <w:tcPr>
            <w:tcW w:w="100" w:type="dxa"/>
            <w:vAlign w:val="bottom"/>
          </w:tcPr>
          <w:p>
            <w:pPr>
              <w:spacing w:after="0"/>
              <w:rPr>
                <w:sz w:val="20"/>
                <w:szCs w:val="20"/>
                <w:color w:val="auto"/>
              </w:rPr>
            </w:pPr>
          </w:p>
        </w:tc>
        <w:tc>
          <w:tcPr>
            <w:tcW w:w="12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960" w:type="dxa"/>
            <w:vAlign w:val="bottom"/>
            <w:gridSpan w:val="2"/>
            <w:vMerge w:val="continue"/>
          </w:tcPr>
          <w:p>
            <w:pPr>
              <w:spacing w:after="0"/>
              <w:rPr>
                <w:sz w:val="20"/>
                <w:szCs w:val="20"/>
                <w:color w:val="auto"/>
              </w:rPr>
            </w:pPr>
          </w:p>
        </w:tc>
        <w:tc>
          <w:tcPr>
            <w:tcW w:w="860" w:type="dxa"/>
            <w:vAlign w:val="bottom"/>
            <w:gridSpan w:val="2"/>
            <w:vMerge w:val="continue"/>
          </w:tcPr>
          <w:p>
            <w:pPr>
              <w:spacing w:after="0"/>
              <w:rPr>
                <w:sz w:val="20"/>
                <w:szCs w:val="20"/>
                <w:color w:val="auto"/>
              </w:rPr>
            </w:pPr>
          </w:p>
        </w:tc>
        <w:tc>
          <w:tcPr>
            <w:tcW w:w="12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200" w:type="dxa"/>
            <w:vAlign w:val="bottom"/>
          </w:tcPr>
          <w:p>
            <w:pPr>
              <w:spacing w:after="0"/>
              <w:rPr>
                <w:sz w:val="20"/>
                <w:szCs w:val="20"/>
                <w:color w:val="auto"/>
              </w:rPr>
            </w:pPr>
          </w:p>
        </w:tc>
        <w:tc>
          <w:tcPr>
            <w:tcW w:w="1040" w:type="dxa"/>
            <w:vAlign w:val="bottom"/>
            <w:gridSpan w:val="2"/>
            <w:vMerge w:val="continue"/>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vMerge w:val="continue"/>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Balance at September 30,</w:t>
            </w:r>
          </w:p>
        </w:tc>
        <w:tc>
          <w:tcPr>
            <w:tcW w:w="70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tcBorders>
              <w:top w:val="single" w:sz="8" w:color="auto"/>
            </w:tcBorders>
            <w:shd w:val="clear" w:color="auto" w:fill="CFF0FC"/>
          </w:tcPr>
          <w:p>
            <w:pPr>
              <w:spacing w:after="0"/>
              <w:rPr>
                <w:sz w:val="20"/>
                <w:szCs w:val="20"/>
                <w:color w:val="auto"/>
              </w:rPr>
            </w:pPr>
          </w:p>
        </w:tc>
        <w:tc>
          <w:tcPr>
            <w:tcW w:w="46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840" w:type="dxa"/>
            <w:vAlign w:val="bottom"/>
            <w:tcBorders>
              <w:top w:val="single" w:sz="8" w:color="auto"/>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00" w:type="dxa"/>
            <w:vAlign w:val="bottom"/>
            <w:tcBorders>
              <w:top w:val="single" w:sz="8" w:color="auto"/>
            </w:tcBorders>
            <w:shd w:val="clear" w:color="auto" w:fill="CFF0FC"/>
          </w:tcPr>
          <w:p>
            <w:pPr>
              <w:spacing w:after="0"/>
              <w:rPr>
                <w:sz w:val="20"/>
                <w:szCs w:val="20"/>
                <w:color w:val="auto"/>
              </w:rPr>
            </w:pPr>
          </w:p>
        </w:tc>
        <w:tc>
          <w:tcPr>
            <w:tcW w:w="1080" w:type="dxa"/>
            <w:vAlign w:val="bottom"/>
            <w:tcBorders>
              <w:top w:val="single" w:sz="8" w:color="auto"/>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780" w:type="dxa"/>
            <w:vAlign w:val="bottom"/>
            <w:tcBorders>
              <w:top w:val="single" w:sz="8" w:color="auto"/>
              <w:right w:val="single" w:sz="8" w:color="CFF0FC"/>
            </w:tcBorders>
            <w:shd w:val="clear" w:color="auto" w:fill="CFF0FC"/>
          </w:tcPr>
          <w:p>
            <w:pPr>
              <w:spacing w:after="0"/>
              <w:rPr>
                <w:sz w:val="20"/>
                <w:szCs w:val="20"/>
                <w:color w:val="auto"/>
              </w:rPr>
            </w:pPr>
          </w:p>
        </w:tc>
        <w:tc>
          <w:tcPr>
            <w:tcW w:w="180" w:type="dxa"/>
            <w:vAlign w:val="bottom"/>
            <w:tcBorders>
              <w:right w:val="single" w:sz="8" w:color="CFF0FC"/>
            </w:tcBorders>
            <w:shd w:val="clear" w:color="auto" w:fill="CFF0FC"/>
          </w:tcPr>
          <w:p>
            <w:pPr>
              <w:spacing w:after="0"/>
              <w:rPr>
                <w:sz w:val="20"/>
                <w:szCs w:val="20"/>
                <w:color w:val="auto"/>
              </w:rPr>
            </w:pPr>
          </w:p>
        </w:tc>
        <w:tc>
          <w:tcPr>
            <w:tcW w:w="700" w:type="dxa"/>
            <w:vAlign w:val="bottom"/>
            <w:tcBorders>
              <w:top w:val="single" w:sz="8" w:color="auto"/>
              <w:right w:val="single" w:sz="8" w:color="CFF0FC"/>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tcBorders>
              <w:top w:val="single" w:sz="8" w:color="auto"/>
            </w:tcBorders>
            <w:shd w:val="clear" w:color="auto" w:fill="CFF0FC"/>
          </w:tcPr>
          <w:p>
            <w:pPr>
              <w:spacing w:after="0"/>
              <w:rPr>
                <w:sz w:val="20"/>
                <w:szCs w:val="20"/>
                <w:color w:val="auto"/>
              </w:rPr>
            </w:pPr>
          </w:p>
        </w:tc>
        <w:tc>
          <w:tcPr>
            <w:tcW w:w="6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(299,13</w:t>
            </w:r>
          </w:p>
        </w:tc>
        <w:tc>
          <w:tcPr>
            <w:tcW w:w="140" w:type="dxa"/>
            <w:vAlign w:val="bottom"/>
            <w:shd w:val="clear" w:color="auto" w:fill="CFF0FC"/>
          </w:tcPr>
          <w:p>
            <w:pPr>
              <w:spacing w:after="0"/>
              <w:rPr>
                <w:sz w:val="20"/>
                <w:szCs w:val="20"/>
                <w:color w:val="auto"/>
              </w:rPr>
            </w:pPr>
          </w:p>
        </w:tc>
        <w:tc>
          <w:tcPr>
            <w:tcW w:w="200" w:type="dxa"/>
            <w:vAlign w:val="bottom"/>
            <w:tcBorders>
              <w:top w:val="single" w:sz="8" w:color="auto"/>
            </w:tcBorders>
            <w:shd w:val="clear" w:color="auto" w:fill="CFF0FC"/>
          </w:tcPr>
          <w:p>
            <w:pPr>
              <w:spacing w:after="0"/>
              <w:rPr>
                <w:sz w:val="20"/>
                <w:szCs w:val="20"/>
                <w:color w:val="auto"/>
              </w:rPr>
            </w:pPr>
          </w:p>
        </w:tc>
        <w:tc>
          <w:tcPr>
            <w:tcW w:w="880" w:type="dxa"/>
            <w:vAlign w:val="bottom"/>
            <w:tcBorders>
              <w:top w:val="single" w:sz="8" w:color="auto"/>
            </w:tcBorders>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40" w:type="dxa"/>
            <w:vAlign w:val="bottom"/>
            <w:tcBorders>
              <w:top w:val="single" w:sz="8" w:color="auto"/>
            </w:tcBorders>
            <w:shd w:val="clear" w:color="auto" w:fill="CFF0FC"/>
          </w:tcPr>
          <w:p>
            <w:pPr>
              <w:spacing w:after="0"/>
              <w:rPr>
                <w:sz w:val="20"/>
                <w:szCs w:val="20"/>
                <w:color w:val="auto"/>
              </w:rPr>
            </w:pPr>
          </w:p>
        </w:tc>
        <w:tc>
          <w:tcPr>
            <w:tcW w:w="7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6"/>
              </w:rPr>
              <w:t>3,078,36</w:t>
            </w:r>
          </w:p>
        </w:tc>
        <w:tc>
          <w:tcPr>
            <w:tcW w:w="8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7"/>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160" w:type="dxa"/>
            <w:vAlign w:val="bottom"/>
            <w:shd w:val="clear" w:color="auto" w:fill="CFF0FC"/>
          </w:tcPr>
          <w:p>
            <w:pPr>
              <w:spacing w:after="0"/>
              <w:rPr>
                <w:sz w:val="22"/>
                <w:szCs w:val="22"/>
                <w:color w:val="auto"/>
              </w:rPr>
            </w:pP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6,547</w:t>
            </w:r>
          </w:p>
        </w:tc>
        <w:tc>
          <w:tcPr>
            <w:tcW w:w="160" w:type="dxa"/>
            <w:vAlign w:val="bottom"/>
            <w:shd w:val="clear" w:color="auto" w:fill="CFF0FC"/>
          </w:tcPr>
          <w:p>
            <w:pPr>
              <w:spacing w:after="0"/>
              <w:rPr>
                <w:sz w:val="22"/>
                <w:szCs w:val="22"/>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840" w:type="dxa"/>
            <w:vAlign w:val="bottom"/>
            <w:tcBorders>
              <w:right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842,301</w:t>
            </w:r>
          </w:p>
        </w:tc>
        <w:tc>
          <w:tcPr>
            <w:tcW w:w="160" w:type="dxa"/>
            <w:vAlign w:val="bottom"/>
            <w:shd w:val="clear" w:color="auto" w:fill="CFF0FC"/>
          </w:tcPr>
          <w:p>
            <w:pPr>
              <w:spacing w:after="0"/>
              <w:rPr>
                <w:sz w:val="22"/>
                <w:szCs w:val="22"/>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60" w:type="dxa"/>
            <w:vAlign w:val="bottom"/>
            <w:tcBorders>
              <w:right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(45,635 )</w:t>
            </w:r>
          </w:p>
        </w:tc>
        <w:tc>
          <w:tcPr>
            <w:tcW w:w="900" w:type="dxa"/>
            <w:vAlign w:val="bottom"/>
            <w:tcBorders>
              <w:right w:val="single" w:sz="8" w:color="CFF0FC"/>
            </w:tcBorders>
            <w:gridSpan w:val="2"/>
            <w:shd w:val="clear" w:color="auto" w:fill="CFF0FC"/>
          </w:tcPr>
          <w:p>
            <w:pPr>
              <w:jc w:val="right"/>
              <w:spacing w:after="0"/>
              <w:rPr>
                <w:sz w:val="20"/>
                <w:szCs w:val="20"/>
                <w:color w:val="auto"/>
              </w:rPr>
            </w:pPr>
            <w:r>
              <w:rPr>
                <w:rFonts w:ascii="Arial" w:cs="Arial" w:eastAsia="Arial" w:hAnsi="Arial"/>
                <w:sz w:val="18"/>
                <w:szCs w:val="18"/>
                <w:color w:val="auto"/>
                <w:w w:val="92"/>
              </w:rPr>
              <w:t>$ 2,571,189</w:t>
            </w:r>
          </w:p>
        </w:tc>
        <w:tc>
          <w:tcPr>
            <w:tcW w:w="180" w:type="dxa"/>
            <w:vAlign w:val="bottom"/>
            <w:tcBorders>
              <w:right w:val="single" w:sz="8" w:color="CFF0FC"/>
            </w:tcBorders>
            <w:shd w:val="clear" w:color="auto" w:fill="CFF0FC"/>
          </w:tcPr>
          <w:p>
            <w:pPr>
              <w:spacing w:after="0"/>
              <w:rPr>
                <w:sz w:val="22"/>
                <w:szCs w:val="22"/>
                <w:color w:val="auto"/>
              </w:rPr>
            </w:pPr>
          </w:p>
        </w:tc>
        <w:tc>
          <w:tcPr>
            <w:tcW w:w="8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9 )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3,104</w:t>
            </w:r>
          </w:p>
        </w:tc>
        <w:tc>
          <w:tcPr>
            <w:tcW w:w="160" w:type="dxa"/>
            <w:vAlign w:val="bottom"/>
            <w:shd w:val="clear" w:color="auto" w:fill="CFF0FC"/>
          </w:tcPr>
          <w:p>
            <w:pPr>
              <w:spacing w:after="0"/>
              <w:rPr>
                <w:sz w:val="22"/>
                <w:szCs w:val="22"/>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w:t>
            </w:r>
          </w:p>
        </w:tc>
        <w:tc>
          <w:tcPr>
            <w:tcW w:w="8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0"/>
        </w:trPr>
        <w:tc>
          <w:tcPr>
            <w:tcW w:w="2080" w:type="dxa"/>
            <w:vAlign w:val="bottom"/>
            <w:tcBorders>
              <w:top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60" w:type="dxa"/>
            <w:vAlign w:val="bottom"/>
            <w:tcBorders>
              <w:top w:val="single" w:sz="8" w:color="auto"/>
            </w:tcBorders>
            <w:shd w:val="clear" w:color="auto" w:fill="000000"/>
          </w:tcPr>
          <w:p>
            <w:pPr>
              <w:spacing w:after="0" w:line="20" w:lineRule="exact"/>
              <w:rPr>
                <w:sz w:val="1"/>
                <w:szCs w:val="1"/>
                <w:color w:val="auto"/>
              </w:rPr>
            </w:pPr>
          </w:p>
        </w:tc>
        <w:tc>
          <w:tcPr>
            <w:tcW w:w="46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0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78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80" w:type="dxa"/>
            <w:vAlign w:val="bottom"/>
            <w:tcBorders>
              <w:top w:val="single" w:sz="8" w:color="CFF0FC"/>
              <w:right w:val="single" w:sz="8" w:color="CFF0FC"/>
            </w:tcBorders>
            <w:shd w:val="clear" w:color="auto" w:fill="CFF0FC"/>
          </w:tcPr>
          <w:p>
            <w:pPr>
              <w:spacing w:after="0" w:line="20" w:lineRule="exact"/>
              <w:rPr>
                <w:sz w:val="1"/>
                <w:szCs w:val="1"/>
                <w:color w:val="auto"/>
              </w:rPr>
            </w:pPr>
          </w:p>
        </w:tc>
        <w:tc>
          <w:tcPr>
            <w:tcW w:w="700" w:type="dxa"/>
            <w:vAlign w:val="bottom"/>
            <w:tcBorders>
              <w:top w:val="single" w:sz="8" w:color="auto"/>
              <w:right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14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16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720" w:type="dxa"/>
            <w:vAlign w:val="bottom"/>
            <w:tcBorders>
              <w:top w:val="single" w:sz="8" w:color="auto"/>
            </w:tcBorders>
            <w:shd w:val="clear" w:color="auto" w:fill="000000"/>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-3622675</wp:posOffset>
            </wp:positionV>
            <wp:extent cx="102870" cy="5715"/>
            <wp:wrapNone/>
            <wp:docPr id="95" name="Picture 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5"/>
                    <pic:cNvPicPr>
                      <a:picLocks noChangeAspect="1" noChangeArrowheads="1"/>
                    </pic:cNvPicPr>
                  </pic:nvPicPr>
                  <pic:blipFill>
                    <a:blip r:embed="rId102">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-3622675</wp:posOffset>
            </wp:positionV>
            <wp:extent cx="102870" cy="5715"/>
            <wp:wrapNone/>
            <wp:docPr id="96" name="Picture 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6"/>
                    <pic:cNvPicPr>
                      <a:picLocks noChangeAspect="1" noChangeArrowheads="1"/>
                    </pic:cNvPicPr>
                  </pic:nvPicPr>
                  <pic:blipFill>
                    <a:blip r:embed="rId103">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-3622675</wp:posOffset>
            </wp:positionV>
            <wp:extent cx="111125" cy="5715"/>
            <wp:wrapNone/>
            <wp:docPr id="97" name="Picture 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7"/>
                    <pic:cNvPicPr>
                      <a:picLocks noChangeAspect="1" noChangeArrowheads="1"/>
                    </pic:cNvPicPr>
                  </pic:nvPicPr>
                  <pic:blipFill>
                    <a:blip r:embed="rId10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-3622675</wp:posOffset>
            </wp:positionV>
            <wp:extent cx="111125" cy="5715"/>
            <wp:wrapNone/>
            <wp:docPr id="98" name="Picture 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8"/>
                    <pic:cNvPicPr>
                      <a:picLocks noChangeAspect="1" noChangeArrowheads="1"/>
                    </pic:cNvPicPr>
                  </pic:nvPicPr>
                  <pic:blipFill>
                    <a:blip r:embed="rId10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-3622675</wp:posOffset>
            </wp:positionV>
            <wp:extent cx="111760" cy="5715"/>
            <wp:wrapNone/>
            <wp:docPr id="99" name="Picture 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99"/>
                    <pic:cNvPicPr>
                      <a:picLocks noChangeAspect="1" noChangeArrowheads="1"/>
                    </pic:cNvPicPr>
                  </pic:nvPicPr>
                  <pic:blipFill>
                    <a:blip r:embed="rId106">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-3622675</wp:posOffset>
            </wp:positionV>
            <wp:extent cx="111125" cy="5715"/>
            <wp:wrapNone/>
            <wp:docPr id="100" name="Picture 1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0"/>
                    <pic:cNvPicPr>
                      <a:picLocks noChangeAspect="1" noChangeArrowheads="1"/>
                    </pic:cNvPicPr>
                  </pic:nvPicPr>
                  <pic:blipFill>
                    <a:blip r:embed="rId107">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-3622675</wp:posOffset>
            </wp:positionV>
            <wp:extent cx="93980" cy="5715"/>
            <wp:wrapNone/>
            <wp:docPr id="101" name="Picture 1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1"/>
                    <pic:cNvPicPr>
                      <a:picLocks noChangeAspect="1" noChangeArrowheads="1"/>
                    </pic:cNvPicPr>
                  </pic:nvPicPr>
                  <pic:blipFill>
                    <a:blip r:embed="rId108">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-3622675</wp:posOffset>
            </wp:positionV>
            <wp:extent cx="93980" cy="5715"/>
            <wp:wrapNone/>
            <wp:docPr id="102" name="Picture 1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2"/>
                    <pic:cNvPicPr>
                      <a:picLocks noChangeAspect="1" noChangeArrowheads="1"/>
                    </pic:cNvPicPr>
                  </pic:nvPicPr>
                  <pic:blipFill>
                    <a:blip r:embed="rId109">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-3622675</wp:posOffset>
            </wp:positionV>
            <wp:extent cx="51435" cy="5715"/>
            <wp:wrapNone/>
            <wp:docPr id="103" name="Picture 1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3"/>
                    <pic:cNvPicPr>
                      <a:picLocks noChangeAspect="1" noChangeArrowheads="1"/>
                    </pic:cNvPicPr>
                  </pic:nvPicPr>
                  <pic:blipFill>
                    <a:blip r:embed="rId110">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-24765</wp:posOffset>
            </wp:positionV>
            <wp:extent cx="102870" cy="8255"/>
            <wp:wrapNone/>
            <wp:docPr id="104" name="Picture 1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4"/>
                    <pic:cNvPicPr>
                      <a:picLocks noChangeAspect="1" noChangeArrowheads="1"/>
                    </pic:cNvPicPr>
                  </pic:nvPicPr>
                  <pic:blipFill>
                    <a:blip r:embed="rId11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-7620</wp:posOffset>
            </wp:positionV>
            <wp:extent cx="102870" cy="8255"/>
            <wp:wrapNone/>
            <wp:docPr id="105" name="Picture 1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5"/>
                    <pic:cNvPicPr>
                      <a:picLocks noChangeAspect="1" noChangeArrowheads="1"/>
                    </pic:cNvPicPr>
                  </pic:nvPicPr>
                  <pic:blipFill>
                    <a:blip r:embed="rId11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-24765</wp:posOffset>
            </wp:positionV>
            <wp:extent cx="102870" cy="8255"/>
            <wp:wrapNone/>
            <wp:docPr id="106" name="Picture 1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6"/>
                    <pic:cNvPicPr>
                      <a:picLocks noChangeAspect="1" noChangeArrowheads="1"/>
                    </pic:cNvPicPr>
                  </pic:nvPicPr>
                  <pic:blipFill>
                    <a:blip r:embed="rId113">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-7620</wp:posOffset>
            </wp:positionV>
            <wp:extent cx="102870" cy="8255"/>
            <wp:wrapNone/>
            <wp:docPr id="107" name="Picture 1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7"/>
                    <pic:cNvPicPr>
                      <a:picLocks noChangeAspect="1" noChangeArrowheads="1"/>
                    </pic:cNvPicPr>
                  </pic:nvPicPr>
                  <pic:blipFill>
                    <a:blip r:embed="rId114">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-24765</wp:posOffset>
            </wp:positionV>
            <wp:extent cx="102870" cy="8255"/>
            <wp:wrapNone/>
            <wp:docPr id="108" name="Picture 1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8"/>
                    <pic:cNvPicPr>
                      <a:picLocks noChangeAspect="1" noChangeArrowheads="1"/>
                    </pic:cNvPicPr>
                  </pic:nvPicPr>
                  <pic:blipFill>
                    <a:blip r:embed="rId115">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2971165</wp:posOffset>
            </wp:positionH>
            <wp:positionV relativeFrom="paragraph">
              <wp:posOffset>-7620</wp:posOffset>
            </wp:positionV>
            <wp:extent cx="102870" cy="8255"/>
            <wp:wrapNone/>
            <wp:docPr id="109" name="Picture 1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09"/>
                    <pic:cNvPicPr>
                      <a:picLocks noChangeAspect="1" noChangeArrowheads="1"/>
                    </pic:cNvPicPr>
                  </pic:nvPicPr>
                  <pic:blipFill>
                    <a:blip r:embed="rId116">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-24765</wp:posOffset>
            </wp:positionV>
            <wp:extent cx="111125" cy="8255"/>
            <wp:wrapNone/>
            <wp:docPr id="110" name="Picture 1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0"/>
                    <pic:cNvPicPr>
                      <a:picLocks noChangeAspect="1" noChangeArrowheads="1"/>
                    </pic:cNvPicPr>
                  </pic:nvPicPr>
                  <pic:blipFill>
                    <a:blip r:embed="rId117">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-7620</wp:posOffset>
            </wp:positionV>
            <wp:extent cx="111125" cy="8255"/>
            <wp:wrapNone/>
            <wp:docPr id="111" name="Picture 1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1"/>
                    <pic:cNvPicPr>
                      <a:picLocks noChangeAspect="1" noChangeArrowheads="1"/>
                    </pic:cNvPicPr>
                  </pic:nvPicPr>
                  <pic:blipFill>
                    <a:blip r:embed="rId118">
                      <a:extLst>
                        <a:ext uri="{28A0092B-C50C-407E-A947-70E740481C1C}"/>
                      </a:extLst>
                    </a:blip>
                    <a:srcRect/>
                    <a:stretch>
                      <a:fillRect/>
                    </a:stretch>
                  </pic:blipFill>
                  <pic:spPr bwMode="auto">
                    <a:xfrm>
                      <a:off x="0" y="0"/>
                      <a:ext cx="111125"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-24765</wp:posOffset>
            </wp:positionV>
            <wp:extent cx="102870" cy="8255"/>
            <wp:wrapNone/>
            <wp:docPr id="112" name="Picture 1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2"/>
                    <pic:cNvPicPr>
                      <a:picLocks noChangeAspect="1" noChangeArrowheads="1"/>
                    </pic:cNvPicPr>
                  </pic:nvPicPr>
                  <pic:blipFill>
                    <a:blip r:embed="rId119">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4514215</wp:posOffset>
            </wp:positionH>
            <wp:positionV relativeFrom="paragraph">
              <wp:posOffset>-7620</wp:posOffset>
            </wp:positionV>
            <wp:extent cx="102870" cy="8255"/>
            <wp:wrapNone/>
            <wp:docPr id="113" name="Picture 1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3"/>
                    <pic:cNvPicPr>
                      <a:picLocks noChangeAspect="1" noChangeArrowheads="1"/>
                    </pic:cNvPicPr>
                  </pic:nvPicPr>
                  <pic:blipFill>
                    <a:blip r:embed="rId120">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-24765</wp:posOffset>
            </wp:positionV>
            <wp:extent cx="102870" cy="8255"/>
            <wp:wrapNone/>
            <wp:docPr id="114" name="Picture 1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4"/>
                    <pic:cNvPicPr>
                      <a:picLocks noChangeAspect="1" noChangeArrowheads="1"/>
                    </pic:cNvPicPr>
                  </pic:nvPicPr>
                  <pic:blipFill>
                    <a:blip r:embed="rId121">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5062855</wp:posOffset>
            </wp:positionH>
            <wp:positionV relativeFrom="paragraph">
              <wp:posOffset>-7620</wp:posOffset>
            </wp:positionV>
            <wp:extent cx="102870" cy="8255"/>
            <wp:wrapNone/>
            <wp:docPr id="115" name="Picture 1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5"/>
                    <pic:cNvPicPr>
                      <a:picLocks noChangeAspect="1" noChangeArrowheads="1"/>
                    </pic:cNvPicPr>
                  </pic:nvPicPr>
                  <pic:blipFill>
                    <a:blip r:embed="rId122">
                      <a:extLst>
                        <a:ext uri="{28A0092B-C50C-407E-A947-70E740481C1C}"/>
                      </a:extLst>
                    </a:blip>
                    <a:srcRect/>
                    <a:stretch>
                      <a:fillRect/>
                    </a:stretch>
                  </pic:blipFill>
                  <pic:spPr bwMode="auto">
                    <a:xfrm>
                      <a:off x="0" y="0"/>
                      <a:ext cx="10287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-24765</wp:posOffset>
            </wp:positionV>
            <wp:extent cx="93980" cy="8255"/>
            <wp:wrapNone/>
            <wp:docPr id="116" name="Picture 1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6"/>
                    <pic:cNvPicPr>
                      <a:picLocks noChangeAspect="1" noChangeArrowheads="1"/>
                    </pic:cNvPicPr>
                  </pic:nvPicPr>
                  <pic:blipFill>
                    <a:blip r:embed="rId123">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-7620</wp:posOffset>
            </wp:positionV>
            <wp:extent cx="93980" cy="8255"/>
            <wp:wrapNone/>
            <wp:docPr id="117" name="Picture 1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7"/>
                    <pic:cNvPicPr>
                      <a:picLocks noChangeAspect="1" noChangeArrowheads="1"/>
                    </pic:cNvPicPr>
                  </pic:nvPicPr>
                  <pic:blipFill>
                    <a:blip r:embed="rId124">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-24765</wp:posOffset>
            </wp:positionV>
            <wp:extent cx="93980" cy="8255"/>
            <wp:wrapNone/>
            <wp:docPr id="118" name="Picture 1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8"/>
                    <pic:cNvPicPr>
                      <a:picLocks noChangeAspect="1" noChangeArrowheads="1"/>
                    </pic:cNvPicPr>
                  </pic:nvPicPr>
                  <pic:blipFill>
                    <a:blip r:embed="rId125">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-7620</wp:posOffset>
            </wp:positionV>
            <wp:extent cx="93980" cy="8255"/>
            <wp:wrapNone/>
            <wp:docPr id="119" name="Picture 1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19"/>
                    <pic:cNvPicPr>
                      <a:picLocks noChangeAspect="1" noChangeArrowheads="1"/>
                    </pic:cNvPicPr>
                  </pic:nvPicPr>
                  <pic:blipFill>
                    <a:blip r:embed="rId126">
                      <a:extLst>
                        <a:ext uri="{28A0092B-C50C-407E-A947-70E740481C1C}"/>
                      </a:extLst>
                    </a:blip>
                    <a:srcRect/>
                    <a:stretch>
                      <a:fillRect/>
                    </a:stretch>
                  </pic:blipFill>
                  <pic:spPr bwMode="auto">
                    <a:xfrm>
                      <a:off x="0" y="0"/>
                      <a:ext cx="93980"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-24765</wp:posOffset>
            </wp:positionV>
            <wp:extent cx="51435" cy="8255"/>
            <wp:wrapNone/>
            <wp:docPr id="120" name="Picture 1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0"/>
                    <pic:cNvPicPr>
                      <a:picLocks noChangeAspect="1" noChangeArrowheads="1"/>
                    </pic:cNvPicPr>
                  </pic:nvPicPr>
                  <pic:blipFill>
                    <a:blip r:embed="rId127">
                      <a:extLst>
                        <a:ext uri="{28A0092B-C50C-407E-A947-70E740481C1C}"/>
                      </a:extLst>
                    </a:blip>
                    <a:srcRect/>
                    <a:stretch>
                      <a:fillRect/>
                    </a:stretch>
                  </pic:blipFill>
                  <pic:spPr bwMode="auto">
                    <a:xfrm>
                      <a:off x="0" y="0"/>
                      <a:ext cx="51435" cy="825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-7620</wp:posOffset>
            </wp:positionV>
            <wp:extent cx="51435" cy="8255"/>
            <wp:wrapNone/>
            <wp:docPr id="121" name="Picture 1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1"/>
                    <pic:cNvPicPr>
                      <a:picLocks noChangeAspect="1" noChangeArrowheads="1"/>
                    </pic:cNvPicPr>
                  </pic:nvPicPr>
                  <pic:blipFill>
                    <a:blip r:embed="rId128">
                      <a:extLst>
                        <a:ext uri="{28A0092B-C50C-407E-A947-70E740481C1C}"/>
                      </a:extLst>
                    </a:blip>
                    <a:srcRect/>
                    <a:stretch>
                      <a:fillRect/>
                    </a:stretch>
                  </pic:blipFill>
                  <pic:spPr bwMode="auto">
                    <a:xfrm>
                      <a:off x="0" y="0"/>
                      <a:ext cx="51435" cy="825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22" name="Picture 1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2"/>
                    <pic:cNvPicPr>
                      <a:picLocks noChangeAspect="1" noChangeArrowheads="1"/>
                    </pic:cNvPicPr>
                  </pic:nvPicPr>
                  <pic:blipFill>
                    <a:blip r:embed="rId12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6" w:name="page7"/>
    <w:bookmarkEnd w:id="6"/>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CONDENSED STATEMENTS OF STOCKHOLDERS’ EQUITY</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86"/>
        </w:trPr>
        <w:tc>
          <w:tcPr>
            <w:tcW w:w="20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46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8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00" w:type="dxa"/>
            <w:vAlign w:val="bottom"/>
          </w:tcPr>
          <w:p>
            <w:pPr>
              <w:spacing w:after="0"/>
              <w:rPr>
                <w:sz w:val="16"/>
                <w:szCs w:val="16"/>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70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0" w:type="dxa"/>
            <w:vAlign w:val="bottom"/>
          </w:tcPr>
          <w:p>
            <w:pPr>
              <w:spacing w:after="0"/>
              <w:rPr>
                <w:sz w:val="16"/>
                <w:szCs w:val="16"/>
                <w:color w:val="auto"/>
              </w:rPr>
            </w:pPr>
          </w:p>
        </w:tc>
        <w:tc>
          <w:tcPr>
            <w:tcW w:w="6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40" w:type="dxa"/>
            <w:vAlign w:val="bottom"/>
          </w:tcPr>
          <w:p>
            <w:pPr>
              <w:spacing w:after="0"/>
              <w:rPr>
                <w:sz w:val="16"/>
                <w:szCs w:val="16"/>
                <w:color w:val="auto"/>
              </w:rPr>
            </w:pPr>
          </w:p>
        </w:tc>
        <w:tc>
          <w:tcPr>
            <w:tcW w:w="720" w:type="dxa"/>
            <w:vAlign w:val="bottom"/>
          </w:tcPr>
          <w:p>
            <w:pPr>
              <w:spacing w:after="0"/>
              <w:rPr>
                <w:sz w:val="16"/>
                <w:szCs w:val="16"/>
                <w:color w:val="auto"/>
              </w:rPr>
            </w:pP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Retained</w:t>
            </w:r>
          </w:p>
        </w:tc>
        <w:tc>
          <w:tcPr>
            <w:tcW w:w="16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2,593,39</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(299,16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3,087,55</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2020</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6,547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844,979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(61,452 )</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(5,434 )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1 )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3,247</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0"/>
              <w:spacing w:after="0"/>
              <w:rPr>
                <w:sz w:val="20"/>
                <w:szCs w:val="20"/>
                <w:color w:val="auto"/>
              </w:rPr>
            </w:pPr>
            <w:r>
              <w:rPr>
                <w:rFonts w:ascii="Arial" w:cs="Arial" w:eastAsia="Arial" w:hAnsi="Arial"/>
                <w:sz w:val="18"/>
                <w:szCs w:val="18"/>
                <w:color w:val="auto"/>
              </w:rPr>
              <w:t>Stock option exercises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21</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12</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608</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629</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stock for</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 net of</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(6,206 )</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rPr>
              <w:t>Tax withholdings 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(52 )</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(2,856 )</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(2,856 )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Amortization of unearned</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2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12,793</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12,793</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w w:val="88"/>
              </w:rPr>
              <w:t>Total comprehensive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net of taxes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080" w:type="dxa"/>
            <w:vAlign w:val="bottom"/>
          </w:tcPr>
          <w:p>
            <w:pPr>
              <w:jc w:val="right"/>
              <w:spacing w:after="0"/>
              <w:rPr>
                <w:sz w:val="20"/>
                <w:szCs w:val="20"/>
                <w:color w:val="auto"/>
              </w:rPr>
            </w:pPr>
            <w:r>
              <w:rPr>
                <w:rFonts w:ascii="Arial" w:cs="Arial" w:eastAsia="Arial" w:hAnsi="Arial"/>
                <w:sz w:val="18"/>
                <w:szCs w:val="18"/>
                <w:color w:val="auto"/>
              </w:rPr>
              <w:t>6,789</w:t>
            </w:r>
          </w:p>
        </w:tc>
        <w:tc>
          <w:tcPr>
            <w:tcW w:w="120" w:type="dxa"/>
            <w:vAlign w:val="bottom"/>
          </w:tcPr>
          <w:p>
            <w:pPr>
              <w:spacing w:after="0"/>
              <w:rPr>
                <w:sz w:val="20"/>
                <w:szCs w:val="20"/>
                <w:color w:val="auto"/>
              </w:rPr>
            </w:pP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(257,915 )</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1040" w:type="dxa"/>
            <w:vAlign w:val="bottom"/>
            <w:gridSpan w:val="2"/>
          </w:tcPr>
          <w:p>
            <w:pPr>
              <w:jc w:val="right"/>
              <w:ind w:right="80"/>
              <w:spacing w:after="0"/>
              <w:rPr>
                <w:sz w:val="20"/>
                <w:szCs w:val="20"/>
                <w:color w:val="auto"/>
              </w:rPr>
            </w:pPr>
            <w:r>
              <w:rPr>
                <w:rFonts w:ascii="Arial" w:cs="Arial" w:eastAsia="Arial" w:hAnsi="Arial"/>
                <w:sz w:val="18"/>
                <w:szCs w:val="18"/>
                <w:color w:val="auto"/>
              </w:rPr>
              <w:t>(5 )</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(251,131 )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Return of investment to</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(764 )</w:t>
            </w:r>
          </w:p>
        </w:tc>
        <w:tc>
          <w:tcPr>
            <w:tcW w:w="140" w:type="dxa"/>
            <w:vAlign w:val="bottom"/>
            <w:shd w:val="clear" w:color="auto" w:fill="CFF0FC"/>
          </w:tcPr>
          <w:p>
            <w:pPr>
              <w:spacing w:after="0"/>
              <w:rPr>
                <w:sz w:val="21"/>
                <w:szCs w:val="21"/>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(764 )</w:t>
            </w: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7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7"/>
              </w:rPr>
              <w:t>Balance at September 30,</w:t>
            </w: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2,335,47</w:t>
            </w:r>
          </w:p>
        </w:tc>
        <w:tc>
          <w:tcPr>
            <w:tcW w:w="18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(295,20</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2,846,22</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2021</w:t>
            </w:r>
          </w:p>
        </w:tc>
        <w:tc>
          <w:tcPr>
            <w:tcW w:w="700" w:type="dxa"/>
            <w:vAlign w:val="bottom"/>
          </w:tcPr>
          <w:p>
            <w:pPr>
              <w:jc w:val="right"/>
              <w:spacing w:after="0"/>
              <w:rPr>
                <w:sz w:val="20"/>
                <w:szCs w:val="20"/>
                <w:color w:val="auto"/>
              </w:rPr>
            </w:pPr>
            <w:r>
              <w:rPr>
                <w:rFonts w:ascii="Arial" w:cs="Arial" w:eastAsia="Arial" w:hAnsi="Arial"/>
                <w:sz w:val="18"/>
                <w:szCs w:val="18"/>
                <w:color w:val="auto"/>
              </w:rPr>
              <w:t>65,472</w:t>
            </w:r>
          </w:p>
        </w:tc>
        <w:tc>
          <w:tcPr>
            <w:tcW w:w="160" w:type="dxa"/>
            <w:vAlign w:val="bottom"/>
          </w:tcPr>
          <w:p>
            <w:pPr>
              <w:spacing w:after="0"/>
              <w:rPr>
                <w:sz w:val="20"/>
                <w:szCs w:val="20"/>
                <w:color w:val="auto"/>
              </w:rPr>
            </w:pPr>
          </w:p>
        </w:tc>
        <w:tc>
          <w:tcPr>
            <w:tcW w:w="16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6,547</w:t>
            </w:r>
          </w:p>
        </w:tc>
        <w:tc>
          <w:tcPr>
            <w:tcW w:w="160" w:type="dxa"/>
            <w:vAlign w:val="bottom"/>
          </w:tcPr>
          <w:p>
            <w:pPr>
              <w:spacing w:after="0"/>
              <w:rPr>
                <w:sz w:val="20"/>
                <w:szCs w:val="20"/>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851,587</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(54,663 )</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8</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(5,361 )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
              <w:spacing w:after="0"/>
              <w:rPr>
                <w:sz w:val="20"/>
                <w:szCs w:val="20"/>
                <w:color w:val="auto"/>
              </w:rPr>
            </w:pPr>
            <w:r>
              <w:rPr>
                <w:rFonts w:ascii="Arial" w:cs="Arial" w:eastAsia="Arial" w:hAnsi="Arial"/>
                <w:sz w:val="18"/>
                <w:szCs w:val="18"/>
                <w:color w:val="auto"/>
              </w:rPr>
              <w:t>3 ) $</w:t>
            </w:r>
          </w:p>
        </w:tc>
        <w:tc>
          <w:tcPr>
            <w:tcW w:w="880" w:type="dxa"/>
            <w:vAlign w:val="bottom"/>
          </w:tcPr>
          <w:p>
            <w:pPr>
              <w:jc w:val="right"/>
              <w:spacing w:after="0"/>
              <w:rPr>
                <w:sz w:val="20"/>
                <w:szCs w:val="20"/>
                <w:color w:val="auto"/>
              </w:rPr>
            </w:pPr>
            <w:r>
              <w:rPr>
                <w:rFonts w:ascii="Arial" w:cs="Arial" w:eastAsia="Arial" w:hAnsi="Arial"/>
                <w:sz w:val="18"/>
                <w:szCs w:val="18"/>
                <w:color w:val="auto"/>
              </w:rPr>
              <w:t>2,478</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4</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407"/>
        </w:trPr>
        <w:tc>
          <w:tcPr>
            <w:tcW w:w="20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46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82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93"/>
              </w:rPr>
              <w:t>Accumulated</w:t>
            </w:r>
          </w:p>
        </w:tc>
        <w:tc>
          <w:tcPr>
            <w:tcW w:w="6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76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700" w:type="dxa"/>
            <w:vAlign w:val="bottom"/>
          </w:tcPr>
          <w:p>
            <w:pPr>
              <w:spacing w:after="0"/>
              <w:rPr>
                <w:sz w:val="24"/>
                <w:szCs w:val="24"/>
                <w:color w:val="auto"/>
              </w:rPr>
            </w:pPr>
          </w:p>
        </w:tc>
        <w:tc>
          <w:tcPr>
            <w:tcW w:w="180" w:type="dxa"/>
            <w:vAlign w:val="bottom"/>
          </w:tcPr>
          <w:p>
            <w:pPr>
              <w:spacing w:after="0"/>
              <w:rPr>
                <w:sz w:val="24"/>
                <w:szCs w:val="24"/>
                <w:color w:val="auto"/>
              </w:rPr>
            </w:pPr>
          </w:p>
        </w:tc>
        <w:tc>
          <w:tcPr>
            <w:tcW w:w="120" w:type="dxa"/>
            <w:vAlign w:val="bottom"/>
          </w:tcPr>
          <w:p>
            <w:pPr>
              <w:spacing w:after="0"/>
              <w:rPr>
                <w:sz w:val="24"/>
                <w:szCs w:val="24"/>
                <w:color w:val="auto"/>
              </w:rPr>
            </w:pPr>
          </w:p>
        </w:tc>
        <w:tc>
          <w:tcPr>
            <w:tcW w:w="6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72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03"/>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000" w:type="dxa"/>
            <w:vAlign w:val="bottom"/>
            <w:gridSpan w:val="2"/>
          </w:tcPr>
          <w:p>
            <w:pPr>
              <w:jc w:val="center"/>
              <w:ind w:right="340"/>
              <w:spacing w:after="0"/>
              <w:rPr>
                <w:sz w:val="20"/>
                <w:szCs w:val="20"/>
                <w:color w:val="auto"/>
              </w:rPr>
            </w:pPr>
            <w:r>
              <w:rPr>
                <w:rFonts w:ascii="Arial" w:cs="Arial" w:eastAsia="Arial" w:hAnsi="Arial"/>
                <w:sz w:val="14"/>
                <w:szCs w:val="14"/>
                <w:b w:val="1"/>
                <w:bCs w:val="1"/>
                <w:color w:val="auto"/>
                <w:w w:val="96"/>
              </w:rPr>
              <w:t>Additional</w:t>
            </w:r>
          </w:p>
        </w:tc>
        <w:tc>
          <w:tcPr>
            <w:tcW w:w="100" w:type="dxa"/>
            <w:vAlign w:val="bottom"/>
          </w:tcPr>
          <w:p>
            <w:pPr>
              <w:spacing w:after="0"/>
              <w:rPr>
                <w:sz w:val="17"/>
                <w:szCs w:val="17"/>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rPr>
              <w:t>Other</w:t>
            </w:r>
          </w:p>
        </w:tc>
        <w:tc>
          <w:tcPr>
            <w:tcW w:w="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76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14"/>
        </w:trPr>
        <w:tc>
          <w:tcPr>
            <w:tcW w:w="2080" w:type="dxa"/>
            <w:vAlign w:val="bottom"/>
          </w:tcPr>
          <w:p>
            <w:pPr>
              <w:spacing w:after="0"/>
              <w:rPr>
                <w:sz w:val="18"/>
                <w:szCs w:val="18"/>
                <w:color w:val="auto"/>
              </w:rPr>
            </w:pPr>
          </w:p>
        </w:tc>
        <w:tc>
          <w:tcPr>
            <w:tcW w:w="1480" w:type="dxa"/>
            <w:vAlign w:val="bottom"/>
            <w:tcBorders>
              <w:bottom w:val="single" w:sz="8" w:color="auto"/>
            </w:tcBorders>
            <w:gridSpan w:val="4"/>
          </w:tcPr>
          <w:p>
            <w:pPr>
              <w:jc w:val="right"/>
              <w:ind w:right="170"/>
              <w:spacing w:after="0"/>
              <w:rPr>
                <w:sz w:val="20"/>
                <w:szCs w:val="20"/>
                <w:color w:val="auto"/>
              </w:rPr>
            </w:pPr>
            <w:r>
              <w:rPr>
                <w:rFonts w:ascii="Arial" w:cs="Arial" w:eastAsia="Arial" w:hAnsi="Arial"/>
                <w:sz w:val="14"/>
                <w:szCs w:val="14"/>
                <w:b w:val="1"/>
                <w:bCs w:val="1"/>
                <w:color w:val="auto"/>
              </w:rPr>
              <w:t>Common Stock</w:t>
            </w:r>
          </w:p>
        </w:tc>
        <w:tc>
          <w:tcPr>
            <w:tcW w:w="1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100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Paid-in-</w:t>
            </w:r>
          </w:p>
        </w:tc>
        <w:tc>
          <w:tcPr>
            <w:tcW w:w="100" w:type="dxa"/>
            <w:vAlign w:val="bottom"/>
          </w:tcPr>
          <w:p>
            <w:pPr>
              <w:spacing w:after="0"/>
              <w:rPr>
                <w:sz w:val="18"/>
                <w:szCs w:val="18"/>
                <w:color w:val="auto"/>
              </w:rPr>
            </w:pPr>
          </w:p>
        </w:tc>
        <w:tc>
          <w:tcPr>
            <w:tcW w:w="1200" w:type="dxa"/>
            <w:vAlign w:val="bottom"/>
            <w:gridSpan w:val="2"/>
          </w:tcPr>
          <w:p>
            <w:pPr>
              <w:jc w:val="center"/>
              <w:ind w:right="220"/>
              <w:spacing w:after="0"/>
              <w:rPr>
                <w:sz w:val="20"/>
                <w:szCs w:val="20"/>
                <w:color w:val="auto"/>
              </w:rPr>
            </w:pPr>
            <w:r>
              <w:rPr>
                <w:rFonts w:ascii="Arial" w:cs="Arial" w:eastAsia="Arial" w:hAnsi="Arial"/>
                <w:sz w:val="14"/>
                <w:szCs w:val="14"/>
                <w:b w:val="1"/>
                <w:bCs w:val="1"/>
                <w:color w:val="auto"/>
                <w:w w:val="89"/>
              </w:rPr>
              <w:t>Comprehensive</w:t>
            </w:r>
          </w:p>
        </w:tc>
        <w:tc>
          <w:tcPr>
            <w:tcW w:w="60" w:type="dxa"/>
            <w:vAlign w:val="bottom"/>
          </w:tcPr>
          <w:p>
            <w:pPr>
              <w:spacing w:after="0"/>
              <w:rPr>
                <w:sz w:val="18"/>
                <w:szCs w:val="18"/>
                <w:color w:val="auto"/>
              </w:rPr>
            </w:pPr>
          </w:p>
        </w:tc>
        <w:tc>
          <w:tcPr>
            <w:tcW w:w="120" w:type="dxa"/>
            <w:vAlign w:val="bottom"/>
          </w:tcPr>
          <w:p>
            <w:pPr>
              <w:spacing w:after="0"/>
              <w:rPr>
                <w:sz w:val="18"/>
                <w:szCs w:val="18"/>
                <w:color w:val="auto"/>
              </w:rPr>
            </w:pPr>
          </w:p>
        </w:tc>
        <w:tc>
          <w:tcPr>
            <w:tcW w:w="940" w:type="dxa"/>
            <w:vAlign w:val="bottom"/>
            <w:gridSpan w:val="2"/>
          </w:tcPr>
          <w:p>
            <w:pPr>
              <w:jc w:val="right"/>
              <w:ind w:right="340"/>
              <w:spacing w:after="0"/>
              <w:rPr>
                <w:sz w:val="20"/>
                <w:szCs w:val="20"/>
                <w:color w:val="auto"/>
              </w:rPr>
            </w:pPr>
            <w:r>
              <w:rPr>
                <w:rFonts w:ascii="Arial" w:cs="Arial" w:eastAsia="Arial" w:hAnsi="Arial"/>
                <w:sz w:val="14"/>
                <w:szCs w:val="14"/>
                <w:b w:val="1"/>
                <w:bCs w:val="1"/>
                <w:color w:val="auto"/>
                <w:w w:val="98"/>
              </w:rPr>
              <w:t>Retained</w:t>
            </w:r>
          </w:p>
        </w:tc>
        <w:tc>
          <w:tcPr>
            <w:tcW w:w="1660" w:type="dxa"/>
            <w:vAlign w:val="bottom"/>
            <w:tcBorders>
              <w:bottom w:val="single" w:sz="8" w:color="auto"/>
            </w:tcBorders>
            <w:gridSpan w:val="4"/>
          </w:tcPr>
          <w:p>
            <w:pPr>
              <w:jc w:val="right"/>
              <w:ind w:right="272"/>
              <w:spacing w:after="0"/>
              <w:rPr>
                <w:sz w:val="20"/>
                <w:szCs w:val="20"/>
                <w:color w:val="auto"/>
              </w:rPr>
            </w:pPr>
            <w:r>
              <w:rPr>
                <w:rFonts w:ascii="Arial" w:cs="Arial" w:eastAsia="Arial" w:hAnsi="Arial"/>
                <w:sz w:val="14"/>
                <w:szCs w:val="14"/>
                <w:b w:val="1"/>
                <w:bCs w:val="1"/>
                <w:color w:val="auto"/>
              </w:rPr>
              <w:t>Treasury Stock</w:t>
            </w:r>
          </w:p>
        </w:tc>
        <w:tc>
          <w:tcPr>
            <w:tcW w:w="140" w:type="dxa"/>
            <w:vAlign w:val="bottom"/>
          </w:tcPr>
          <w:p>
            <w:pPr>
              <w:spacing w:after="0"/>
              <w:rPr>
                <w:sz w:val="18"/>
                <w:szCs w:val="18"/>
                <w:color w:val="auto"/>
              </w:rPr>
            </w:pPr>
          </w:p>
        </w:tc>
        <w:tc>
          <w:tcPr>
            <w:tcW w:w="1240" w:type="dxa"/>
            <w:vAlign w:val="bottom"/>
            <w:gridSpan w:val="3"/>
          </w:tcPr>
          <w:p>
            <w:pPr>
              <w:jc w:val="center"/>
              <w:ind w:right="160"/>
              <w:spacing w:after="0"/>
              <w:rPr>
                <w:sz w:val="20"/>
                <w:szCs w:val="20"/>
                <w:color w:val="auto"/>
              </w:rPr>
            </w:pPr>
            <w:r>
              <w:rPr>
                <w:rFonts w:ascii="Arial" w:cs="Arial" w:eastAsia="Arial" w:hAnsi="Arial"/>
                <w:sz w:val="14"/>
                <w:szCs w:val="14"/>
                <w:b w:val="1"/>
                <w:bCs w:val="1"/>
                <w:color w:val="auto"/>
                <w:w w:val="92"/>
              </w:rPr>
              <w:t>Noncontrolling</w:t>
            </w:r>
          </w:p>
        </w:tc>
        <w:tc>
          <w:tcPr>
            <w:tcW w:w="140" w:type="dxa"/>
            <w:vAlign w:val="bottom"/>
          </w:tcPr>
          <w:p>
            <w:pPr>
              <w:spacing w:after="0"/>
              <w:rPr>
                <w:sz w:val="18"/>
                <w:szCs w:val="18"/>
                <w:color w:val="auto"/>
              </w:rPr>
            </w:pPr>
          </w:p>
        </w:tc>
        <w:tc>
          <w:tcPr>
            <w:tcW w:w="720" w:type="dxa"/>
            <w:vAlign w:val="bottom"/>
          </w:tcPr>
          <w:p>
            <w:pPr>
              <w:spacing w:after="0"/>
              <w:rPr>
                <w:sz w:val="18"/>
                <w:szCs w:val="18"/>
                <w:color w:val="auto"/>
              </w:rPr>
            </w:pPr>
          </w:p>
        </w:tc>
        <w:tc>
          <w:tcPr>
            <w:tcW w:w="80" w:type="dxa"/>
            <w:vAlign w:val="bottom"/>
          </w:tcPr>
          <w:p>
            <w:pPr>
              <w:spacing w:after="0"/>
              <w:rPr>
                <w:sz w:val="18"/>
                <w:szCs w:val="18"/>
                <w:color w:val="auto"/>
              </w:rPr>
            </w:pPr>
          </w:p>
        </w:tc>
        <w:tc>
          <w:tcPr>
            <w:tcW w:w="0" w:type="dxa"/>
            <w:vAlign w:val="bottom"/>
          </w:tcPr>
          <w:p>
            <w:pPr>
              <w:spacing w:after="0"/>
              <w:rPr>
                <w:sz w:val="1"/>
                <w:szCs w:val="1"/>
                <w:color w:val="auto"/>
              </w:rPr>
            </w:pPr>
          </w:p>
        </w:tc>
      </w:tr>
      <w:tr>
        <w:trPr>
          <w:trHeight w:val="190"/>
        </w:trPr>
        <w:tc>
          <w:tcPr>
            <w:tcW w:w="2080" w:type="dxa"/>
            <w:vAlign w:val="bottom"/>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60" w:type="dxa"/>
            <w:vAlign w:val="bottom"/>
          </w:tcPr>
          <w:p>
            <w:pPr>
              <w:spacing w:after="0"/>
              <w:rPr>
                <w:sz w:val="16"/>
                <w:szCs w:val="16"/>
                <w:color w:val="auto"/>
              </w:rPr>
            </w:pPr>
          </w:p>
        </w:tc>
        <w:tc>
          <w:tcPr>
            <w:tcW w:w="620" w:type="dxa"/>
            <w:vAlign w:val="bottom"/>
            <w:tcBorders>
              <w:bottom w:val="single" w:sz="8" w:color="auto"/>
            </w:tcBorders>
            <w:gridSpan w:val="2"/>
          </w:tcPr>
          <w:p>
            <w:pPr>
              <w:jc w:val="right"/>
              <w:spacing w:after="0"/>
              <w:rPr>
                <w:sz w:val="20"/>
                <w:szCs w:val="20"/>
                <w:color w:val="auto"/>
              </w:rPr>
            </w:pPr>
            <w:r>
              <w:rPr>
                <w:rFonts w:ascii="Arial" w:cs="Arial" w:eastAsia="Arial" w:hAnsi="Arial"/>
                <w:sz w:val="14"/>
                <w:szCs w:val="14"/>
                <w:b w:val="1"/>
                <w:bCs w:val="1"/>
                <w:color w:val="auto"/>
              </w:rPr>
              <w:t>Amount</w:t>
            </w:r>
          </w:p>
        </w:tc>
        <w:tc>
          <w:tcPr>
            <w:tcW w:w="1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820" w:type="dxa"/>
            <w:vAlign w:val="bottom"/>
            <w:tcBorders>
              <w:bottom w:val="single" w:sz="8" w:color="auto"/>
            </w:tcBorders>
          </w:tcPr>
          <w:p>
            <w:pPr>
              <w:jc w:val="center"/>
              <w:ind w:right="35"/>
              <w:spacing w:after="0"/>
              <w:rPr>
                <w:sz w:val="20"/>
                <w:szCs w:val="20"/>
                <w:color w:val="auto"/>
              </w:rPr>
            </w:pPr>
            <w:r>
              <w:rPr>
                <w:rFonts w:ascii="Arial" w:cs="Arial" w:eastAsia="Arial" w:hAnsi="Arial"/>
                <w:sz w:val="14"/>
                <w:szCs w:val="14"/>
                <w:b w:val="1"/>
                <w:bCs w:val="1"/>
                <w:color w:val="auto"/>
                <w:w w:val="98"/>
              </w:rPr>
              <w:t>Capital</w:t>
            </w:r>
          </w:p>
        </w:tc>
        <w:tc>
          <w:tcPr>
            <w:tcW w:w="180" w:type="dxa"/>
            <w:vAlign w:val="bottom"/>
          </w:tcPr>
          <w:p>
            <w:pPr>
              <w:spacing w:after="0"/>
              <w:rPr>
                <w:sz w:val="16"/>
                <w:szCs w:val="16"/>
                <w:color w:val="auto"/>
              </w:rPr>
            </w:pPr>
          </w:p>
        </w:tc>
        <w:tc>
          <w:tcPr>
            <w:tcW w:w="10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ind w:right="16"/>
              <w:spacing w:after="0"/>
              <w:rPr>
                <w:sz w:val="20"/>
                <w:szCs w:val="20"/>
                <w:color w:val="auto"/>
              </w:rPr>
            </w:pPr>
            <w:r>
              <w:rPr>
                <w:rFonts w:ascii="Arial" w:cs="Arial" w:eastAsia="Arial" w:hAnsi="Arial"/>
                <w:sz w:val="14"/>
                <w:szCs w:val="14"/>
                <w:b w:val="1"/>
                <w:bCs w:val="1"/>
                <w:color w:val="auto"/>
                <w:w w:val="93"/>
              </w:rPr>
              <w:t>Income, Net</w:t>
            </w:r>
          </w:p>
        </w:tc>
        <w:tc>
          <w:tcPr>
            <w:tcW w:w="12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760" w:type="dxa"/>
            <w:vAlign w:val="bottom"/>
            <w:tcBorders>
              <w:bottom w:val="single" w:sz="8" w:color="auto"/>
            </w:tcBorders>
          </w:tcPr>
          <w:p>
            <w:pPr>
              <w:jc w:val="right"/>
              <w:ind w:right="73"/>
              <w:spacing w:after="0"/>
              <w:rPr>
                <w:sz w:val="20"/>
                <w:szCs w:val="20"/>
                <w:color w:val="auto"/>
              </w:rPr>
            </w:pPr>
            <w:r>
              <w:rPr>
                <w:rFonts w:ascii="Arial" w:cs="Arial" w:eastAsia="Arial" w:hAnsi="Arial"/>
                <w:sz w:val="14"/>
                <w:szCs w:val="14"/>
                <w:b w:val="1"/>
                <w:bCs w:val="1"/>
                <w:color w:val="auto"/>
                <w:w w:val="96"/>
              </w:rPr>
              <w:t>Earnings</w:t>
            </w:r>
          </w:p>
        </w:tc>
        <w:tc>
          <w:tcPr>
            <w:tcW w:w="180" w:type="dxa"/>
            <w:vAlign w:val="bottom"/>
          </w:tcPr>
          <w:p>
            <w:pPr>
              <w:spacing w:after="0"/>
              <w:rPr>
                <w:sz w:val="16"/>
                <w:szCs w:val="16"/>
                <w:color w:val="auto"/>
              </w:rPr>
            </w:pPr>
          </w:p>
        </w:tc>
        <w:tc>
          <w:tcPr>
            <w:tcW w:w="700" w:type="dxa"/>
            <w:vAlign w:val="bottom"/>
            <w:tcBorders>
              <w:bottom w:val="single" w:sz="8" w:color="auto"/>
            </w:tcBorders>
          </w:tcPr>
          <w:p>
            <w:pPr>
              <w:jc w:val="right"/>
              <w:ind w:right="54"/>
              <w:spacing w:after="0"/>
              <w:rPr>
                <w:sz w:val="20"/>
                <w:szCs w:val="20"/>
                <w:color w:val="auto"/>
              </w:rPr>
            </w:pPr>
            <w:r>
              <w:rPr>
                <w:rFonts w:ascii="Arial" w:cs="Arial" w:eastAsia="Arial" w:hAnsi="Arial"/>
                <w:sz w:val="14"/>
                <w:szCs w:val="14"/>
                <w:b w:val="1"/>
                <w:bCs w:val="1"/>
                <w:color w:val="auto"/>
              </w:rPr>
              <w:t>Shares</w:t>
            </w:r>
          </w:p>
        </w:tc>
        <w:tc>
          <w:tcPr>
            <w:tcW w:w="180" w:type="dxa"/>
            <w:vAlign w:val="bottom"/>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jc w:val="right"/>
              <w:ind w:right="52"/>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jc w:val="center"/>
              <w:ind w:right="92"/>
              <w:spacing w:after="0"/>
              <w:rPr>
                <w:sz w:val="20"/>
                <w:szCs w:val="20"/>
                <w:color w:val="auto"/>
              </w:rPr>
            </w:pPr>
            <w:r>
              <w:rPr>
                <w:rFonts w:ascii="Arial" w:cs="Arial" w:eastAsia="Arial" w:hAnsi="Arial"/>
                <w:sz w:val="14"/>
                <w:szCs w:val="14"/>
                <w:b w:val="1"/>
                <w:bCs w:val="1"/>
                <w:color w:val="auto"/>
                <w:w w:val="92"/>
              </w:rPr>
              <w:t>Interests</w:t>
            </w:r>
          </w:p>
        </w:tc>
        <w:tc>
          <w:tcPr>
            <w:tcW w:w="160" w:type="dxa"/>
            <w:vAlign w:val="bottom"/>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720" w:type="dxa"/>
            <w:vAlign w:val="bottom"/>
            <w:tcBorders>
              <w:bottom w:val="single" w:sz="8" w:color="auto"/>
            </w:tcBorders>
          </w:tcPr>
          <w:p>
            <w:pPr>
              <w:jc w:val="right"/>
              <w:ind w:right="192"/>
              <w:spacing w:after="0"/>
              <w:rPr>
                <w:sz w:val="20"/>
                <w:szCs w:val="20"/>
                <w:color w:val="auto"/>
              </w:rPr>
            </w:pPr>
            <w:r>
              <w:rPr>
                <w:rFonts w:ascii="Arial" w:cs="Arial" w:eastAsia="Arial" w:hAnsi="Arial"/>
                <w:sz w:val="14"/>
                <w:szCs w:val="14"/>
                <w:b w:val="1"/>
                <w:bCs w:val="1"/>
                <w:color w:val="auto"/>
              </w:rPr>
              <w:t>Total</w:t>
            </w:r>
          </w:p>
        </w:tc>
        <w:tc>
          <w:tcPr>
            <w:tcW w:w="8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2080" w:type="dxa"/>
            <w:vAlign w:val="bottom"/>
          </w:tcPr>
          <w:p>
            <w:pPr>
              <w:spacing w:after="0"/>
              <w:rPr>
                <w:sz w:val="17"/>
                <w:szCs w:val="17"/>
                <w:color w:val="auto"/>
              </w:rPr>
            </w:pPr>
          </w:p>
        </w:tc>
        <w:tc>
          <w:tcPr>
            <w:tcW w:w="70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46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82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00" w:type="dxa"/>
            <w:vAlign w:val="bottom"/>
          </w:tcPr>
          <w:p>
            <w:pPr>
              <w:spacing w:after="0"/>
              <w:rPr>
                <w:sz w:val="17"/>
                <w:szCs w:val="17"/>
                <w:color w:val="auto"/>
              </w:rPr>
            </w:pPr>
          </w:p>
        </w:tc>
        <w:tc>
          <w:tcPr>
            <w:tcW w:w="10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1120" w:type="dxa"/>
            <w:vAlign w:val="bottom"/>
            <w:gridSpan w:val="4"/>
          </w:tcPr>
          <w:p>
            <w:pPr>
              <w:ind w:left="40"/>
              <w:spacing w:after="0"/>
              <w:rPr>
                <w:sz w:val="20"/>
                <w:szCs w:val="20"/>
                <w:color w:val="auto"/>
              </w:rPr>
            </w:pPr>
            <w:r>
              <w:rPr>
                <w:rFonts w:ascii="Arial" w:cs="Arial" w:eastAsia="Arial" w:hAnsi="Arial"/>
                <w:sz w:val="14"/>
                <w:szCs w:val="14"/>
                <w:b w:val="1"/>
                <w:bCs w:val="1"/>
                <w:color w:val="auto"/>
              </w:rPr>
              <w:t>(in thousands)</w:t>
            </w:r>
          </w:p>
        </w:tc>
        <w:tc>
          <w:tcPr>
            <w:tcW w:w="700" w:type="dxa"/>
            <w:vAlign w:val="bottom"/>
          </w:tcPr>
          <w:p>
            <w:pPr>
              <w:spacing w:after="0"/>
              <w:rPr>
                <w:sz w:val="17"/>
                <w:szCs w:val="17"/>
                <w:color w:val="auto"/>
              </w:rPr>
            </w:pPr>
          </w:p>
        </w:tc>
        <w:tc>
          <w:tcPr>
            <w:tcW w:w="180" w:type="dxa"/>
            <w:vAlign w:val="bottom"/>
          </w:tcPr>
          <w:p>
            <w:pPr>
              <w:spacing w:after="0"/>
              <w:rPr>
                <w:sz w:val="17"/>
                <w:szCs w:val="17"/>
                <w:color w:val="auto"/>
              </w:rPr>
            </w:pPr>
          </w:p>
        </w:tc>
        <w:tc>
          <w:tcPr>
            <w:tcW w:w="120" w:type="dxa"/>
            <w:vAlign w:val="bottom"/>
          </w:tcPr>
          <w:p>
            <w:pPr>
              <w:spacing w:after="0"/>
              <w:rPr>
                <w:sz w:val="17"/>
                <w:szCs w:val="17"/>
                <w:color w:val="auto"/>
              </w:rPr>
            </w:pPr>
          </w:p>
        </w:tc>
        <w:tc>
          <w:tcPr>
            <w:tcW w:w="6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200" w:type="dxa"/>
            <w:vAlign w:val="bottom"/>
          </w:tcPr>
          <w:p>
            <w:pPr>
              <w:spacing w:after="0"/>
              <w:rPr>
                <w:sz w:val="17"/>
                <w:szCs w:val="17"/>
                <w:color w:val="auto"/>
              </w:rPr>
            </w:pPr>
          </w:p>
        </w:tc>
        <w:tc>
          <w:tcPr>
            <w:tcW w:w="880" w:type="dxa"/>
            <w:vAlign w:val="bottom"/>
          </w:tcPr>
          <w:p>
            <w:pPr>
              <w:spacing w:after="0"/>
              <w:rPr>
                <w:sz w:val="17"/>
                <w:szCs w:val="17"/>
                <w:color w:val="auto"/>
              </w:rPr>
            </w:pPr>
          </w:p>
        </w:tc>
        <w:tc>
          <w:tcPr>
            <w:tcW w:w="160" w:type="dxa"/>
            <w:vAlign w:val="bottom"/>
          </w:tcPr>
          <w:p>
            <w:pPr>
              <w:spacing w:after="0"/>
              <w:rPr>
                <w:sz w:val="17"/>
                <w:szCs w:val="17"/>
                <w:color w:val="auto"/>
              </w:rPr>
            </w:pPr>
          </w:p>
        </w:tc>
        <w:tc>
          <w:tcPr>
            <w:tcW w:w="140" w:type="dxa"/>
            <w:vAlign w:val="bottom"/>
          </w:tcPr>
          <w:p>
            <w:pPr>
              <w:spacing w:after="0"/>
              <w:rPr>
                <w:sz w:val="17"/>
                <w:szCs w:val="17"/>
                <w:color w:val="auto"/>
              </w:rPr>
            </w:pPr>
          </w:p>
        </w:tc>
        <w:tc>
          <w:tcPr>
            <w:tcW w:w="720" w:type="dxa"/>
            <w:vAlign w:val="bottom"/>
          </w:tcPr>
          <w:p>
            <w:pPr>
              <w:spacing w:after="0"/>
              <w:rPr>
                <w:sz w:val="17"/>
                <w:szCs w:val="17"/>
                <w:color w:val="auto"/>
              </w:rPr>
            </w:pPr>
          </w:p>
        </w:tc>
        <w:tc>
          <w:tcPr>
            <w:tcW w:w="8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48"/>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2,865,93</w:t>
            </w: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(301,96</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6"/>
              </w:rPr>
              <w:t>3,371,59</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2019</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65,472</w:t>
            </w:r>
          </w:p>
        </w:tc>
        <w:tc>
          <w:tcPr>
            <w:tcW w:w="3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3"/>
              </w:rPr>
              <w:t>6,547</w:t>
            </w:r>
          </w:p>
        </w:tc>
        <w:tc>
          <w:tcPr>
            <w:tcW w:w="2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835,899</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shd w:val="clear" w:color="auto" w:fill="CFF0FC"/>
          </w:tcPr>
          <w:p>
            <w:pPr>
              <w:jc w:val="right"/>
              <w:ind w:right="60"/>
              <w:spacing w:after="0"/>
              <w:rPr>
                <w:sz w:val="20"/>
                <w:szCs w:val="20"/>
                <w:color w:val="auto"/>
              </w:rPr>
            </w:pPr>
            <w:r>
              <w:rPr>
                <w:rFonts w:ascii="Arial" w:cs="Arial" w:eastAsia="Arial" w:hAnsi="Arial"/>
                <w:sz w:val="18"/>
                <w:szCs w:val="18"/>
                <w:color w:val="auto"/>
              </w:rPr>
              <w:t>(37,799 )</w:t>
            </w:r>
          </w:p>
        </w:tc>
        <w:tc>
          <w:tcPr>
            <w:tcW w:w="180" w:type="dxa"/>
            <w:vAlign w:val="bottom"/>
            <w:gridSpan w:val="2"/>
            <w:shd w:val="clear" w:color="auto" w:fill="CFF0FC"/>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w:t>
            </w:r>
          </w:p>
        </w:tc>
        <w:tc>
          <w:tcPr>
            <w:tcW w:w="180" w:type="dxa"/>
            <w:vAlign w:val="bottom"/>
            <w:shd w:val="clear" w:color="auto" w:fill="CFF0FC"/>
          </w:tcPr>
          <w:p>
            <w:pPr>
              <w:spacing w:after="0"/>
              <w:rPr>
                <w:sz w:val="21"/>
                <w:szCs w:val="21"/>
                <w:color w:val="auto"/>
              </w:rPr>
            </w:pPr>
          </w:p>
        </w:tc>
        <w:tc>
          <w:tcPr>
            <w:tcW w:w="88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(5,513 )</w:t>
            </w: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shd w:val="clear" w:color="auto" w:fill="CFF0FC"/>
          </w:tcPr>
          <w:p>
            <w:pPr>
              <w:jc w:val="right"/>
              <w:ind w:right="8"/>
              <w:spacing w:after="0"/>
              <w:rPr>
                <w:sz w:val="20"/>
                <w:szCs w:val="20"/>
                <w:color w:val="auto"/>
              </w:rPr>
            </w:pPr>
            <w:r>
              <w:rPr>
                <w:rFonts w:ascii="Arial" w:cs="Arial" w:eastAsia="Arial" w:hAnsi="Arial"/>
                <w:sz w:val="18"/>
                <w:szCs w:val="18"/>
                <w:color w:val="auto"/>
              </w:rPr>
              <w:t>3 ) $</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2,969</w:t>
            </w: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2080" w:type="dxa"/>
            <w:vAlign w:val="bottom"/>
          </w:tcPr>
          <w:p>
            <w:pPr>
              <w:ind w:left="200"/>
              <w:spacing w:after="0"/>
              <w:rPr>
                <w:sz w:val="20"/>
                <w:szCs w:val="20"/>
                <w:color w:val="auto"/>
              </w:rPr>
            </w:pPr>
            <w:r>
              <w:rPr>
                <w:rFonts w:ascii="Arial" w:cs="Arial" w:eastAsia="Arial" w:hAnsi="Arial"/>
                <w:sz w:val="18"/>
                <w:szCs w:val="18"/>
                <w:color w:val="auto"/>
              </w:rPr>
              <w:t>Stock option exercises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26</w:t>
            </w: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tcPr>
          <w:p>
            <w:pPr>
              <w:jc w:val="right"/>
              <w:spacing w:after="0"/>
              <w:rPr>
                <w:sz w:val="20"/>
                <w:szCs w:val="20"/>
                <w:color w:val="auto"/>
              </w:rPr>
            </w:pPr>
            <w:r>
              <w:rPr>
                <w:rFonts w:ascii="Arial" w:cs="Arial" w:eastAsia="Arial" w:hAnsi="Arial"/>
                <w:sz w:val="18"/>
                <w:szCs w:val="18"/>
                <w:color w:val="auto"/>
              </w:rPr>
              <w:t>15</w:t>
            </w: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jc w:val="right"/>
              <w:spacing w:after="0"/>
              <w:rPr>
                <w:sz w:val="20"/>
                <w:szCs w:val="20"/>
                <w:color w:val="auto"/>
              </w:rPr>
            </w:pPr>
            <w:r>
              <w:rPr>
                <w:rFonts w:ascii="Arial" w:cs="Arial" w:eastAsia="Arial" w:hAnsi="Arial"/>
                <w:sz w:val="18"/>
                <w:szCs w:val="18"/>
                <w:color w:val="auto"/>
              </w:rPr>
              <w:t>327</w:t>
            </w: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720" w:type="dxa"/>
            <w:vAlign w:val="bottom"/>
          </w:tcPr>
          <w:p>
            <w:pPr>
              <w:jc w:val="right"/>
              <w:spacing w:after="0"/>
              <w:rPr>
                <w:sz w:val="20"/>
                <w:szCs w:val="20"/>
                <w:color w:val="auto"/>
              </w:rPr>
            </w:pPr>
            <w:r>
              <w:rPr>
                <w:rFonts w:ascii="Arial" w:cs="Arial" w:eastAsia="Arial" w:hAnsi="Arial"/>
                <w:sz w:val="18"/>
                <w:szCs w:val="18"/>
                <w:color w:val="auto"/>
              </w:rPr>
              <w:t>353</w:t>
            </w: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Issuance of stock for</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equity awards, net of</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forfeitures</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(5,690 )</w:t>
            </w: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103</w:t>
            </w: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5,690</w:t>
            </w: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rPr>
              <w:t>Tax withholdings on</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equity award vesting</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(39 )</w:t>
            </w:r>
          </w:p>
        </w:tc>
        <w:tc>
          <w:tcPr>
            <w:tcW w:w="120" w:type="dxa"/>
            <w:vAlign w:val="bottom"/>
          </w:tcPr>
          <w:p>
            <w:pPr>
              <w:spacing w:after="0"/>
              <w:rPr>
                <w:sz w:val="20"/>
                <w:szCs w:val="20"/>
                <w:color w:val="auto"/>
              </w:rPr>
            </w:pPr>
          </w:p>
        </w:tc>
        <w:tc>
          <w:tcPr>
            <w:tcW w:w="800" w:type="dxa"/>
            <w:vAlign w:val="bottom"/>
            <w:gridSpan w:val="2"/>
          </w:tcPr>
          <w:p>
            <w:pPr>
              <w:jc w:val="right"/>
              <w:ind w:right="60"/>
              <w:spacing w:after="0"/>
              <w:rPr>
                <w:sz w:val="20"/>
                <w:szCs w:val="20"/>
                <w:color w:val="auto"/>
              </w:rPr>
            </w:pPr>
            <w:r>
              <w:rPr>
                <w:rFonts w:ascii="Arial" w:cs="Arial" w:eastAsia="Arial" w:hAnsi="Arial"/>
                <w:sz w:val="18"/>
                <w:szCs w:val="18"/>
                <w:color w:val="auto"/>
              </w:rPr>
              <w:t>(3,193 )</w:t>
            </w:r>
          </w:p>
        </w:tc>
        <w:tc>
          <w:tcPr>
            <w:tcW w:w="200" w:type="dxa"/>
            <w:vAlign w:val="bottom"/>
          </w:tcPr>
          <w:p>
            <w:pPr>
              <w:spacing w:after="0"/>
              <w:rPr>
                <w:sz w:val="20"/>
                <w:szCs w:val="20"/>
                <w:color w:val="auto"/>
              </w:rPr>
            </w:pPr>
          </w:p>
        </w:tc>
        <w:tc>
          <w:tcPr>
            <w:tcW w:w="104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rPr>
              <w:t>(3,193 )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2"/>
              </w:rPr>
              <w:t>Amortization of unearned</w:t>
            </w:r>
          </w:p>
        </w:tc>
        <w:tc>
          <w:tcPr>
            <w:tcW w:w="7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0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76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700" w:type="dxa"/>
            <w:vAlign w:val="bottom"/>
            <w:shd w:val="clear" w:color="auto" w:fill="CFF0FC"/>
          </w:tcPr>
          <w:p>
            <w:pPr>
              <w:spacing w:after="0"/>
              <w:rPr>
                <w:sz w:val="21"/>
                <w:szCs w:val="21"/>
                <w:color w:val="auto"/>
              </w:rPr>
            </w:pPr>
          </w:p>
        </w:tc>
        <w:tc>
          <w:tcPr>
            <w:tcW w:w="18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6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00" w:type="dxa"/>
            <w:vAlign w:val="bottom"/>
            <w:shd w:val="clear" w:color="auto" w:fill="CFF0FC"/>
          </w:tcPr>
          <w:p>
            <w:pPr>
              <w:spacing w:after="0"/>
              <w:rPr>
                <w:sz w:val="21"/>
                <w:szCs w:val="21"/>
                <w:color w:val="auto"/>
              </w:rPr>
            </w:pPr>
          </w:p>
        </w:tc>
        <w:tc>
          <w:tcPr>
            <w:tcW w:w="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spacing w:after="0"/>
              <w:rPr>
                <w:sz w:val="21"/>
                <w:szCs w:val="21"/>
                <w:color w:val="auto"/>
              </w:rPr>
            </w:pP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share-based</w:t>
            </w:r>
          </w:p>
        </w:tc>
        <w:tc>
          <w:tcPr>
            <w:tcW w:w="7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82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00" w:type="dxa"/>
            <w:vAlign w:val="bottom"/>
            <w:shd w:val="clear" w:color="auto" w:fill="CFF0FC"/>
          </w:tcPr>
          <w:p>
            <w:pPr>
              <w:spacing w:after="0"/>
              <w:rPr>
                <w:sz w:val="19"/>
                <w:szCs w:val="19"/>
                <w:color w:val="auto"/>
              </w:rPr>
            </w:pPr>
          </w:p>
        </w:tc>
        <w:tc>
          <w:tcPr>
            <w:tcW w:w="10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76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700" w:type="dxa"/>
            <w:vAlign w:val="bottom"/>
            <w:shd w:val="clear" w:color="auto" w:fill="CFF0FC"/>
          </w:tcPr>
          <w:p>
            <w:pPr>
              <w:spacing w:after="0"/>
              <w:rPr>
                <w:sz w:val="19"/>
                <w:szCs w:val="19"/>
                <w:color w:val="auto"/>
              </w:rPr>
            </w:pPr>
          </w:p>
        </w:tc>
        <w:tc>
          <w:tcPr>
            <w:tcW w:w="180" w:type="dxa"/>
            <w:vAlign w:val="bottom"/>
            <w:shd w:val="clear" w:color="auto" w:fill="CFF0FC"/>
          </w:tcPr>
          <w:p>
            <w:pPr>
              <w:spacing w:after="0"/>
              <w:rPr>
                <w:sz w:val="19"/>
                <w:szCs w:val="19"/>
                <w:color w:val="auto"/>
              </w:rPr>
            </w:pPr>
          </w:p>
        </w:tc>
        <w:tc>
          <w:tcPr>
            <w:tcW w:w="120" w:type="dxa"/>
            <w:vAlign w:val="bottom"/>
            <w:shd w:val="clear" w:color="auto" w:fill="CFF0FC"/>
          </w:tcPr>
          <w:p>
            <w:pPr>
              <w:spacing w:after="0"/>
              <w:rPr>
                <w:sz w:val="19"/>
                <w:szCs w:val="19"/>
                <w:color w:val="auto"/>
              </w:rPr>
            </w:pPr>
          </w:p>
        </w:tc>
        <w:tc>
          <w:tcPr>
            <w:tcW w:w="6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200" w:type="dxa"/>
            <w:vAlign w:val="bottom"/>
            <w:shd w:val="clear" w:color="auto" w:fill="CFF0FC"/>
          </w:tcPr>
          <w:p>
            <w:pPr>
              <w:spacing w:after="0"/>
              <w:rPr>
                <w:sz w:val="19"/>
                <w:szCs w:val="19"/>
                <w:color w:val="auto"/>
              </w:rPr>
            </w:pPr>
          </w:p>
        </w:tc>
        <w:tc>
          <w:tcPr>
            <w:tcW w:w="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720" w:type="dxa"/>
            <w:vAlign w:val="bottom"/>
            <w:shd w:val="clear" w:color="auto" w:fill="CFF0FC"/>
          </w:tcPr>
          <w:p>
            <w:pPr>
              <w:spacing w:after="0"/>
              <w:rPr>
                <w:sz w:val="19"/>
                <w:szCs w:val="19"/>
                <w:color w:val="auto"/>
              </w:rPr>
            </w:pPr>
          </w:p>
        </w:tc>
        <w:tc>
          <w:tcPr>
            <w:tcW w:w="80" w:type="dxa"/>
            <w:vAlign w:val="bottom"/>
            <w:shd w:val="clear" w:color="auto" w:fill="CFF0FC"/>
          </w:tcPr>
          <w:p>
            <w:pPr>
              <w:spacing w:after="0"/>
              <w:rPr>
                <w:sz w:val="19"/>
                <w:szCs w:val="19"/>
                <w:color w:val="auto"/>
              </w:rPr>
            </w:pPr>
          </w:p>
        </w:tc>
        <w:tc>
          <w:tcPr>
            <w:tcW w:w="0" w:type="dxa"/>
            <w:vAlign w:val="bottom"/>
          </w:tcPr>
          <w:p>
            <w:pPr>
              <w:spacing w:after="0"/>
              <w:rPr>
                <w:sz w:val="1"/>
                <w:szCs w:val="1"/>
                <w:color w:val="auto"/>
              </w:rPr>
            </w:pPr>
          </w:p>
        </w:tc>
      </w:tr>
      <w:tr>
        <w:trPr>
          <w:trHeight w:val="244"/>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compensation</w:t>
            </w:r>
          </w:p>
        </w:tc>
        <w:tc>
          <w:tcPr>
            <w:tcW w:w="7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12,066</w:t>
            </w:r>
          </w:p>
        </w:tc>
        <w:tc>
          <w:tcPr>
            <w:tcW w:w="18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120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40" w:type="dxa"/>
            <w:vAlign w:val="bottom"/>
            <w:shd w:val="clear" w:color="auto" w:fill="CFF0FC"/>
          </w:tcPr>
          <w:p>
            <w:pPr>
              <w:spacing w:after="0"/>
              <w:rPr>
                <w:sz w:val="21"/>
                <w:szCs w:val="21"/>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12,066</w:t>
            </w:r>
          </w:p>
        </w:tc>
        <w:tc>
          <w:tcPr>
            <w:tcW w:w="8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2080" w:type="dxa"/>
            <w:vAlign w:val="bottom"/>
          </w:tcPr>
          <w:p>
            <w:pPr>
              <w:ind w:left="200"/>
              <w:spacing w:after="0"/>
              <w:rPr>
                <w:sz w:val="20"/>
                <w:szCs w:val="20"/>
                <w:color w:val="auto"/>
              </w:rPr>
            </w:pPr>
            <w:r>
              <w:rPr>
                <w:rFonts w:ascii="Arial" w:cs="Arial" w:eastAsia="Arial" w:hAnsi="Arial"/>
                <w:sz w:val="18"/>
                <w:szCs w:val="18"/>
                <w:color w:val="auto"/>
                <w:w w:val="88"/>
              </w:rPr>
              <w:t>Total comprehensive loss,</w:t>
            </w:r>
          </w:p>
        </w:tc>
        <w:tc>
          <w:tcPr>
            <w:tcW w:w="70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4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10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700" w:type="dxa"/>
            <w:vAlign w:val="bottom"/>
          </w:tcPr>
          <w:p>
            <w:pPr>
              <w:spacing w:after="0"/>
              <w:rPr>
                <w:sz w:val="21"/>
                <w:szCs w:val="21"/>
                <w:color w:val="auto"/>
              </w:rPr>
            </w:pPr>
          </w:p>
        </w:tc>
        <w:tc>
          <w:tcPr>
            <w:tcW w:w="18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6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0"/>
              <w:spacing w:after="0"/>
              <w:rPr>
                <w:sz w:val="20"/>
                <w:szCs w:val="20"/>
                <w:color w:val="auto"/>
              </w:rPr>
            </w:pPr>
            <w:r>
              <w:rPr>
                <w:rFonts w:ascii="Arial" w:cs="Arial" w:eastAsia="Arial" w:hAnsi="Arial"/>
                <w:sz w:val="18"/>
                <w:szCs w:val="18"/>
                <w:color w:val="auto"/>
              </w:rPr>
              <w:t>net of taxes</w:t>
            </w:r>
          </w:p>
        </w:tc>
        <w:tc>
          <w:tcPr>
            <w:tcW w:w="70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460" w:type="dxa"/>
            <w:vAlign w:val="bottom"/>
          </w:tcPr>
          <w:p>
            <w:pPr>
              <w:jc w:val="right"/>
              <w:spacing w:after="0"/>
              <w:rPr>
                <w:sz w:val="20"/>
                <w:szCs w:val="20"/>
                <w:color w:val="auto"/>
              </w:rPr>
            </w:pPr>
            <w:r>
              <w:rPr>
                <w:rFonts w:ascii="Arial" w:cs="Arial" w:eastAsia="Arial" w:hAnsi="Arial"/>
                <w:sz w:val="18"/>
                <w:szCs w:val="18"/>
                <w:color w:val="auto"/>
              </w:rPr>
              <w:t>—</w:t>
            </w:r>
          </w:p>
        </w:tc>
        <w:tc>
          <w:tcPr>
            <w:tcW w:w="1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1000" w:type="dxa"/>
            <w:vAlign w:val="bottom"/>
            <w:gridSpan w:val="2"/>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0"/>
                <w:szCs w:val="20"/>
                <w:color w:val="auto"/>
              </w:rPr>
            </w:pP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(7,836 )</w:t>
            </w:r>
          </w:p>
        </w:tc>
        <w:tc>
          <w:tcPr>
            <w:tcW w:w="60" w:type="dxa"/>
            <w:vAlign w:val="bottom"/>
          </w:tcPr>
          <w:p>
            <w:pPr>
              <w:spacing w:after="0"/>
              <w:rPr>
                <w:sz w:val="20"/>
                <w:szCs w:val="20"/>
                <w:color w:val="auto"/>
              </w:rPr>
            </w:pPr>
          </w:p>
        </w:tc>
        <w:tc>
          <w:tcPr>
            <w:tcW w:w="120" w:type="dxa"/>
            <w:vAlign w:val="bottom"/>
          </w:tcPr>
          <w:p>
            <w:pPr>
              <w:spacing w:after="0"/>
              <w:rPr>
                <w:sz w:val="20"/>
                <w:szCs w:val="20"/>
                <w:color w:val="auto"/>
              </w:rPr>
            </w:pPr>
          </w:p>
        </w:tc>
        <w:tc>
          <w:tcPr>
            <w:tcW w:w="940" w:type="dxa"/>
            <w:vAlign w:val="bottom"/>
            <w:gridSpan w:val="2"/>
          </w:tcPr>
          <w:p>
            <w:pPr>
              <w:jc w:val="right"/>
              <w:ind w:right="100"/>
              <w:spacing w:after="0"/>
              <w:rPr>
                <w:sz w:val="20"/>
                <w:szCs w:val="20"/>
                <w:color w:val="auto"/>
              </w:rPr>
            </w:pPr>
            <w:r>
              <w:rPr>
                <w:rFonts w:ascii="Arial" w:cs="Arial" w:eastAsia="Arial" w:hAnsi="Arial"/>
                <w:sz w:val="18"/>
                <w:szCs w:val="18"/>
                <w:color w:val="auto"/>
                <w:w w:val="99"/>
              </w:rPr>
              <w:t>(294,750 )</w:t>
            </w:r>
          </w:p>
        </w:tc>
        <w:tc>
          <w:tcPr>
            <w:tcW w:w="880" w:type="dxa"/>
            <w:vAlign w:val="bottom"/>
            <w:gridSpan w:val="2"/>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tcPr>
          <w:p>
            <w:pPr>
              <w:spacing w:after="0"/>
              <w:rPr>
                <w:sz w:val="20"/>
                <w:szCs w:val="20"/>
                <w:color w:val="auto"/>
              </w:rPr>
            </w:pPr>
          </w:p>
        </w:tc>
        <w:tc>
          <w:tcPr>
            <w:tcW w:w="80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0"/>
                <w:szCs w:val="20"/>
                <w:color w:val="auto"/>
              </w:rPr>
            </w:pPr>
          </w:p>
        </w:tc>
        <w:tc>
          <w:tcPr>
            <w:tcW w:w="880" w:type="dxa"/>
            <w:vAlign w:val="bottom"/>
          </w:tcPr>
          <w:p>
            <w:pPr>
              <w:jc w:val="right"/>
              <w:spacing w:after="0"/>
              <w:rPr>
                <w:sz w:val="20"/>
                <w:szCs w:val="20"/>
                <w:color w:val="auto"/>
              </w:rPr>
            </w:pPr>
            <w:r>
              <w:rPr>
                <w:rFonts w:ascii="Arial" w:cs="Arial" w:eastAsia="Arial" w:hAnsi="Arial"/>
                <w:sz w:val="18"/>
                <w:szCs w:val="18"/>
                <w:color w:val="auto"/>
              </w:rPr>
              <w:t>743</w:t>
            </w:r>
          </w:p>
        </w:tc>
        <w:tc>
          <w:tcPr>
            <w:tcW w:w="16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800" w:type="dxa"/>
            <w:vAlign w:val="bottom"/>
            <w:gridSpan w:val="2"/>
          </w:tcPr>
          <w:p>
            <w:pPr>
              <w:jc w:val="right"/>
              <w:spacing w:after="0"/>
              <w:rPr>
                <w:sz w:val="20"/>
                <w:szCs w:val="20"/>
                <w:color w:val="auto"/>
              </w:rPr>
            </w:pPr>
            <w:r>
              <w:rPr>
                <w:rFonts w:ascii="Arial" w:cs="Arial" w:eastAsia="Arial" w:hAnsi="Arial"/>
                <w:sz w:val="18"/>
                <w:szCs w:val="18"/>
                <w:color w:val="auto"/>
                <w:w w:val="95"/>
              </w:rPr>
              <w:t>(301,843 )</w:t>
            </w:r>
          </w:p>
        </w:tc>
        <w:tc>
          <w:tcPr>
            <w:tcW w:w="0" w:type="dxa"/>
            <w:vAlign w:val="bottom"/>
          </w:tcPr>
          <w:p>
            <w:pPr>
              <w:spacing w:after="0"/>
              <w:rPr>
                <w:sz w:val="1"/>
                <w:szCs w:val="1"/>
                <w:color w:val="auto"/>
              </w:rPr>
            </w:pPr>
          </w:p>
        </w:tc>
      </w:tr>
      <w:tr>
        <w:trPr>
          <w:trHeight w:val="249"/>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Return of investment to</w:t>
            </w:r>
          </w:p>
        </w:tc>
        <w:tc>
          <w:tcPr>
            <w:tcW w:w="70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60" w:type="dxa"/>
            <w:vAlign w:val="bottom"/>
            <w:vMerge w:val="restart"/>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1000" w:type="dxa"/>
            <w:vAlign w:val="bottom"/>
            <w:gridSpan w:val="2"/>
            <w:vMerge w:val="restart"/>
            <w:shd w:val="clear" w:color="auto" w:fill="CFF0FC"/>
          </w:tcPr>
          <w:p>
            <w:pPr>
              <w:jc w:val="right"/>
              <w:ind w:right="180"/>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1"/>
                <w:szCs w:val="21"/>
                <w:color w:val="auto"/>
              </w:rPr>
            </w:pPr>
          </w:p>
        </w:tc>
        <w:tc>
          <w:tcPr>
            <w:tcW w:w="1200" w:type="dxa"/>
            <w:vAlign w:val="bottom"/>
            <w:gridSpan w:val="2"/>
            <w:vMerge w:val="restart"/>
            <w:shd w:val="clear" w:color="auto" w:fill="CFF0FC"/>
          </w:tcPr>
          <w:p>
            <w:pPr>
              <w:jc w:val="right"/>
              <w:ind w:right="14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1"/>
                <w:szCs w:val="21"/>
                <w:color w:val="auto"/>
              </w:rPr>
            </w:pPr>
          </w:p>
        </w:tc>
        <w:tc>
          <w:tcPr>
            <w:tcW w:w="120" w:type="dxa"/>
            <w:vAlign w:val="bottom"/>
            <w:shd w:val="clear" w:color="auto" w:fill="CFF0FC"/>
          </w:tcPr>
          <w:p>
            <w:pPr>
              <w:spacing w:after="0"/>
              <w:rPr>
                <w:sz w:val="21"/>
                <w:szCs w:val="21"/>
                <w:color w:val="auto"/>
              </w:rPr>
            </w:pPr>
          </w:p>
        </w:tc>
        <w:tc>
          <w:tcPr>
            <w:tcW w:w="94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880" w:type="dxa"/>
            <w:vAlign w:val="bottom"/>
            <w:gridSpan w:val="2"/>
            <w:vMerge w:val="restart"/>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120" w:type="dxa"/>
            <w:vAlign w:val="bottom"/>
            <w:shd w:val="clear" w:color="auto" w:fill="CFF0FC"/>
          </w:tcPr>
          <w:p>
            <w:pPr>
              <w:spacing w:after="0"/>
              <w:rPr>
                <w:sz w:val="21"/>
                <w:szCs w:val="21"/>
                <w:color w:val="auto"/>
              </w:rPr>
            </w:pPr>
          </w:p>
        </w:tc>
        <w:tc>
          <w:tcPr>
            <w:tcW w:w="800" w:type="dxa"/>
            <w:vAlign w:val="bottom"/>
            <w:gridSpan w:val="2"/>
            <w:vMerge w:val="restart"/>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200" w:type="dxa"/>
            <w:vAlign w:val="bottom"/>
            <w:shd w:val="clear" w:color="auto" w:fill="CFF0FC"/>
          </w:tcPr>
          <w:p>
            <w:pPr>
              <w:spacing w:after="0"/>
              <w:rPr>
                <w:sz w:val="21"/>
                <w:szCs w:val="21"/>
                <w:color w:val="auto"/>
              </w:rPr>
            </w:pPr>
          </w:p>
        </w:tc>
        <w:tc>
          <w:tcPr>
            <w:tcW w:w="1040" w:type="dxa"/>
            <w:vAlign w:val="bottom"/>
            <w:gridSpan w:val="2"/>
            <w:vMerge w:val="restart"/>
            <w:shd w:val="clear" w:color="auto" w:fill="CFF0FC"/>
          </w:tcPr>
          <w:p>
            <w:pPr>
              <w:jc w:val="right"/>
              <w:ind w:right="80"/>
              <w:spacing w:after="0"/>
              <w:rPr>
                <w:sz w:val="20"/>
                <w:szCs w:val="20"/>
                <w:color w:val="auto"/>
              </w:rPr>
            </w:pPr>
            <w:r>
              <w:rPr>
                <w:rFonts w:ascii="Arial" w:cs="Arial" w:eastAsia="Arial" w:hAnsi="Arial"/>
                <w:sz w:val="18"/>
                <w:szCs w:val="18"/>
                <w:color w:val="auto"/>
              </w:rPr>
              <w:t>(608 )</w:t>
            </w:r>
          </w:p>
        </w:tc>
        <w:tc>
          <w:tcPr>
            <w:tcW w:w="140" w:type="dxa"/>
            <w:vAlign w:val="bottom"/>
            <w:shd w:val="clear" w:color="auto" w:fill="CFF0FC"/>
          </w:tcPr>
          <w:p>
            <w:pPr>
              <w:spacing w:after="0"/>
              <w:rPr>
                <w:sz w:val="21"/>
                <w:szCs w:val="21"/>
                <w:color w:val="auto"/>
              </w:rPr>
            </w:pPr>
          </w:p>
        </w:tc>
        <w:tc>
          <w:tcPr>
            <w:tcW w:w="800" w:type="dxa"/>
            <w:vAlign w:val="bottom"/>
            <w:gridSpan w:val="2"/>
            <w:vMerge w:val="restart"/>
            <w:shd w:val="clear" w:color="auto" w:fill="CFF0FC"/>
          </w:tcPr>
          <w:p>
            <w:pPr>
              <w:jc w:val="right"/>
              <w:spacing w:after="0"/>
              <w:rPr>
                <w:sz w:val="20"/>
                <w:szCs w:val="20"/>
                <w:color w:val="auto"/>
              </w:rPr>
            </w:pPr>
            <w:r>
              <w:rPr>
                <w:rFonts w:ascii="Arial" w:cs="Arial" w:eastAsia="Arial" w:hAnsi="Arial"/>
                <w:sz w:val="18"/>
                <w:szCs w:val="18"/>
                <w:color w:val="auto"/>
              </w:rPr>
              <w:t>(608 )</w:t>
            </w:r>
          </w:p>
        </w:tc>
        <w:tc>
          <w:tcPr>
            <w:tcW w:w="0" w:type="dxa"/>
            <w:vAlign w:val="bottom"/>
          </w:tcPr>
          <w:p>
            <w:pPr>
              <w:spacing w:after="0"/>
              <w:rPr>
                <w:sz w:val="1"/>
                <w:szCs w:val="1"/>
                <w:color w:val="auto"/>
              </w:rPr>
            </w:pPr>
          </w:p>
        </w:tc>
      </w:tr>
      <w:tr>
        <w:trPr>
          <w:trHeight w:val="230"/>
        </w:trPr>
        <w:tc>
          <w:tcPr>
            <w:tcW w:w="20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noncontrolling interests</w:t>
            </w:r>
          </w:p>
        </w:tc>
        <w:tc>
          <w:tcPr>
            <w:tcW w:w="70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460" w:type="dxa"/>
            <w:vAlign w:val="bottom"/>
            <w:vMerge w:val="continue"/>
            <w:shd w:val="clear" w:color="auto" w:fill="CFF0FC"/>
          </w:tcPr>
          <w:p>
            <w:pPr>
              <w:spacing w:after="0"/>
              <w:rPr>
                <w:sz w:val="20"/>
                <w:szCs w:val="20"/>
                <w:color w:val="auto"/>
              </w:rPr>
            </w:pPr>
          </w:p>
        </w:tc>
        <w:tc>
          <w:tcPr>
            <w:tcW w:w="1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1000" w:type="dxa"/>
            <w:vAlign w:val="bottom"/>
            <w:gridSpan w:val="2"/>
            <w:vMerge w:val="continue"/>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1200" w:type="dxa"/>
            <w:vAlign w:val="bottom"/>
            <w:gridSpan w:val="2"/>
            <w:vMerge w:val="continue"/>
            <w:shd w:val="clear" w:color="auto" w:fill="CFF0FC"/>
          </w:tcPr>
          <w:p>
            <w:pPr>
              <w:spacing w:after="0"/>
              <w:rPr>
                <w:sz w:val="20"/>
                <w:szCs w:val="20"/>
                <w:color w:val="auto"/>
              </w:rPr>
            </w:pPr>
          </w:p>
        </w:tc>
        <w:tc>
          <w:tcPr>
            <w:tcW w:w="60" w:type="dxa"/>
            <w:vAlign w:val="bottom"/>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940" w:type="dxa"/>
            <w:vAlign w:val="bottom"/>
            <w:gridSpan w:val="2"/>
            <w:vMerge w:val="continue"/>
            <w:shd w:val="clear" w:color="auto" w:fill="CFF0FC"/>
          </w:tcPr>
          <w:p>
            <w:pPr>
              <w:spacing w:after="0"/>
              <w:rPr>
                <w:sz w:val="20"/>
                <w:szCs w:val="20"/>
                <w:color w:val="auto"/>
              </w:rPr>
            </w:pPr>
          </w:p>
        </w:tc>
        <w:tc>
          <w:tcPr>
            <w:tcW w:w="880" w:type="dxa"/>
            <w:vAlign w:val="bottom"/>
            <w:gridSpan w:val="2"/>
            <w:vMerge w:val="continue"/>
            <w:shd w:val="clear" w:color="auto" w:fill="CFF0FC"/>
          </w:tcPr>
          <w:p>
            <w:pPr>
              <w:spacing w:after="0"/>
              <w:rPr>
                <w:sz w:val="20"/>
                <w:szCs w:val="20"/>
                <w:color w:val="auto"/>
              </w:rPr>
            </w:pPr>
          </w:p>
        </w:tc>
        <w:tc>
          <w:tcPr>
            <w:tcW w:w="12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040" w:type="dxa"/>
            <w:vAlign w:val="bottom"/>
            <w:gridSpan w:val="2"/>
            <w:vMerge w:val="continue"/>
            <w:shd w:val="clear" w:color="auto" w:fill="CFF0FC"/>
          </w:tcPr>
          <w:p>
            <w:pPr>
              <w:spacing w:after="0"/>
              <w:rPr>
                <w:sz w:val="20"/>
                <w:szCs w:val="20"/>
                <w:color w:val="auto"/>
              </w:rPr>
            </w:pPr>
          </w:p>
        </w:tc>
        <w:tc>
          <w:tcPr>
            <w:tcW w:w="140" w:type="dxa"/>
            <w:vAlign w:val="bottom"/>
            <w:shd w:val="clear" w:color="auto" w:fill="CFF0FC"/>
          </w:tcPr>
          <w:p>
            <w:pPr>
              <w:spacing w:after="0"/>
              <w:rPr>
                <w:sz w:val="20"/>
                <w:szCs w:val="20"/>
                <w:color w:val="auto"/>
              </w:rPr>
            </w:pPr>
          </w:p>
        </w:tc>
        <w:tc>
          <w:tcPr>
            <w:tcW w:w="800" w:type="dxa"/>
            <w:vAlign w:val="bottom"/>
            <w:gridSpan w:val="2"/>
            <w:vMerge w:val="continue"/>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36"/>
        </w:trPr>
        <w:tc>
          <w:tcPr>
            <w:tcW w:w="2080" w:type="dxa"/>
            <w:vAlign w:val="bottom"/>
            <w:tcBorders>
              <w:top w:val="single" w:sz="8" w:color="CFF0FC"/>
            </w:tcBorders>
          </w:tcPr>
          <w:p>
            <w:pPr>
              <w:ind w:left="20"/>
              <w:spacing w:after="0"/>
              <w:rPr>
                <w:sz w:val="20"/>
                <w:szCs w:val="20"/>
                <w:color w:val="auto"/>
              </w:rPr>
            </w:pPr>
            <w:r>
              <w:rPr>
                <w:rFonts w:ascii="Arial" w:cs="Arial" w:eastAsia="Arial" w:hAnsi="Arial"/>
                <w:sz w:val="18"/>
                <w:szCs w:val="18"/>
                <w:color w:val="auto"/>
                <w:w w:val="97"/>
              </w:rPr>
              <w:t>Balance at September 30,</w:t>
            </w:r>
          </w:p>
        </w:tc>
        <w:tc>
          <w:tcPr>
            <w:tcW w:w="70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60" w:type="dxa"/>
            <w:vAlign w:val="bottom"/>
            <w:tcBorders>
              <w:top w:val="single" w:sz="8" w:color="auto"/>
            </w:tcBorders>
          </w:tcPr>
          <w:p>
            <w:pPr>
              <w:spacing w:after="0"/>
              <w:rPr>
                <w:sz w:val="20"/>
                <w:szCs w:val="20"/>
                <w:color w:val="auto"/>
              </w:rPr>
            </w:pPr>
          </w:p>
        </w:tc>
        <w:tc>
          <w:tcPr>
            <w:tcW w:w="46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82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00" w:type="dxa"/>
            <w:vAlign w:val="bottom"/>
            <w:tcBorders>
              <w:top w:val="single" w:sz="8" w:color="auto"/>
            </w:tcBorders>
          </w:tcPr>
          <w:p>
            <w:pPr>
              <w:spacing w:after="0"/>
              <w:rPr>
                <w:sz w:val="20"/>
                <w:szCs w:val="20"/>
                <w:color w:val="auto"/>
              </w:rPr>
            </w:pPr>
          </w:p>
        </w:tc>
        <w:tc>
          <w:tcPr>
            <w:tcW w:w="1080" w:type="dxa"/>
            <w:vAlign w:val="bottom"/>
            <w:tcBorders>
              <w:top w:val="single" w:sz="8" w:color="auto"/>
            </w:tcBorders>
          </w:tcPr>
          <w:p>
            <w:pPr>
              <w:spacing w:after="0"/>
              <w:rPr>
                <w:sz w:val="20"/>
                <w:szCs w:val="20"/>
                <w:color w:val="auto"/>
              </w:rPr>
            </w:pPr>
          </w:p>
        </w:tc>
        <w:tc>
          <w:tcPr>
            <w:tcW w:w="120" w:type="dxa"/>
            <w:vAlign w:val="bottom"/>
            <w:tcBorders>
              <w:top w:val="single" w:sz="8" w:color="CFF0FC"/>
            </w:tcBorders>
          </w:tcPr>
          <w:p>
            <w:pPr>
              <w:spacing w:after="0"/>
              <w:rPr>
                <w:sz w:val="20"/>
                <w:szCs w:val="20"/>
                <w:color w:val="auto"/>
              </w:rPr>
            </w:pPr>
          </w:p>
        </w:tc>
        <w:tc>
          <w:tcPr>
            <w:tcW w:w="6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7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2,571,18</w:t>
            </w:r>
          </w:p>
        </w:tc>
        <w:tc>
          <w:tcPr>
            <w:tcW w:w="180" w:type="dxa"/>
            <w:vAlign w:val="bottom"/>
            <w:tcBorders>
              <w:top w:val="single" w:sz="8" w:color="CFF0FC"/>
            </w:tcBorders>
          </w:tcPr>
          <w:p>
            <w:pPr>
              <w:spacing w:after="0"/>
              <w:rPr>
                <w:sz w:val="20"/>
                <w:szCs w:val="20"/>
                <w:color w:val="auto"/>
              </w:rPr>
            </w:pPr>
          </w:p>
        </w:tc>
        <w:tc>
          <w:tcPr>
            <w:tcW w:w="700" w:type="dxa"/>
            <w:vAlign w:val="bottom"/>
            <w:tcBorders>
              <w:top w:val="single" w:sz="8" w:color="auto"/>
            </w:tcBorders>
          </w:tcPr>
          <w:p>
            <w:pPr>
              <w:spacing w:after="0"/>
              <w:rPr>
                <w:sz w:val="20"/>
                <w:szCs w:val="20"/>
                <w:color w:val="auto"/>
              </w:rPr>
            </w:pPr>
          </w:p>
        </w:tc>
        <w:tc>
          <w:tcPr>
            <w:tcW w:w="180" w:type="dxa"/>
            <w:vAlign w:val="bottom"/>
            <w:tcBorders>
              <w:top w:val="single" w:sz="8" w:color="CFF0FC"/>
            </w:tcBorders>
          </w:tcPr>
          <w:p>
            <w:pPr>
              <w:spacing w:after="0"/>
              <w:rPr>
                <w:sz w:val="20"/>
                <w:szCs w:val="20"/>
                <w:color w:val="auto"/>
              </w:rPr>
            </w:pPr>
          </w:p>
        </w:tc>
        <w:tc>
          <w:tcPr>
            <w:tcW w:w="120" w:type="dxa"/>
            <w:vAlign w:val="bottom"/>
            <w:tcBorders>
              <w:top w:val="single" w:sz="8" w:color="auto"/>
            </w:tcBorders>
          </w:tcPr>
          <w:p>
            <w:pPr>
              <w:spacing w:after="0"/>
              <w:rPr>
                <w:sz w:val="20"/>
                <w:szCs w:val="20"/>
                <w:color w:val="auto"/>
              </w:rPr>
            </w:pPr>
          </w:p>
        </w:tc>
        <w:tc>
          <w:tcPr>
            <w:tcW w:w="6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(299,13</w:t>
            </w:r>
          </w:p>
        </w:tc>
        <w:tc>
          <w:tcPr>
            <w:tcW w:w="140" w:type="dxa"/>
            <w:vAlign w:val="bottom"/>
            <w:tcBorders>
              <w:top w:val="single" w:sz="8" w:color="CFF0FC"/>
            </w:tcBorders>
          </w:tcPr>
          <w:p>
            <w:pPr>
              <w:spacing w:after="0"/>
              <w:rPr>
                <w:sz w:val="20"/>
                <w:szCs w:val="20"/>
                <w:color w:val="auto"/>
              </w:rPr>
            </w:pPr>
          </w:p>
        </w:tc>
        <w:tc>
          <w:tcPr>
            <w:tcW w:w="200" w:type="dxa"/>
            <w:vAlign w:val="bottom"/>
            <w:tcBorders>
              <w:top w:val="single" w:sz="8" w:color="auto"/>
            </w:tcBorders>
          </w:tcPr>
          <w:p>
            <w:pPr>
              <w:spacing w:after="0"/>
              <w:rPr>
                <w:sz w:val="20"/>
                <w:szCs w:val="20"/>
                <w:color w:val="auto"/>
              </w:rPr>
            </w:pPr>
          </w:p>
        </w:tc>
        <w:tc>
          <w:tcPr>
            <w:tcW w:w="880" w:type="dxa"/>
            <w:vAlign w:val="bottom"/>
            <w:tcBorders>
              <w:top w:val="single" w:sz="8" w:color="auto"/>
            </w:tcBorders>
          </w:tcPr>
          <w:p>
            <w:pPr>
              <w:spacing w:after="0"/>
              <w:rPr>
                <w:sz w:val="20"/>
                <w:szCs w:val="20"/>
                <w:color w:val="auto"/>
              </w:rPr>
            </w:pPr>
          </w:p>
        </w:tc>
        <w:tc>
          <w:tcPr>
            <w:tcW w:w="160" w:type="dxa"/>
            <w:vAlign w:val="bottom"/>
            <w:tcBorders>
              <w:top w:val="single" w:sz="8" w:color="CFF0FC"/>
            </w:tcBorders>
          </w:tcPr>
          <w:p>
            <w:pPr>
              <w:spacing w:after="0"/>
              <w:rPr>
                <w:sz w:val="20"/>
                <w:szCs w:val="20"/>
                <w:color w:val="auto"/>
              </w:rPr>
            </w:pPr>
          </w:p>
        </w:tc>
        <w:tc>
          <w:tcPr>
            <w:tcW w:w="140" w:type="dxa"/>
            <w:vAlign w:val="bottom"/>
            <w:tcBorders>
              <w:top w:val="single" w:sz="8" w:color="auto"/>
            </w:tcBorders>
          </w:tcPr>
          <w:p>
            <w:pPr>
              <w:spacing w:after="0"/>
              <w:rPr>
                <w:sz w:val="20"/>
                <w:szCs w:val="20"/>
                <w:color w:val="auto"/>
              </w:rPr>
            </w:pPr>
          </w:p>
        </w:tc>
        <w:tc>
          <w:tcPr>
            <w:tcW w:w="72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w w:val="96"/>
              </w:rPr>
              <w:t>3,078,36</w:t>
            </w:r>
          </w:p>
        </w:tc>
        <w:tc>
          <w:tcPr>
            <w:tcW w:w="80" w:type="dxa"/>
            <w:vAlign w:val="bottom"/>
            <w:tcBorders>
              <w:top w:val="single" w:sz="8" w:color="CFF0FC"/>
            </w:tcBorders>
          </w:tcPr>
          <w:p>
            <w:pPr>
              <w:spacing w:after="0"/>
              <w:rPr>
                <w:sz w:val="20"/>
                <w:szCs w:val="20"/>
                <w:color w:val="auto"/>
              </w:rPr>
            </w:pPr>
          </w:p>
        </w:tc>
        <w:tc>
          <w:tcPr>
            <w:tcW w:w="0" w:type="dxa"/>
            <w:vAlign w:val="bottom"/>
          </w:tcPr>
          <w:p>
            <w:pPr>
              <w:spacing w:after="0"/>
              <w:rPr>
                <w:sz w:val="1"/>
                <w:szCs w:val="1"/>
                <w:color w:val="auto"/>
              </w:rPr>
            </w:pPr>
          </w:p>
        </w:tc>
      </w:tr>
      <w:tr>
        <w:trPr>
          <w:trHeight w:val="237"/>
        </w:trPr>
        <w:tc>
          <w:tcPr>
            <w:tcW w:w="2080" w:type="dxa"/>
            <w:vAlign w:val="bottom"/>
          </w:tcPr>
          <w:p>
            <w:pPr>
              <w:ind w:left="20"/>
              <w:spacing w:after="0"/>
              <w:rPr>
                <w:sz w:val="20"/>
                <w:szCs w:val="20"/>
                <w:color w:val="auto"/>
              </w:rPr>
            </w:pPr>
            <w:r>
              <w:rPr>
                <w:rFonts w:ascii="Arial" w:cs="Arial" w:eastAsia="Arial" w:hAnsi="Arial"/>
                <w:sz w:val="18"/>
                <w:szCs w:val="18"/>
                <w:color w:val="auto"/>
              </w:rPr>
              <w:t>2020</w:t>
            </w:r>
          </w:p>
        </w:tc>
        <w:tc>
          <w:tcPr>
            <w:tcW w:w="700" w:type="dxa"/>
            <w:vAlign w:val="bottom"/>
          </w:tcPr>
          <w:p>
            <w:pPr>
              <w:jc w:val="right"/>
              <w:spacing w:after="0"/>
              <w:rPr>
                <w:sz w:val="20"/>
                <w:szCs w:val="20"/>
                <w:color w:val="auto"/>
              </w:rPr>
            </w:pPr>
            <w:r>
              <w:rPr>
                <w:rFonts w:ascii="Arial" w:cs="Arial" w:eastAsia="Arial" w:hAnsi="Arial"/>
                <w:sz w:val="18"/>
                <w:szCs w:val="18"/>
                <w:color w:val="auto"/>
              </w:rPr>
              <w:t>65,472</w:t>
            </w:r>
          </w:p>
        </w:tc>
        <w:tc>
          <w:tcPr>
            <w:tcW w:w="32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460" w:type="dxa"/>
            <w:vAlign w:val="bottom"/>
          </w:tcPr>
          <w:p>
            <w:pPr>
              <w:jc w:val="right"/>
              <w:spacing w:after="0"/>
              <w:rPr>
                <w:sz w:val="20"/>
                <w:szCs w:val="20"/>
                <w:color w:val="auto"/>
              </w:rPr>
            </w:pPr>
            <w:r>
              <w:rPr>
                <w:rFonts w:ascii="Arial" w:cs="Arial" w:eastAsia="Arial" w:hAnsi="Arial"/>
                <w:sz w:val="18"/>
                <w:szCs w:val="18"/>
                <w:color w:val="auto"/>
                <w:w w:val="93"/>
              </w:rPr>
              <w:t>6,547</w:t>
            </w:r>
          </w:p>
        </w:tc>
        <w:tc>
          <w:tcPr>
            <w:tcW w:w="280" w:type="dxa"/>
            <w:vAlign w:val="bottom"/>
            <w:gridSpan w:val="2"/>
          </w:tcPr>
          <w:p>
            <w:pPr>
              <w:jc w:val="right"/>
              <w:spacing w:after="0"/>
              <w:rPr>
                <w:sz w:val="20"/>
                <w:szCs w:val="20"/>
                <w:color w:val="auto"/>
              </w:rPr>
            </w:pPr>
            <w:r>
              <w:rPr>
                <w:rFonts w:ascii="Arial" w:cs="Arial" w:eastAsia="Arial" w:hAnsi="Arial"/>
                <w:sz w:val="18"/>
                <w:szCs w:val="18"/>
                <w:color w:val="auto"/>
              </w:rPr>
              <w:t>$</w:t>
            </w:r>
          </w:p>
        </w:tc>
        <w:tc>
          <w:tcPr>
            <w:tcW w:w="820" w:type="dxa"/>
            <w:vAlign w:val="bottom"/>
          </w:tcPr>
          <w:p>
            <w:pPr>
              <w:jc w:val="right"/>
              <w:spacing w:after="0"/>
              <w:rPr>
                <w:sz w:val="20"/>
                <w:szCs w:val="20"/>
                <w:color w:val="auto"/>
              </w:rPr>
            </w:pPr>
            <w:r>
              <w:rPr>
                <w:rFonts w:ascii="Arial" w:cs="Arial" w:eastAsia="Arial" w:hAnsi="Arial"/>
                <w:sz w:val="18"/>
                <w:szCs w:val="18"/>
                <w:color w:val="auto"/>
              </w:rPr>
              <w:t>842,301</w:t>
            </w:r>
          </w:p>
        </w:tc>
        <w:tc>
          <w:tcPr>
            <w:tcW w:w="180" w:type="dxa"/>
            <w:vAlign w:val="bottom"/>
          </w:tcPr>
          <w:p>
            <w:pPr>
              <w:spacing w:after="0"/>
              <w:rPr>
                <w:sz w:val="20"/>
                <w:szCs w:val="20"/>
                <w:color w:val="auto"/>
              </w:rPr>
            </w:pPr>
          </w:p>
        </w:tc>
        <w:tc>
          <w:tcPr>
            <w:tcW w:w="10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00" w:type="dxa"/>
            <w:vAlign w:val="bottom"/>
            <w:gridSpan w:val="2"/>
          </w:tcPr>
          <w:p>
            <w:pPr>
              <w:jc w:val="right"/>
              <w:ind w:right="60"/>
              <w:spacing w:after="0"/>
              <w:rPr>
                <w:sz w:val="20"/>
                <w:szCs w:val="20"/>
                <w:color w:val="auto"/>
              </w:rPr>
            </w:pPr>
            <w:r>
              <w:rPr>
                <w:rFonts w:ascii="Arial" w:cs="Arial" w:eastAsia="Arial" w:hAnsi="Arial"/>
                <w:sz w:val="18"/>
                <w:szCs w:val="18"/>
                <w:color w:val="auto"/>
              </w:rPr>
              <w:t>(45,635 )</w:t>
            </w:r>
          </w:p>
        </w:tc>
        <w:tc>
          <w:tcPr>
            <w:tcW w:w="180" w:type="dxa"/>
            <w:vAlign w:val="bottom"/>
            <w:gridSpan w:val="2"/>
          </w:tcPr>
          <w:p>
            <w:pPr>
              <w:ind w:left="60"/>
              <w:spacing w:after="0"/>
              <w:rPr>
                <w:sz w:val="20"/>
                <w:szCs w:val="20"/>
                <w:color w:val="auto"/>
              </w:rPr>
            </w:pPr>
            <w:r>
              <w:rPr>
                <w:rFonts w:ascii="Arial" w:cs="Arial" w:eastAsia="Arial" w:hAnsi="Arial"/>
                <w:sz w:val="18"/>
                <w:szCs w:val="18"/>
                <w:color w:val="auto"/>
                <w:w w:val="99"/>
              </w:rPr>
              <w:t>$</w:t>
            </w:r>
          </w:p>
        </w:tc>
        <w:tc>
          <w:tcPr>
            <w:tcW w:w="760" w:type="dxa"/>
            <w:vAlign w:val="bottom"/>
          </w:tcPr>
          <w:p>
            <w:pPr>
              <w:jc w:val="right"/>
              <w:spacing w:after="0"/>
              <w:rPr>
                <w:sz w:val="20"/>
                <w:szCs w:val="20"/>
                <w:color w:val="auto"/>
              </w:rPr>
            </w:pPr>
            <w:r>
              <w:rPr>
                <w:rFonts w:ascii="Arial" w:cs="Arial" w:eastAsia="Arial" w:hAnsi="Arial"/>
                <w:sz w:val="18"/>
                <w:szCs w:val="18"/>
                <w:color w:val="auto"/>
              </w:rPr>
              <w:t>9</w:t>
            </w:r>
          </w:p>
        </w:tc>
        <w:tc>
          <w:tcPr>
            <w:tcW w:w="180" w:type="dxa"/>
            <w:vAlign w:val="bottom"/>
          </w:tcPr>
          <w:p>
            <w:pPr>
              <w:spacing w:after="0"/>
              <w:rPr>
                <w:sz w:val="20"/>
                <w:szCs w:val="20"/>
                <w:color w:val="auto"/>
              </w:rPr>
            </w:pPr>
          </w:p>
        </w:tc>
        <w:tc>
          <w:tcPr>
            <w:tcW w:w="880" w:type="dxa"/>
            <w:vAlign w:val="bottom"/>
            <w:gridSpan w:val="2"/>
          </w:tcPr>
          <w:p>
            <w:pPr>
              <w:jc w:val="right"/>
              <w:ind w:right="100"/>
              <w:spacing w:after="0"/>
              <w:rPr>
                <w:sz w:val="20"/>
                <w:szCs w:val="20"/>
                <w:color w:val="auto"/>
              </w:rPr>
            </w:pPr>
            <w:r>
              <w:rPr>
                <w:rFonts w:ascii="Arial" w:cs="Arial" w:eastAsia="Arial" w:hAnsi="Arial"/>
                <w:sz w:val="18"/>
                <w:szCs w:val="18"/>
                <w:color w:val="auto"/>
              </w:rPr>
              <w:t>(5,434 )</w:t>
            </w: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000" w:type="dxa"/>
            <w:vAlign w:val="bottom"/>
            <w:gridSpan w:val="3"/>
          </w:tcPr>
          <w:p>
            <w:pPr>
              <w:jc w:val="right"/>
              <w:ind w:right="8"/>
              <w:spacing w:after="0"/>
              <w:rPr>
                <w:sz w:val="20"/>
                <w:szCs w:val="20"/>
                <w:color w:val="auto"/>
              </w:rPr>
            </w:pPr>
            <w:r>
              <w:rPr>
                <w:rFonts w:ascii="Arial" w:cs="Arial" w:eastAsia="Arial" w:hAnsi="Arial"/>
                <w:sz w:val="18"/>
                <w:szCs w:val="18"/>
                <w:color w:val="auto"/>
              </w:rPr>
              <w:t>9 ) $</w:t>
            </w:r>
          </w:p>
        </w:tc>
        <w:tc>
          <w:tcPr>
            <w:tcW w:w="880" w:type="dxa"/>
            <w:vAlign w:val="bottom"/>
          </w:tcPr>
          <w:p>
            <w:pPr>
              <w:jc w:val="right"/>
              <w:spacing w:after="0"/>
              <w:rPr>
                <w:sz w:val="20"/>
                <w:szCs w:val="20"/>
                <w:color w:val="auto"/>
              </w:rPr>
            </w:pPr>
            <w:r>
              <w:rPr>
                <w:rFonts w:ascii="Arial" w:cs="Arial" w:eastAsia="Arial" w:hAnsi="Arial"/>
                <w:sz w:val="18"/>
                <w:szCs w:val="18"/>
                <w:color w:val="auto"/>
              </w:rPr>
              <w:t>3,104</w:t>
            </w:r>
          </w:p>
        </w:tc>
        <w:tc>
          <w:tcPr>
            <w:tcW w:w="160" w:type="dxa"/>
            <w:vAlign w:val="bottom"/>
          </w:tcPr>
          <w:p>
            <w:pPr>
              <w:spacing w:after="0"/>
              <w:rPr>
                <w:sz w:val="20"/>
                <w:szCs w:val="20"/>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720" w:type="dxa"/>
            <w:vAlign w:val="bottom"/>
          </w:tcPr>
          <w:p>
            <w:pPr>
              <w:jc w:val="right"/>
              <w:spacing w:after="0"/>
              <w:rPr>
                <w:sz w:val="20"/>
                <w:szCs w:val="20"/>
                <w:color w:val="auto"/>
              </w:rPr>
            </w:pPr>
            <w:r>
              <w:rPr>
                <w:rFonts w:ascii="Arial" w:cs="Arial" w:eastAsia="Arial" w:hAnsi="Arial"/>
                <w:sz w:val="18"/>
                <w:szCs w:val="18"/>
                <w:color w:val="auto"/>
              </w:rPr>
              <w:t>7</w:t>
            </w:r>
          </w:p>
        </w:tc>
        <w:tc>
          <w:tcPr>
            <w:tcW w:w="8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0"/>
        </w:trPr>
        <w:tc>
          <w:tcPr>
            <w:tcW w:w="20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60" w:type="dxa"/>
            <w:vAlign w:val="bottom"/>
            <w:tcBorders>
              <w:top w:val="single" w:sz="8" w:color="auto"/>
              <w:bottom w:val="single" w:sz="8" w:color="auto"/>
            </w:tcBorders>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00" w:type="dxa"/>
            <w:vAlign w:val="bottom"/>
            <w:tcBorders>
              <w:top w:val="single" w:sz="8" w:color="auto"/>
              <w:bottom w:val="single" w:sz="8" w:color="auto"/>
            </w:tcBorders>
          </w:tcPr>
          <w:p>
            <w:pPr>
              <w:spacing w:after="0" w:line="20" w:lineRule="exact"/>
              <w:rPr>
                <w:sz w:val="1"/>
                <w:szCs w:val="1"/>
                <w:color w:val="auto"/>
              </w:rPr>
            </w:pPr>
          </w:p>
        </w:tc>
        <w:tc>
          <w:tcPr>
            <w:tcW w:w="1080" w:type="dxa"/>
            <w:vAlign w:val="bottom"/>
            <w:tcBorders>
              <w:top w:val="single" w:sz="8" w:color="auto"/>
              <w:bottom w:val="single" w:sz="8" w:color="auto"/>
            </w:tcBorders>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700" w:type="dxa"/>
            <w:vAlign w:val="bottom"/>
            <w:tcBorders>
              <w:top w:val="single" w:sz="8" w:color="auto"/>
              <w:bottom w:val="single" w:sz="8" w:color="auto"/>
            </w:tcBorders>
          </w:tcPr>
          <w:p>
            <w:pPr>
              <w:spacing w:after="0" w:line="20" w:lineRule="exact"/>
              <w:rPr>
                <w:sz w:val="1"/>
                <w:szCs w:val="1"/>
                <w:color w:val="auto"/>
              </w:rPr>
            </w:pPr>
          </w:p>
        </w:tc>
        <w:tc>
          <w:tcPr>
            <w:tcW w:w="180" w:type="dxa"/>
            <w:vAlign w:val="bottom"/>
          </w:tcPr>
          <w:p>
            <w:pPr>
              <w:spacing w:after="0" w:line="20" w:lineRule="exact"/>
              <w:rPr>
                <w:sz w:val="1"/>
                <w:szCs w:val="1"/>
                <w:color w:val="auto"/>
              </w:rPr>
            </w:pPr>
          </w:p>
        </w:tc>
        <w:tc>
          <w:tcPr>
            <w:tcW w:w="120" w:type="dxa"/>
            <w:vAlign w:val="bottom"/>
            <w:tcBorders>
              <w:top w:val="single" w:sz="8" w:color="auto"/>
              <w:bottom w:val="single" w:sz="8" w:color="auto"/>
            </w:tcBorders>
          </w:tcPr>
          <w:p>
            <w:pPr>
              <w:spacing w:after="0" w:line="20" w:lineRule="exact"/>
              <w:rPr>
                <w:sz w:val="1"/>
                <w:szCs w:val="1"/>
                <w:color w:val="auto"/>
              </w:rPr>
            </w:pPr>
          </w:p>
        </w:tc>
        <w:tc>
          <w:tcPr>
            <w:tcW w:w="660" w:type="dxa"/>
            <w:vAlign w:val="bottom"/>
            <w:tcBorders>
              <w:top w:val="single" w:sz="8" w:color="auto"/>
              <w:bottom w:val="single" w:sz="8" w:color="auto"/>
            </w:tcBorders>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80" w:type="dxa"/>
            <w:vAlign w:val="bottom"/>
            <w:tcBorders>
              <w:top w:val="single" w:sz="8" w:color="auto"/>
              <w:bottom w:val="single" w:sz="8" w:color="auto"/>
            </w:tcBorders>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140" w:type="dxa"/>
            <w:vAlign w:val="bottom"/>
            <w:tcBorders>
              <w:top w:val="single" w:sz="8" w:color="auto"/>
              <w:bottom w:val="single" w:sz="8" w:color="auto"/>
            </w:tcBorders>
          </w:tcPr>
          <w:p>
            <w:pPr>
              <w:spacing w:after="0" w:line="20" w:lineRule="exact"/>
              <w:rPr>
                <w:sz w:val="1"/>
                <w:szCs w:val="1"/>
                <w:color w:val="auto"/>
              </w:rPr>
            </w:pPr>
          </w:p>
        </w:tc>
        <w:tc>
          <w:tcPr>
            <w:tcW w:w="720" w:type="dxa"/>
            <w:vAlign w:val="bottom"/>
            <w:tcBorders>
              <w:top w:val="single" w:sz="8" w:color="auto"/>
              <w:bottom w:val="single" w:sz="8" w:color="auto"/>
            </w:tcBorders>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1762125</wp:posOffset>
            </wp:positionH>
            <wp:positionV relativeFrom="paragraph">
              <wp:posOffset>-3785235</wp:posOffset>
            </wp:positionV>
            <wp:extent cx="102870" cy="5715"/>
            <wp:wrapNone/>
            <wp:docPr id="123" name="Picture 1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3"/>
                    <pic:cNvPicPr>
                      <a:picLocks noChangeAspect="1" noChangeArrowheads="1"/>
                    </pic:cNvPicPr>
                  </pic:nvPicPr>
                  <pic:blipFill>
                    <a:blip r:embed="rId13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-3785235</wp:posOffset>
            </wp:positionV>
            <wp:extent cx="102870" cy="5715"/>
            <wp:wrapNone/>
            <wp:docPr id="124" name="Picture 1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4"/>
                    <pic:cNvPicPr>
                      <a:picLocks noChangeAspect="1" noChangeArrowheads="1"/>
                    </pic:cNvPicPr>
                  </pic:nvPicPr>
                  <pic:blipFill>
                    <a:blip r:embed="rId131">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-3785235</wp:posOffset>
            </wp:positionV>
            <wp:extent cx="111125" cy="5715"/>
            <wp:wrapNone/>
            <wp:docPr id="125" name="Picture 1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5"/>
                    <pic:cNvPicPr>
                      <a:picLocks noChangeAspect="1" noChangeArrowheads="1"/>
                    </pic:cNvPicPr>
                  </pic:nvPicPr>
                  <pic:blipFill>
                    <a:blip r:embed="rId13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-3785235</wp:posOffset>
            </wp:positionV>
            <wp:extent cx="111125" cy="5715"/>
            <wp:wrapNone/>
            <wp:docPr id="126" name="Picture 1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6"/>
                    <pic:cNvPicPr>
                      <a:picLocks noChangeAspect="1" noChangeArrowheads="1"/>
                    </pic:cNvPicPr>
                  </pic:nvPicPr>
                  <pic:blipFill>
                    <a:blip r:embed="rId133">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-3785235</wp:posOffset>
            </wp:positionV>
            <wp:extent cx="111760" cy="5715"/>
            <wp:wrapNone/>
            <wp:docPr id="127" name="Picture 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7"/>
                    <pic:cNvPicPr>
                      <a:picLocks noChangeAspect="1" noChangeArrowheads="1"/>
                    </pic:cNvPicPr>
                  </pic:nvPicPr>
                  <pic:blipFill>
                    <a:blip r:embed="rId134">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-3785235</wp:posOffset>
            </wp:positionV>
            <wp:extent cx="111125" cy="5715"/>
            <wp:wrapNone/>
            <wp:docPr id="128" name="Picture 1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8"/>
                    <pic:cNvPicPr>
                      <a:picLocks noChangeAspect="1" noChangeArrowheads="1"/>
                    </pic:cNvPicPr>
                  </pic:nvPicPr>
                  <pic:blipFill>
                    <a:blip r:embed="rId135">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-3785235</wp:posOffset>
            </wp:positionV>
            <wp:extent cx="93980" cy="5715"/>
            <wp:wrapNone/>
            <wp:docPr id="129" name="Picture 1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29"/>
                    <pic:cNvPicPr>
                      <a:picLocks noChangeAspect="1" noChangeArrowheads="1"/>
                    </pic:cNvPicPr>
                  </pic:nvPicPr>
                  <pic:blipFill>
                    <a:blip r:embed="rId13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-3785235</wp:posOffset>
            </wp:positionV>
            <wp:extent cx="93980" cy="5715"/>
            <wp:wrapNone/>
            <wp:docPr id="130" name="Picture 1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0"/>
                    <pic:cNvPicPr>
                      <a:picLocks noChangeAspect="1" noChangeArrowheads="1"/>
                    </pic:cNvPicPr>
                  </pic:nvPicPr>
                  <pic:blipFill>
                    <a:blip r:embed="rId137">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-3785235</wp:posOffset>
            </wp:positionV>
            <wp:extent cx="51435" cy="5715"/>
            <wp:wrapNone/>
            <wp:docPr id="131" name="Picture 1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1"/>
                    <pic:cNvPicPr>
                      <a:picLocks noChangeAspect="1" noChangeArrowheads="1"/>
                    </pic:cNvPicPr>
                  </pic:nvPicPr>
                  <pic:blipFill>
                    <a:blip r:embed="rId138">
                      <a:extLst>
                        <a:ext uri="{28A0092B-C50C-407E-A947-70E740481C1C}"/>
                      </a:extLst>
                    </a:blip>
                    <a:srcRect/>
                    <a:stretch>
                      <a:fillRect/>
                    </a:stretch>
                  </pic:blipFill>
                  <pic:spPr bwMode="auto">
                    <a:xfrm>
                      <a:off x="0" y="0"/>
                      <a:ext cx="51435" cy="5715"/>
                    </a:xfrm>
                    <a:prstGeom prst="rect">
                      <a:avLst/>
                    </a:prstGeom>
                    <a:noFill/>
                  </pic:spPr>
                </pic:pic>
              </a:graphicData>
            </a:graphic>
          </wp:anchor>
        </w:drawing>
        <w:drawing>
          <wp:anchor simplePos="0" relativeHeight="251657728" behindDoc="1" locked="0" layoutInCell="0" allowOverlap="1">
            <wp:simplePos x="0" y="0"/>
            <wp:positionH relativeFrom="column">
              <wp:posOffset>1762125</wp:posOffset>
            </wp:positionH>
            <wp:positionV relativeFrom="paragraph">
              <wp:posOffset>-339090</wp:posOffset>
            </wp:positionV>
            <wp:extent cx="102870" cy="5715"/>
            <wp:wrapNone/>
            <wp:docPr id="132" name="Picture 1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2"/>
                    <pic:cNvPicPr>
                      <a:picLocks noChangeAspect="1" noChangeArrowheads="1"/>
                    </pic:cNvPicPr>
                  </pic:nvPicPr>
                  <pic:blipFill>
                    <a:blip r:embed="rId139">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2259330</wp:posOffset>
            </wp:positionH>
            <wp:positionV relativeFrom="paragraph">
              <wp:posOffset>-339090</wp:posOffset>
            </wp:positionV>
            <wp:extent cx="102870" cy="5715"/>
            <wp:wrapNone/>
            <wp:docPr id="133" name="Picture 1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3"/>
                    <pic:cNvPicPr>
                      <a:picLocks noChangeAspect="1" noChangeArrowheads="1"/>
                    </pic:cNvPicPr>
                  </pic:nvPicPr>
                  <pic:blipFill>
                    <a:blip r:embed="rId140">
                      <a:extLst>
                        <a:ext uri="{28A0092B-C50C-407E-A947-70E740481C1C}"/>
                      </a:extLst>
                    </a:blip>
                    <a:srcRect/>
                    <a:stretch>
                      <a:fillRect/>
                    </a:stretch>
                  </pic:blipFill>
                  <pic:spPr bwMode="auto">
                    <a:xfrm>
                      <a:off x="0" y="0"/>
                      <a:ext cx="102870" cy="5715"/>
                    </a:xfrm>
                    <a:prstGeom prst="rect">
                      <a:avLst/>
                    </a:prstGeom>
                    <a:noFill/>
                  </pic:spPr>
                </pic:pic>
              </a:graphicData>
            </a:graphic>
          </wp:anchor>
        </w:drawing>
        <w:drawing>
          <wp:anchor simplePos="0" relativeHeight="251657728" behindDoc="1" locked="0" layoutInCell="0" allowOverlap="1">
            <wp:simplePos x="0" y="0"/>
            <wp:positionH relativeFrom="column">
              <wp:posOffset>2962275</wp:posOffset>
            </wp:positionH>
            <wp:positionV relativeFrom="paragraph">
              <wp:posOffset>-339090</wp:posOffset>
            </wp:positionV>
            <wp:extent cx="111125" cy="5715"/>
            <wp:wrapNone/>
            <wp:docPr id="134" name="Picture 1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4"/>
                    <pic:cNvPicPr>
                      <a:picLocks noChangeAspect="1" noChangeArrowheads="1"/>
                    </pic:cNvPicPr>
                  </pic:nvPicPr>
                  <pic:blipFill>
                    <a:blip r:embed="rId141">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3819525</wp:posOffset>
            </wp:positionH>
            <wp:positionV relativeFrom="paragraph">
              <wp:posOffset>-339090</wp:posOffset>
            </wp:positionV>
            <wp:extent cx="111125" cy="5715"/>
            <wp:wrapNone/>
            <wp:docPr id="135" name="Picture 1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5"/>
                    <pic:cNvPicPr>
                      <a:picLocks noChangeAspect="1" noChangeArrowheads="1"/>
                    </pic:cNvPicPr>
                  </pic:nvPicPr>
                  <pic:blipFill>
                    <a:blip r:embed="rId142">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4497070</wp:posOffset>
            </wp:positionH>
            <wp:positionV relativeFrom="paragraph">
              <wp:posOffset>-339090</wp:posOffset>
            </wp:positionV>
            <wp:extent cx="111760" cy="5715"/>
            <wp:wrapNone/>
            <wp:docPr id="136" name="Picture 1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6"/>
                    <pic:cNvPicPr>
                      <a:picLocks noChangeAspect="1" noChangeArrowheads="1"/>
                    </pic:cNvPicPr>
                  </pic:nvPicPr>
                  <pic:blipFill>
                    <a:blip r:embed="rId143">
                      <a:extLst>
                        <a:ext uri="{28A0092B-C50C-407E-A947-70E740481C1C}"/>
                      </a:extLst>
                    </a:blip>
                    <a:srcRect/>
                    <a:stretch>
                      <a:fillRect/>
                    </a:stretch>
                  </pic:blipFill>
                  <pic:spPr bwMode="auto">
                    <a:xfrm>
                      <a:off x="0" y="0"/>
                      <a:ext cx="111760" cy="5715"/>
                    </a:xfrm>
                    <a:prstGeom prst="rect">
                      <a:avLst/>
                    </a:prstGeom>
                    <a:noFill/>
                  </pic:spPr>
                </pic:pic>
              </a:graphicData>
            </a:graphic>
          </wp:anchor>
        </w:drawing>
        <w:drawing>
          <wp:anchor simplePos="0" relativeHeight="251657728" behindDoc="1" locked="0" layoutInCell="0" allowOverlap="1">
            <wp:simplePos x="0" y="0"/>
            <wp:positionH relativeFrom="column">
              <wp:posOffset>5053965</wp:posOffset>
            </wp:positionH>
            <wp:positionV relativeFrom="paragraph">
              <wp:posOffset>-339090</wp:posOffset>
            </wp:positionV>
            <wp:extent cx="111125" cy="5715"/>
            <wp:wrapNone/>
            <wp:docPr id="137" name="Picture 1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7"/>
                    <pic:cNvPicPr>
                      <a:picLocks noChangeAspect="1" noChangeArrowheads="1"/>
                    </pic:cNvPicPr>
                  </pic:nvPicPr>
                  <pic:blipFill>
                    <a:blip r:embed="rId144">
                      <a:extLst>
                        <a:ext uri="{28A0092B-C50C-407E-A947-70E740481C1C}"/>
                      </a:extLst>
                    </a:blip>
                    <a:srcRect/>
                    <a:stretch>
                      <a:fillRect/>
                    </a:stretch>
                  </pic:blipFill>
                  <pic:spPr bwMode="auto">
                    <a:xfrm>
                      <a:off x="0" y="0"/>
                      <a:ext cx="111125" cy="5715"/>
                    </a:xfrm>
                    <a:prstGeom prst="rect">
                      <a:avLst/>
                    </a:prstGeom>
                    <a:noFill/>
                  </pic:spPr>
                </pic:pic>
              </a:graphicData>
            </a:graphic>
          </wp:anchor>
        </w:drawing>
        <w:drawing>
          <wp:anchor simplePos="0" relativeHeight="251657728" behindDoc="1" locked="0" layoutInCell="0" allowOverlap="1">
            <wp:simplePos x="0" y="0"/>
            <wp:positionH relativeFrom="column">
              <wp:posOffset>5662930</wp:posOffset>
            </wp:positionH>
            <wp:positionV relativeFrom="paragraph">
              <wp:posOffset>-339090</wp:posOffset>
            </wp:positionV>
            <wp:extent cx="93980" cy="5715"/>
            <wp:wrapNone/>
            <wp:docPr id="138" name="Picture 1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8"/>
                    <pic:cNvPicPr>
                      <a:picLocks noChangeAspect="1" noChangeArrowheads="1"/>
                    </pic:cNvPicPr>
                  </pic:nvPicPr>
                  <pic:blipFill>
                    <a:blip r:embed="rId145">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6442710</wp:posOffset>
            </wp:positionH>
            <wp:positionV relativeFrom="paragraph">
              <wp:posOffset>-339090</wp:posOffset>
            </wp:positionV>
            <wp:extent cx="93980" cy="5715"/>
            <wp:wrapNone/>
            <wp:docPr id="139" name="Picture 1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39"/>
                    <pic:cNvPicPr>
                      <a:picLocks noChangeAspect="1" noChangeArrowheads="1"/>
                    </pic:cNvPicPr>
                  </pic:nvPicPr>
                  <pic:blipFill>
                    <a:blip r:embed="rId146">
                      <a:extLst>
                        <a:ext uri="{28A0092B-C50C-407E-A947-70E740481C1C}"/>
                      </a:extLst>
                    </a:blip>
                    <a:srcRect/>
                    <a:stretch>
                      <a:fillRect/>
                    </a:stretch>
                  </pic:blipFill>
                  <pic:spPr bwMode="auto">
                    <a:xfrm>
                      <a:off x="0" y="0"/>
                      <a:ext cx="93980" cy="5715"/>
                    </a:xfrm>
                    <a:prstGeom prst="rect">
                      <a:avLst/>
                    </a:prstGeom>
                    <a:noFill/>
                  </pic:spPr>
                </pic:pic>
              </a:graphicData>
            </a:graphic>
          </wp:anchor>
        </w:drawing>
        <w:drawing>
          <wp:anchor simplePos="0" relativeHeight="251657728" behindDoc="1" locked="0" layoutInCell="0" allowOverlap="1">
            <wp:simplePos x="0" y="0"/>
            <wp:positionH relativeFrom="column">
              <wp:posOffset>7085965</wp:posOffset>
            </wp:positionH>
            <wp:positionV relativeFrom="paragraph">
              <wp:posOffset>-339090</wp:posOffset>
            </wp:positionV>
            <wp:extent cx="51435" cy="5715"/>
            <wp:wrapNone/>
            <wp:docPr id="140" name="Picture 1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0"/>
                    <pic:cNvPicPr>
                      <a:picLocks noChangeAspect="1" noChangeArrowheads="1"/>
                    </pic:cNvPicPr>
                  </pic:nvPicPr>
                  <pic:blipFill>
                    <a:blip r:embed="rId147">
                      <a:extLst>
                        <a:ext uri="{28A0092B-C50C-407E-A947-70E740481C1C}"/>
                      </a:extLst>
                    </a:blip>
                    <a:srcRect/>
                    <a:stretch>
                      <a:fillRect/>
                    </a:stretch>
                  </pic:blipFill>
                  <pic:spPr bwMode="auto">
                    <a:xfrm>
                      <a:off x="0" y="0"/>
                      <a:ext cx="51435" cy="5715"/>
                    </a:xfrm>
                    <a:prstGeom prst="rect">
                      <a:avLst/>
                    </a:prstGeom>
                    <a:noFill/>
                  </pic:spPr>
                </pic:pic>
              </a:graphicData>
            </a:graphic>
          </wp:anchor>
        </w:drawing>
      </w:r>
    </w:p>
    <w:p>
      <w:pPr>
        <w:spacing w:after="0" w:line="2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See accompanying notes to condensed financial statements.</w:t>
      </w:r>
    </w:p>
    <w:p>
      <w:pPr>
        <w:spacing w:after="0" w:line="25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141" name="Picture 1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1"/>
                    <pic:cNvPicPr>
                      <a:picLocks noChangeAspect="1" noChangeArrowheads="1"/>
                    </pic:cNvPicPr>
                  </pic:nvPicPr>
                  <pic:blipFill>
                    <a:blip r:embed="rId14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7" w:name="page8"/>
    <w:bookmarkEnd w:id="7"/>
    <w:p>
      <w:pPr>
        <w:jc w:val="center"/>
        <w:spacing w:after="0"/>
        <w:rPr>
          <w:sz w:val="20"/>
          <w:szCs w:val="20"/>
          <w:color w:val="auto"/>
        </w:rPr>
      </w:pPr>
      <w:r>
        <w:rPr>
          <w:rFonts w:ascii="Arial" w:cs="Arial" w:eastAsia="Arial" w:hAnsi="Arial"/>
          <w:sz w:val="18"/>
          <w:szCs w:val="18"/>
          <w:b w:val="1"/>
          <w:bCs w:val="1"/>
          <w:color w:val="auto"/>
        </w:rPr>
        <w:t>KIRBY CORPORATION AND CONSOLIDATED SUBSIDIARIES</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NOTES TO CONDENSED FINANCIAL STATEMENTS</w:t>
      </w:r>
    </w:p>
    <w:p>
      <w:pPr>
        <w:spacing w:after="0" w:line="23"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(Unaudited)</w:t>
      </w:r>
    </w:p>
    <w:p>
      <w:pPr>
        <w:spacing w:after="0" w:line="247" w:lineRule="exact"/>
        <w:rPr>
          <w:sz w:val="20"/>
          <w:szCs w:val="20"/>
          <w:color w:val="auto"/>
        </w:rPr>
      </w:pPr>
    </w:p>
    <w:p>
      <w:pPr>
        <w:ind w:left="500" w:hanging="485"/>
        <w:spacing w:after="0"/>
        <w:tabs>
          <w:tab w:leader="none" w:pos="500" w:val="left"/>
        </w:tabs>
        <w:numPr>
          <w:ilvl w:val="0"/>
          <w:numId w:val="1"/>
        </w:numPr>
        <w:rPr>
          <w:rFonts w:ascii="Arial" w:cs="Arial" w:eastAsia="Arial" w:hAnsi="Arial"/>
          <w:sz w:val="18"/>
          <w:szCs w:val="18"/>
          <w:b w:val="1"/>
          <w:bCs w:val="1"/>
          <w:color w:val="auto"/>
        </w:rPr>
      </w:pPr>
      <w:r>
        <w:rPr>
          <w:rFonts w:ascii="Arial" w:cs="Arial" w:eastAsia="Arial" w:hAnsi="Arial"/>
          <w:sz w:val="18"/>
          <w:szCs w:val="18"/>
          <w:b w:val="1"/>
          <w:bCs w:val="1"/>
          <w:color w:val="auto"/>
        </w:rPr>
        <w:t>Basis for Preparation of the Condensed Financial Statements</w:t>
      </w:r>
    </w:p>
    <w:p>
      <w:pPr>
        <w:spacing w:after="0" w:line="256"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7"/>
          <w:szCs w:val="17"/>
          <w:color w:val="auto"/>
        </w:rPr>
        <w:t>The condensed financial statements included herein have been prepared by Kirby Corporation and its consolidated subsidiaries (the “Company”), without audit, pursuant to the rules and regulations of the Securities and Exchange Commission. Although the Company believes that the disclosures are adequate to make the information presented not misleading, certain information and footnote disclosures, including significant accounting policies normally included in annual financial statements, have been condensed or omitted pursuant to such rules and regulations. It is suggested that these condensed financial statements be read in conjunction with the Company’s Annual Report on Form 10-K for the year ended December 31, 2020. Certain reclassifications have been made to reflect the current presentation of financial information.</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Accounting Standard Adoption</w:t>
      </w:r>
    </w:p>
    <w:p>
      <w:pPr>
        <w:spacing w:after="0" w:line="252"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8"/>
          <w:szCs w:val="18"/>
          <w:color w:val="auto"/>
        </w:rPr>
        <w:t>In December 2019, the Financial Accounting Standards Board issued Accounting Standards Update 2019-12, “Income Taxes (Topic 740): Simplifying the Accounting for Income Taxes” (“ASU 2019-12”) which simplifies the accounting for income taxes by removing certain exceptions to the general principles in Topic 740, Income Taxes. The Company adopted ASU 2019-12 on January 1, 2021. There was no material impact on the Company’s financial statements or disclosures upon adoption of ASU 2019-12.</w:t>
      </w:r>
    </w:p>
    <w:p>
      <w:pPr>
        <w:spacing w:after="0" w:line="195" w:lineRule="exact"/>
        <w:rPr>
          <w:sz w:val="20"/>
          <w:szCs w:val="20"/>
          <w:color w:val="auto"/>
        </w:rPr>
      </w:pPr>
    </w:p>
    <w:p>
      <w:pPr>
        <w:ind w:left="480" w:hanging="472"/>
        <w:spacing w:after="0"/>
        <w:tabs>
          <w:tab w:leader="none" w:pos="480" w:val="left"/>
        </w:tabs>
        <w:numPr>
          <w:ilvl w:val="0"/>
          <w:numId w:val="2"/>
        </w:numPr>
        <w:rPr>
          <w:rFonts w:ascii="Arial" w:cs="Arial" w:eastAsia="Arial" w:hAnsi="Arial"/>
          <w:sz w:val="18"/>
          <w:szCs w:val="18"/>
          <w:b w:val="1"/>
          <w:bCs w:val="1"/>
          <w:color w:val="auto"/>
        </w:rPr>
      </w:pPr>
      <w:r>
        <w:rPr>
          <w:rFonts w:ascii="Arial" w:cs="Arial" w:eastAsia="Arial" w:hAnsi="Arial"/>
          <w:sz w:val="18"/>
          <w:szCs w:val="18"/>
          <w:b w:val="1"/>
          <w:bCs w:val="1"/>
          <w:color w:val="auto"/>
        </w:rPr>
        <w:t>Acquisition</w:t>
      </w:r>
    </w:p>
    <w:p>
      <w:pPr>
        <w:spacing w:after="0" w:line="256" w:lineRule="exact"/>
        <w:rPr>
          <w:sz w:val="20"/>
          <w:szCs w:val="20"/>
          <w:color w:val="auto"/>
        </w:rPr>
      </w:pPr>
    </w:p>
    <w:p>
      <w:pPr>
        <w:ind w:firstLine="562"/>
        <w:spacing w:after="0" w:line="293" w:lineRule="auto"/>
        <w:rPr>
          <w:sz w:val="20"/>
          <w:szCs w:val="20"/>
          <w:color w:val="auto"/>
        </w:rPr>
      </w:pPr>
      <w:r>
        <w:rPr>
          <w:rFonts w:ascii="Arial" w:cs="Arial" w:eastAsia="Arial" w:hAnsi="Arial"/>
          <w:sz w:val="18"/>
          <w:szCs w:val="18"/>
          <w:color w:val="auto"/>
        </w:rPr>
        <w:t>During the nine months ended September 30, 2021, the Company purchased four inland tank barges from a leasing company for $7,470,000 in cash. The Company had been leasing the barges prior to the purchase.</w:t>
      </w:r>
    </w:p>
    <w:p>
      <w:pPr>
        <w:spacing w:after="0" w:line="179" w:lineRule="exact"/>
        <w:rPr>
          <w:sz w:val="20"/>
          <w:szCs w:val="20"/>
          <w:color w:val="auto"/>
        </w:rPr>
      </w:pPr>
    </w:p>
    <w:p>
      <w:pPr>
        <w:ind w:left="480" w:hanging="472"/>
        <w:spacing w:after="0"/>
        <w:tabs>
          <w:tab w:leader="none" w:pos="480" w:val="left"/>
        </w:tabs>
        <w:numPr>
          <w:ilvl w:val="0"/>
          <w:numId w:val="3"/>
        </w:numPr>
        <w:rPr>
          <w:rFonts w:ascii="Arial" w:cs="Arial" w:eastAsia="Arial" w:hAnsi="Arial"/>
          <w:sz w:val="18"/>
          <w:szCs w:val="18"/>
          <w:b w:val="1"/>
          <w:bCs w:val="1"/>
          <w:color w:val="auto"/>
        </w:rPr>
      </w:pPr>
      <w:r>
        <w:rPr>
          <w:rFonts w:ascii="Arial" w:cs="Arial" w:eastAsia="Arial" w:hAnsi="Arial"/>
          <w:sz w:val="18"/>
          <w:szCs w:val="18"/>
          <w:b w:val="1"/>
          <w:bCs w:val="1"/>
          <w:color w:val="auto"/>
        </w:rPr>
        <w:t>Revenues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Company’s revenues by major source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800" w:type="dxa"/>
            <w:vAlign w:val="bottom"/>
            <w:tcBorders>
              <w:bottom w:val="single" w:sz="8" w:color="auto"/>
            </w:tcBorders>
            <w:gridSpan w:val="4"/>
          </w:tcPr>
          <w:p>
            <w:pPr>
              <w:jc w:val="right"/>
              <w:ind w:right="333"/>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3"/>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r>
      <w:tr>
        <w:trPr>
          <w:trHeight w:val="196"/>
        </w:trPr>
        <w:tc>
          <w:tcPr>
            <w:tcW w:w="48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40" w:type="dxa"/>
            <w:vAlign w:val="bottom"/>
            <w:tcBorders>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1040" w:type="dxa"/>
            <w:vAlign w:val="bottom"/>
            <w:tcBorders>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Marine transportation segment:</w:t>
            </w:r>
          </w:p>
        </w:tc>
        <w:tc>
          <w:tcPr>
            <w:tcW w:w="26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Inland transportation</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255,791</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247,647</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733,830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869,224</w:t>
            </w:r>
          </w:p>
        </w:tc>
        <w:tc>
          <w:tcPr>
            <w:tcW w:w="100" w:type="dxa"/>
            <w:vAlign w:val="bottom"/>
          </w:tcPr>
          <w:p>
            <w:pPr>
              <w:spacing w:after="0"/>
              <w:rPr>
                <w:sz w:val="21"/>
                <w:szCs w:val="21"/>
                <w:color w:val="auto"/>
              </w:rPr>
            </w:pPr>
          </w:p>
        </w:tc>
      </w:tr>
      <w:tr>
        <w:trPr>
          <w:trHeight w:val="257"/>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Coastal transportation</w:t>
            </w:r>
          </w:p>
        </w:tc>
        <w:tc>
          <w:tcPr>
            <w:tcW w:w="2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82,723</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72,955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238,522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235,622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338,514</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320,602</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972,352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1,104,846</w:t>
            </w:r>
          </w:p>
        </w:tc>
        <w:tc>
          <w:tcPr>
            <w:tcW w:w="10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800" w:type="dxa"/>
            <w:vAlign w:val="bottom"/>
            <w:shd w:val="clear" w:color="auto" w:fill="CFF0FC"/>
          </w:tcPr>
          <w:p>
            <w:pPr>
              <w:ind w:left="20"/>
              <w:spacing w:after="0"/>
              <w:rPr>
                <w:sz w:val="20"/>
                <w:szCs w:val="20"/>
                <w:color w:val="auto"/>
              </w:rPr>
            </w:pPr>
            <w:r>
              <w:rPr>
                <w:rFonts w:ascii="Arial" w:cs="Arial" w:eastAsia="Arial" w:hAnsi="Arial"/>
                <w:sz w:val="18"/>
                <w:szCs w:val="18"/>
                <w:color w:val="auto"/>
              </w:rPr>
              <w:t>Distribution and services segment:</w:t>
            </w:r>
          </w:p>
        </w:tc>
        <w:tc>
          <w:tcPr>
            <w:tcW w:w="26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40" w:type="dxa"/>
            <w:vAlign w:val="bottom"/>
            <w:shd w:val="clear" w:color="auto" w:fill="CFF0FC"/>
          </w:tcPr>
          <w:p>
            <w:pPr>
              <w:spacing w:after="0"/>
              <w:rPr>
                <w:sz w:val="21"/>
                <w:szCs w:val="21"/>
                <w:color w:val="auto"/>
              </w:rPr>
            </w:pPr>
          </w:p>
        </w:tc>
        <w:tc>
          <w:tcPr>
            <w:tcW w:w="104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800" w:type="dxa"/>
            <w:vAlign w:val="bottom"/>
          </w:tcPr>
          <w:p>
            <w:pPr>
              <w:ind w:left="200"/>
              <w:spacing w:after="0"/>
              <w:rPr>
                <w:sz w:val="20"/>
                <w:szCs w:val="20"/>
                <w:color w:val="auto"/>
              </w:rPr>
            </w:pPr>
            <w:r>
              <w:rPr>
                <w:rFonts w:ascii="Arial" w:cs="Arial" w:eastAsia="Arial" w:hAnsi="Arial"/>
                <w:sz w:val="18"/>
                <w:szCs w:val="18"/>
                <w:color w:val="auto"/>
              </w:rPr>
              <w:t>Commercial and industrial</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153,056</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127,224</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426,930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418,763</w:t>
            </w:r>
          </w:p>
        </w:tc>
        <w:tc>
          <w:tcPr>
            <w:tcW w:w="100" w:type="dxa"/>
            <w:vAlign w:val="bottom"/>
          </w:tcPr>
          <w:p>
            <w:pPr>
              <w:spacing w:after="0"/>
              <w:rPr>
                <w:sz w:val="21"/>
                <w:szCs w:val="21"/>
                <w:color w:val="auto"/>
              </w:rPr>
            </w:pPr>
          </w:p>
        </w:tc>
      </w:tr>
      <w:tr>
        <w:trPr>
          <w:trHeight w:val="257"/>
        </w:trPr>
        <w:tc>
          <w:tcPr>
            <w:tcW w:w="480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Oil and gas</w:t>
            </w:r>
          </w:p>
        </w:tc>
        <w:tc>
          <w:tcPr>
            <w:tcW w:w="26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107,350</w:t>
            </w:r>
          </w:p>
        </w:tc>
        <w:tc>
          <w:tcPr>
            <w:tcW w:w="280" w:type="dxa"/>
            <w:vAlign w:val="bottom"/>
            <w:tcBorders>
              <w:bottom w:val="single" w:sz="8" w:color="CFF0FC"/>
            </w:tcBorders>
            <w:shd w:val="clear" w:color="auto" w:fill="CFF0FC"/>
          </w:tcPr>
          <w:p>
            <w:pPr>
              <w:spacing w:after="0"/>
              <w:rPr>
                <w:sz w:val="22"/>
                <w:szCs w:val="22"/>
                <w:color w:val="auto"/>
              </w:rPr>
            </w:pPr>
          </w:p>
        </w:tc>
        <w:tc>
          <w:tcPr>
            <w:tcW w:w="340" w:type="dxa"/>
            <w:vAlign w:val="bottom"/>
            <w:tcBorders>
              <w:bottom w:val="single" w:sz="8" w:color="auto"/>
            </w:tcBorders>
            <w:shd w:val="clear" w:color="auto" w:fill="CFF0FC"/>
          </w:tcPr>
          <w:p>
            <w:pPr>
              <w:spacing w:after="0"/>
              <w:rPr>
                <w:sz w:val="22"/>
                <w:szCs w:val="22"/>
                <w:color w:val="auto"/>
              </w:rPr>
            </w:pPr>
          </w:p>
        </w:tc>
        <w:tc>
          <w:tcPr>
            <w:tcW w:w="10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48,741</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256,112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158,043</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0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260,406</w:t>
            </w:r>
          </w:p>
        </w:tc>
        <w:tc>
          <w:tcPr>
            <w:tcW w:w="62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40" w:type="dxa"/>
            <w:vAlign w:val="bottom"/>
          </w:tcPr>
          <w:p>
            <w:pPr>
              <w:jc w:val="right"/>
              <w:spacing w:after="0"/>
              <w:rPr>
                <w:sz w:val="20"/>
                <w:szCs w:val="20"/>
                <w:color w:val="auto"/>
              </w:rPr>
            </w:pPr>
            <w:r>
              <w:rPr>
                <w:rFonts w:ascii="Arial" w:cs="Arial" w:eastAsia="Arial" w:hAnsi="Arial"/>
                <w:sz w:val="18"/>
                <w:szCs w:val="18"/>
                <w:color w:val="auto"/>
              </w:rPr>
              <w:t>175,965</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683,042</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576,806</w:t>
            </w:r>
          </w:p>
        </w:tc>
        <w:tc>
          <w:tcPr>
            <w:tcW w:w="100" w:type="dxa"/>
            <w:vAlign w:val="bottom"/>
          </w:tcPr>
          <w:p>
            <w:pPr>
              <w:spacing w:after="0"/>
              <w:rPr>
                <w:sz w:val="21"/>
                <w:szCs w:val="21"/>
                <w:color w:val="auto"/>
              </w:rPr>
            </w:pPr>
          </w:p>
        </w:tc>
      </w:tr>
      <w:tr>
        <w:trPr>
          <w:trHeight w:val="20"/>
        </w:trPr>
        <w:tc>
          <w:tcPr>
            <w:tcW w:w="480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tcBorders>
              <w:top w:val="single" w:sz="8" w:color="auto"/>
              <w:bottom w:val="single" w:sz="8" w:color="auto"/>
            </w:tcBorders>
          </w:tcPr>
          <w:p>
            <w:pPr>
              <w:spacing w:after="0" w:line="20" w:lineRule="exact"/>
              <w:rPr>
                <w:sz w:val="1"/>
                <w:szCs w:val="1"/>
                <w:color w:val="auto"/>
              </w:rPr>
            </w:pPr>
          </w:p>
        </w:tc>
        <w:tc>
          <w:tcPr>
            <w:tcW w:w="104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-879475</wp:posOffset>
            </wp:positionV>
            <wp:extent cx="179705" cy="5715"/>
            <wp:wrapNone/>
            <wp:docPr id="142" name="Picture 1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2"/>
                    <pic:cNvPicPr>
                      <a:picLocks noChangeAspect="1" noChangeArrowheads="1"/>
                    </pic:cNvPicPr>
                  </pic:nvPicPr>
                  <pic:blipFill>
                    <a:blip r:embed="rId149">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-879475</wp:posOffset>
            </wp:positionV>
            <wp:extent cx="162560" cy="5715"/>
            <wp:wrapNone/>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3"/>
                    <pic:cNvPicPr>
                      <a:picLocks noChangeAspect="1" noChangeArrowheads="1"/>
                    </pic:cNvPicPr>
                  </pic:nvPicPr>
                  <pic:blipFill>
                    <a:blip r:embed="rId15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-879475</wp:posOffset>
            </wp:positionV>
            <wp:extent cx="162560" cy="5715"/>
            <wp:wrapNone/>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4"/>
                    <pic:cNvPicPr>
                      <a:picLocks noChangeAspect="1" noChangeArrowheads="1"/>
                    </pic:cNvPicPr>
                  </pic:nvPicPr>
                  <pic:blipFill>
                    <a:blip r:embed="rId151">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-879475</wp:posOffset>
            </wp:positionV>
            <wp:extent cx="68580" cy="5715"/>
            <wp:wrapNone/>
            <wp:docPr id="145" name="Picture 1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5"/>
                    <pic:cNvPicPr>
                      <a:picLocks noChangeAspect="1" noChangeArrowheads="1"/>
                    </pic:cNvPicPr>
                  </pic:nvPicPr>
                  <pic:blipFill>
                    <a:blip r:embed="rId15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-193675</wp:posOffset>
            </wp:positionV>
            <wp:extent cx="179705" cy="5715"/>
            <wp:wrapNone/>
            <wp:docPr id="146" name="Picture 1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6"/>
                    <pic:cNvPicPr>
                      <a:picLocks noChangeAspect="1" noChangeArrowheads="1"/>
                    </pic:cNvPicPr>
                  </pic:nvPicPr>
                  <pic:blipFill>
                    <a:blip r:embed="rId153">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-193675</wp:posOffset>
            </wp:positionV>
            <wp:extent cx="162560" cy="5715"/>
            <wp:wrapNone/>
            <wp:docPr id="147" name="Picture 1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7"/>
                    <pic:cNvPicPr>
                      <a:picLocks noChangeAspect="1" noChangeArrowheads="1"/>
                    </pic:cNvPicPr>
                  </pic:nvPicPr>
                  <pic:blipFill>
                    <a:blip r:embed="rId154">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-193675</wp:posOffset>
            </wp:positionV>
            <wp:extent cx="162560" cy="5715"/>
            <wp:wrapNone/>
            <wp:docPr id="148" name="Picture 1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8"/>
                    <pic:cNvPicPr>
                      <a:picLocks noChangeAspect="1" noChangeArrowheads="1"/>
                    </pic:cNvPicPr>
                  </pic:nvPicPr>
                  <pic:blipFill>
                    <a:blip r:embed="rId15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49" name="Picture 1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49"/>
                    <pic:cNvPicPr>
                      <a:picLocks noChangeAspect="1" noChangeArrowheads="1"/>
                    </pic:cNvPicPr>
                  </pic:nvPicPr>
                  <pic:blipFill>
                    <a:blip r:embed="rId156">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8"/>
          <w:szCs w:val="18"/>
          <w:color w:val="auto"/>
        </w:rPr>
        <w:t>Contract liabilities represent advance consideration received from customers, and are recognized as revenue over time as the related performance obligation is satisfied. Revenues recognized during the nine months ended September 30, 2021 and 2020 that were included in the opening contract liability balances were $40,315,000 and $37,153,000, respectively. The Company presents all contract liabilities within the deferred revenues financial statement caption on the balance sheets. The Company did not have any contract assets at September 30, 2021 or December 31, 2020. The Company applies the practical expedient that allows non-disclosure of information about remaining performance obligations that have original expected durations of one year or less.</w:t>
      </w:r>
    </w:p>
    <w:p>
      <w:pPr>
        <w:spacing w:after="0" w:line="200" w:lineRule="exact"/>
        <w:rPr>
          <w:sz w:val="20"/>
          <w:szCs w:val="20"/>
          <w:color w:val="auto"/>
        </w:rPr>
      </w:pPr>
    </w:p>
    <w:p>
      <w:pPr>
        <w:ind w:left="480" w:hanging="472"/>
        <w:spacing w:after="0"/>
        <w:tabs>
          <w:tab w:leader="none" w:pos="480" w:val="left"/>
        </w:tabs>
        <w:numPr>
          <w:ilvl w:val="0"/>
          <w:numId w:val="4"/>
        </w:numPr>
        <w:rPr>
          <w:rFonts w:ascii="Arial" w:cs="Arial" w:eastAsia="Arial" w:hAnsi="Arial"/>
          <w:sz w:val="18"/>
          <w:szCs w:val="18"/>
          <w:b w:val="1"/>
          <w:bCs w:val="1"/>
          <w:color w:val="auto"/>
        </w:rPr>
      </w:pPr>
      <w:r>
        <w:rPr>
          <w:rFonts w:ascii="Arial" w:cs="Arial" w:eastAsia="Arial" w:hAnsi="Arial"/>
          <w:sz w:val="18"/>
          <w:szCs w:val="18"/>
          <w:b w:val="1"/>
          <w:bCs w:val="1"/>
          <w:color w:val="auto"/>
        </w:rPr>
        <w:t>Segment Data</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operations are aggregated into two reportable business segments as follows:</w:t>
      </w:r>
    </w:p>
    <w:p>
      <w:pPr>
        <w:spacing w:after="0" w:line="252" w:lineRule="exact"/>
        <w:rPr>
          <w:sz w:val="20"/>
          <w:szCs w:val="20"/>
          <w:color w:val="auto"/>
        </w:rPr>
      </w:pPr>
    </w:p>
    <w:p>
      <w:pPr>
        <w:jc w:val="both"/>
        <w:ind w:firstLine="562"/>
        <w:spacing w:after="0" w:line="329" w:lineRule="auto"/>
        <w:rPr>
          <w:sz w:val="20"/>
          <w:szCs w:val="20"/>
          <w:color w:val="auto"/>
        </w:rPr>
      </w:pPr>
      <w:r>
        <w:rPr>
          <w:rFonts w:ascii="Arial" w:cs="Arial" w:eastAsia="Arial" w:hAnsi="Arial"/>
          <w:sz w:val="16"/>
          <w:szCs w:val="16"/>
          <w:i w:val="1"/>
          <w:iCs w:val="1"/>
          <w:color w:val="auto"/>
        </w:rPr>
        <w:t xml:space="preserve">Marine Transportation </w:t>
      </w:r>
      <w:r>
        <w:rPr>
          <w:rFonts w:ascii="Arial" w:cs="Arial" w:eastAsia="Arial" w:hAnsi="Arial"/>
          <w:sz w:val="16"/>
          <w:szCs w:val="16"/>
          <w:color w:val="auto"/>
        </w:rPr>
        <w:t>— Provides marine transportation by United States flagged vessels principally of liquid cargoes throughout the United</w:t>
      </w:r>
      <w:r>
        <w:rPr>
          <w:rFonts w:ascii="Arial" w:cs="Arial" w:eastAsia="Arial" w:hAnsi="Arial"/>
          <w:sz w:val="16"/>
          <w:szCs w:val="16"/>
          <w:i w:val="1"/>
          <w:iCs w:val="1"/>
          <w:color w:val="auto"/>
        </w:rPr>
        <w:t xml:space="preserve"> </w:t>
      </w:r>
      <w:r>
        <w:rPr>
          <w:rFonts w:ascii="Arial" w:cs="Arial" w:eastAsia="Arial" w:hAnsi="Arial"/>
          <w:sz w:val="16"/>
          <w:szCs w:val="16"/>
          <w:color w:val="auto"/>
        </w:rPr>
        <w:t>States inland waterway system, along all three United States coasts, in Alaska and Hawaii and, to a lesser extent, in United States coastal transportation of dry-bulk cargoes. The principal products transported include petrochemicals, black oil, refined petroleum products and agricultural chemicals.</w:t>
      </w:r>
    </w:p>
    <w:p>
      <w:pPr>
        <w:spacing w:after="0" w:line="310"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50" name="Picture 1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0"/>
                    <pic:cNvPicPr>
                      <a:picLocks noChangeAspect="1" noChangeArrowheads="1"/>
                    </pic:cNvPicPr>
                  </pic:nvPicPr>
                  <pic:blipFill>
                    <a:blip r:embed="rId15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8" w:name="page9"/>
    <w:bookmarkEnd w:id="8"/>
    <w:p>
      <w:pPr>
        <w:jc w:val="both"/>
        <w:ind w:firstLine="569"/>
        <w:spacing w:after="0" w:line="296" w:lineRule="auto"/>
        <w:rPr>
          <w:sz w:val="20"/>
          <w:szCs w:val="20"/>
          <w:color w:val="auto"/>
        </w:rPr>
      </w:pPr>
      <w:r>
        <w:rPr>
          <w:rFonts w:ascii="Arial" w:cs="Arial" w:eastAsia="Arial" w:hAnsi="Arial"/>
          <w:sz w:val="17"/>
          <w:szCs w:val="17"/>
          <w:i w:val="1"/>
          <w:iCs w:val="1"/>
          <w:color w:val="auto"/>
        </w:rPr>
        <w:t xml:space="preserve">Distribution and Services </w:t>
      </w:r>
      <w:r>
        <w:rPr>
          <w:rFonts w:ascii="Arial" w:cs="Arial" w:eastAsia="Arial" w:hAnsi="Arial"/>
          <w:sz w:val="17"/>
          <w:szCs w:val="17"/>
          <w:color w:val="auto"/>
        </w:rPr>
        <w:t>— Provides after-market services and parts for engines, transmissions, reduction gears and related equipment used in</w:t>
      </w:r>
      <w:r>
        <w:rPr>
          <w:rFonts w:ascii="Arial" w:cs="Arial" w:eastAsia="Arial" w:hAnsi="Arial"/>
          <w:sz w:val="17"/>
          <w:szCs w:val="17"/>
          <w:i w:val="1"/>
          <w:iCs w:val="1"/>
          <w:color w:val="auto"/>
        </w:rPr>
        <w:t xml:space="preserve"> </w:t>
      </w:r>
      <w:r>
        <w:rPr>
          <w:rFonts w:ascii="Arial" w:cs="Arial" w:eastAsia="Arial" w:hAnsi="Arial"/>
          <w:sz w:val="17"/>
          <w:szCs w:val="17"/>
          <w:color w:val="auto"/>
        </w:rPr>
        <w:t>oilfield service,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83" w:lineRule="exact"/>
        <w:rPr>
          <w:sz w:val="20"/>
          <w:szCs w:val="20"/>
          <w:color w:val="auto"/>
        </w:rPr>
      </w:pPr>
    </w:p>
    <w:p>
      <w:pPr>
        <w:jc w:val="both"/>
        <w:ind w:firstLine="562"/>
        <w:spacing w:after="0" w:line="287" w:lineRule="auto"/>
        <w:rPr>
          <w:sz w:val="20"/>
          <w:szCs w:val="20"/>
          <w:color w:val="auto"/>
        </w:rPr>
      </w:pPr>
      <w:r>
        <w:rPr>
          <w:rFonts w:ascii="Arial" w:cs="Arial" w:eastAsia="Arial" w:hAnsi="Arial"/>
          <w:sz w:val="17"/>
          <w:szCs w:val="17"/>
          <w:color w:val="auto"/>
        </w:rPr>
        <w:t>The Company’s two reportable business segments are managed separately based on fundamental differences in their operations. The Company evaluates the performance of its segments based on the contributions to operating income of the respective segments, before income taxes, interest, gains or losses on disposition of assets, other nonoperating income, noncontrolling interests, accounting changes, and nonrecurring items. Intersegment revenues, based on market-based pricing, of the distribution and services segment from the marine transportation segment of $5,436,000 and $17,593,000 for the three months and nine months ended September 30, 2021, respectively, and $6,768,000 and $23,115,000 for the three months and nine months ended September 30, 2020, respectively, as well as the related intersegment profit of $543,000 and $1,759,000 for the three months and nine months ended September 30, 2021, respectively, and $676,000 and $2,311,000 for the three months and nine months ended September 30, 2020, respectively, have been eliminated from the tables below.</w:t>
      </w:r>
    </w:p>
    <w:p>
      <w:pPr>
        <w:spacing w:after="0" w:line="195"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tables set forth the Company’s revenues and profit or loss by reportable segment and total assets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4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4"/>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Revenues: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338,514</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320,602</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972,352</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1,104,846</w:t>
            </w:r>
          </w:p>
        </w:tc>
        <w:tc>
          <w:tcPr>
            <w:tcW w:w="100" w:type="dxa"/>
            <w:vAlign w:val="bottom"/>
          </w:tcPr>
          <w:p>
            <w:pPr>
              <w:spacing w:after="0"/>
              <w:rPr>
                <w:sz w:val="21"/>
                <w:szCs w:val="21"/>
                <w:color w:val="auto"/>
              </w:rPr>
            </w:pPr>
          </w:p>
        </w:tc>
      </w:tr>
      <w:tr>
        <w:trPr>
          <w:trHeight w:val="257"/>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260,406</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175,965</w:t>
            </w:r>
          </w:p>
        </w:tc>
        <w:tc>
          <w:tcPr>
            <w:tcW w:w="2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683,042</w:t>
            </w:r>
          </w:p>
        </w:tc>
        <w:tc>
          <w:tcPr>
            <w:tcW w:w="26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576,806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780" w:type="dxa"/>
            <w:vAlign w:val="bottom"/>
          </w:tcPr>
          <w:p>
            <w:pPr>
              <w:spacing w:after="0"/>
              <w:rPr>
                <w:sz w:val="21"/>
                <w:szCs w:val="21"/>
                <w:color w:val="auto"/>
              </w:rPr>
            </w:pPr>
          </w:p>
        </w:tc>
        <w:tc>
          <w:tcPr>
            <w:tcW w:w="28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598,920</w:t>
            </w:r>
          </w:p>
        </w:tc>
        <w:tc>
          <w:tcPr>
            <w:tcW w:w="28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496,567</w:t>
            </w:r>
          </w:p>
        </w:tc>
        <w:tc>
          <w:tcPr>
            <w:tcW w:w="260" w:type="dxa"/>
            <w:vAlign w:val="bottom"/>
          </w:tcPr>
          <w:p>
            <w:pPr>
              <w:spacing w:after="0"/>
              <w:rPr>
                <w:sz w:val="21"/>
                <w:szCs w:val="21"/>
                <w:color w:val="auto"/>
              </w:rPr>
            </w:pPr>
          </w:p>
        </w:tc>
        <w:tc>
          <w:tcPr>
            <w:tcW w:w="260" w:type="dxa"/>
            <w:vAlign w:val="bottom"/>
            <w:tcBorders>
              <w:bottom w:val="single" w:sz="8" w:color="auto"/>
            </w:tcBorders>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1,655,394</w:t>
            </w:r>
          </w:p>
        </w:tc>
        <w:tc>
          <w:tcPr>
            <w:tcW w:w="260" w:type="dxa"/>
            <w:vAlign w:val="bottom"/>
          </w:tcPr>
          <w:p>
            <w:pPr>
              <w:spacing w:after="0"/>
              <w:rPr>
                <w:sz w:val="21"/>
                <w:szCs w:val="21"/>
                <w:color w:val="auto"/>
              </w:rPr>
            </w:pPr>
          </w:p>
        </w:tc>
        <w:tc>
          <w:tcPr>
            <w:tcW w:w="320" w:type="dxa"/>
            <w:vAlign w:val="bottom"/>
            <w:tcBorders>
              <w:bottom w:val="single" w:sz="8" w:color="auto"/>
            </w:tcBorders>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1,681,652</w:t>
            </w:r>
          </w:p>
        </w:tc>
        <w:tc>
          <w:tcPr>
            <w:tcW w:w="100" w:type="dxa"/>
            <w:vAlign w:val="bottom"/>
          </w:tcPr>
          <w:p>
            <w:pPr>
              <w:spacing w:after="0"/>
              <w:rPr>
                <w:sz w:val="21"/>
                <w:szCs w:val="2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bottom w:val="single" w:sz="8" w:color="auto"/>
            </w:tcBorders>
          </w:tcPr>
          <w:p>
            <w:pPr>
              <w:spacing w:after="0" w:line="20" w:lineRule="exact"/>
              <w:rPr>
                <w:sz w:val="1"/>
                <w:szCs w:val="1"/>
                <w:color w:val="auto"/>
              </w:rPr>
            </w:pPr>
          </w:p>
        </w:tc>
        <w:tc>
          <w:tcPr>
            <w:tcW w:w="114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bottom w:val="single" w:sz="8" w:color="auto"/>
            </w:tcBorders>
          </w:tcPr>
          <w:p>
            <w:pPr>
              <w:spacing w:after="0" w:line="20" w:lineRule="exact"/>
              <w:rPr>
                <w:sz w:val="1"/>
                <w:szCs w:val="1"/>
                <w:color w:val="auto"/>
              </w:rPr>
            </w:pPr>
          </w:p>
        </w:tc>
        <w:tc>
          <w:tcPr>
            <w:tcW w:w="11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bottom w:val="single" w:sz="8" w:color="auto"/>
            </w:tcBorders>
          </w:tcPr>
          <w:p>
            <w:pPr>
              <w:spacing w:after="0" w:line="20" w:lineRule="exact"/>
              <w:rPr>
                <w:sz w:val="1"/>
                <w:szCs w:val="1"/>
                <w:color w:val="auto"/>
              </w:rPr>
            </w:pPr>
          </w:p>
        </w:tc>
        <w:tc>
          <w:tcPr>
            <w:tcW w:w="106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Segment profit (loss):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tcPr>
          <w:p>
            <w:pPr>
              <w:jc w:val="right"/>
              <w:spacing w:after="0"/>
              <w:rPr>
                <w:sz w:val="20"/>
                <w:szCs w:val="20"/>
                <w:color w:val="auto"/>
              </w:rPr>
            </w:pPr>
            <w:r>
              <w:rPr>
                <w:rFonts w:ascii="Arial" w:cs="Arial" w:eastAsia="Arial" w:hAnsi="Arial"/>
                <w:sz w:val="18"/>
                <w:szCs w:val="18"/>
                <w:color w:val="auto"/>
              </w:rPr>
              <w:t>16,915</w:t>
            </w:r>
          </w:p>
        </w:tc>
        <w:tc>
          <w:tcPr>
            <w:tcW w:w="28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32,391</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37,333</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134,482</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(9,325 )</w:t>
            </w: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(353,548 )</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(14,221 )</w:t>
            </w: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(371,199 )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(601,821 )</w:t>
            </w:r>
          </w:p>
        </w:tc>
      </w:tr>
      <w:tr>
        <w:trPr>
          <w:trHeight w:val="20"/>
        </w:trPr>
        <w:tc>
          <w:tcPr>
            <w:tcW w:w="478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478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(325,594 )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19,274</w:t>
            </w:r>
          </w:p>
        </w:tc>
        <w:tc>
          <w:tcPr>
            <w:tcW w:w="260" w:type="dxa"/>
            <w:vAlign w:val="bottom"/>
            <w:shd w:val="clear" w:color="auto" w:fill="CFF0FC"/>
          </w:tcPr>
          <w:p>
            <w:pPr>
              <w:spacing w:after="0"/>
              <w:rPr>
                <w:sz w:val="23"/>
                <w:szCs w:val="23"/>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(313,760 )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(476,664 )</w:t>
            </w: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-1042035</wp:posOffset>
            </wp:positionV>
            <wp:extent cx="180340" cy="5715"/>
            <wp:wrapNone/>
            <wp:docPr id="151" name="Picture 1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1"/>
                    <pic:cNvPicPr>
                      <a:picLocks noChangeAspect="1" noChangeArrowheads="1"/>
                    </pic:cNvPicPr>
                  </pic:nvPicPr>
                  <pic:blipFill>
                    <a:blip r:embed="rId158">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-1042035</wp:posOffset>
            </wp:positionV>
            <wp:extent cx="162560" cy="5715"/>
            <wp:wrapNone/>
            <wp:docPr id="152" name="Picture 1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2"/>
                    <pic:cNvPicPr>
                      <a:picLocks noChangeAspect="1" noChangeArrowheads="1"/>
                    </pic:cNvPicPr>
                  </pic:nvPicPr>
                  <pic:blipFill>
                    <a:blip r:embed="rId15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-1042035</wp:posOffset>
            </wp:positionV>
            <wp:extent cx="162560" cy="5715"/>
            <wp:wrapNone/>
            <wp:docPr id="153" name="Picture 1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3"/>
                    <pic:cNvPicPr>
                      <a:picLocks noChangeAspect="1" noChangeArrowheads="1"/>
                    </pic:cNvPicPr>
                  </pic:nvPicPr>
                  <pic:blipFill>
                    <a:blip r:embed="rId160">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-1042035</wp:posOffset>
            </wp:positionV>
            <wp:extent cx="68580" cy="5715"/>
            <wp:wrapNone/>
            <wp:docPr id="154" name="Picture 1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4"/>
                    <pic:cNvPicPr>
                      <a:picLocks noChangeAspect="1" noChangeArrowheads="1"/>
                    </pic:cNvPicPr>
                  </pic:nvPicPr>
                  <pic:blipFill>
                    <a:blip r:embed="rId161">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180340" cy="8255"/>
            <wp:wrapNone/>
            <wp:docPr id="155" name="Picture 1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5"/>
                    <pic:cNvPicPr>
                      <a:picLocks noChangeAspect="1" noChangeArrowheads="1"/>
                    </pic:cNvPicPr>
                  </pic:nvPicPr>
                  <pic:blipFill>
                    <a:blip r:embed="rId162">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-8255</wp:posOffset>
            </wp:positionV>
            <wp:extent cx="180340" cy="8890"/>
            <wp:wrapNone/>
            <wp:docPr id="156" name="Picture 1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6"/>
                    <pic:cNvPicPr>
                      <a:picLocks noChangeAspect="1" noChangeArrowheads="1"/>
                    </pic:cNvPicPr>
                  </pic:nvPicPr>
                  <pic:blipFill>
                    <a:blip r:embed="rId163">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62560" cy="8255"/>
            <wp:wrapNone/>
            <wp:docPr id="157" name="Picture 1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7"/>
                    <pic:cNvPicPr>
                      <a:picLocks noChangeAspect="1" noChangeArrowheads="1"/>
                    </pic:cNvPicPr>
                  </pic:nvPicPr>
                  <pic:blipFill>
                    <a:blip r:embed="rId164">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-8255</wp:posOffset>
            </wp:positionV>
            <wp:extent cx="162560" cy="8890"/>
            <wp:wrapNone/>
            <wp:docPr id="158" name="Picture 1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8"/>
                    <pic:cNvPicPr>
                      <a:picLocks noChangeAspect="1" noChangeArrowheads="1"/>
                    </pic:cNvPicPr>
                  </pic:nvPicPr>
                  <pic:blipFill>
                    <a:blip r:embed="rId16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62560" cy="8255"/>
            <wp:wrapNone/>
            <wp:docPr id="159" name="Picture 1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59"/>
                    <pic:cNvPicPr>
                      <a:picLocks noChangeAspect="1" noChangeArrowheads="1"/>
                    </pic:cNvPicPr>
                  </pic:nvPicPr>
                  <pic:blipFill>
                    <a:blip r:embed="rId16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-8255</wp:posOffset>
            </wp:positionV>
            <wp:extent cx="162560" cy="8890"/>
            <wp:wrapNone/>
            <wp:docPr id="160" name="Picture 1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0"/>
                    <pic:cNvPicPr>
                      <a:picLocks noChangeAspect="1" noChangeArrowheads="1"/>
                    </pic:cNvPicPr>
                  </pic:nvPicPr>
                  <pic:blipFill>
                    <a:blip r:embed="rId16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61" name="Picture 1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1"/>
                    <pic:cNvPicPr>
                      <a:picLocks noChangeAspect="1" noChangeArrowheads="1"/>
                    </pic:cNvPicPr>
                  </pic:nvPicPr>
                  <pic:blipFill>
                    <a:blip r:embed="rId16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-8255</wp:posOffset>
            </wp:positionV>
            <wp:extent cx="68580" cy="8890"/>
            <wp:wrapNone/>
            <wp:docPr id="162" name="Picture 1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2"/>
                    <pic:cNvPicPr>
                      <a:picLocks noChangeAspect="1" noChangeArrowheads="1"/>
                    </pic:cNvPicPr>
                  </pic:nvPicPr>
                  <pic:blipFill>
                    <a:blip r:embed="rId169">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234" w:lineRule="exact"/>
        <w:rPr>
          <w:sz w:val="20"/>
          <w:szCs w:val="20"/>
          <w:color w:val="auto"/>
        </w:rPr>
      </w:pPr>
    </w:p>
    <w:p>
      <w:pPr>
        <w:jc w:val="center"/>
        <w:ind w:left="8260"/>
        <w:spacing w:after="0"/>
        <w:rPr>
          <w:sz w:val="20"/>
          <w:szCs w:val="20"/>
          <w:color w:val="auto"/>
        </w:rPr>
      </w:pPr>
      <w:r>
        <w:rPr>
          <w:rFonts w:ascii="Arial" w:cs="Arial" w:eastAsia="Arial" w:hAnsi="Arial"/>
          <w:sz w:val="12"/>
          <w:szCs w:val="12"/>
          <w:b w:val="1"/>
          <w:bCs w:val="1"/>
          <w:color w:val="auto"/>
        </w:rPr>
        <w:t>September 30,</w:t>
      </w:r>
    </w:p>
    <w:p>
      <w:pPr>
        <w:spacing w:after="0" w:line="48" w:lineRule="exact"/>
        <w:rPr>
          <w:sz w:val="20"/>
          <w:szCs w:val="20"/>
          <w:color w:val="auto"/>
        </w:rPr>
      </w:pPr>
    </w:p>
    <w:p>
      <w:pPr>
        <w:jc w:val="center"/>
        <w:ind w:left="8260"/>
        <w:spacing w:after="0"/>
        <w:rPr>
          <w:sz w:val="20"/>
          <w:szCs w:val="20"/>
          <w:color w:val="auto"/>
        </w:rPr>
      </w:pPr>
      <w:r>
        <w:rPr>
          <w:rFonts w:ascii="Arial" w:cs="Arial" w:eastAsia="Arial" w:hAnsi="Arial"/>
          <w:sz w:val="14"/>
          <w:szCs w:val="14"/>
          <w:b w:val="1"/>
          <w:bCs w:val="1"/>
          <w:color w:val="auto"/>
        </w:rPr>
        <w:t>2021</w:t>
      </w:r>
    </w:p>
    <w:p>
      <w:pPr>
        <w:spacing w:after="0" w:line="20" w:lineRule="exact"/>
        <w:rPr>
          <w:sz w:val="20"/>
          <w:szCs w:val="20"/>
          <w:color w:val="auto"/>
        </w:rPr>
      </w:pPr>
      <w:r>
        <w:rPr>
          <w:sz w:val="20"/>
          <w:szCs w:val="20"/>
          <w:color w:val="auto"/>
        </w:rPr>
        <w:br w:type="column"/>
      </w:r>
    </w:p>
    <w:p>
      <w:pPr>
        <w:spacing w:after="0" w:line="214" w:lineRule="exact"/>
        <w:rPr>
          <w:sz w:val="20"/>
          <w:szCs w:val="20"/>
          <w:color w:val="auto"/>
        </w:rPr>
      </w:pPr>
    </w:p>
    <w:p>
      <w:pPr>
        <w:jc w:val="center"/>
        <w:ind w:right="380"/>
        <w:spacing w:after="0"/>
        <w:rPr>
          <w:sz w:val="20"/>
          <w:szCs w:val="20"/>
          <w:color w:val="auto"/>
        </w:rPr>
      </w:pPr>
      <w:r>
        <w:rPr>
          <w:rFonts w:ascii="Arial" w:cs="Arial" w:eastAsia="Arial" w:hAnsi="Arial"/>
          <w:sz w:val="12"/>
          <w:szCs w:val="12"/>
          <w:b w:val="1"/>
          <w:bCs w:val="1"/>
          <w:color w:val="auto"/>
        </w:rPr>
        <w:t>December 31,</w:t>
      </w:r>
    </w:p>
    <w:p>
      <w:pPr>
        <w:spacing w:after="0" w:line="48" w:lineRule="exact"/>
        <w:rPr>
          <w:sz w:val="20"/>
          <w:szCs w:val="20"/>
          <w:color w:val="auto"/>
        </w:rPr>
      </w:pPr>
    </w:p>
    <w:p>
      <w:pPr>
        <w:jc w:val="center"/>
        <w:ind w:right="380"/>
        <w:spacing w:after="0"/>
        <w:rPr>
          <w:sz w:val="20"/>
          <w:szCs w:val="20"/>
          <w:color w:val="auto"/>
        </w:rPr>
      </w:pPr>
      <w:r>
        <w:rPr>
          <w:rFonts w:ascii="Arial" w:cs="Arial" w:eastAsia="Arial" w:hAnsi="Arial"/>
          <w:sz w:val="14"/>
          <w:szCs w:val="14"/>
          <w:b w:val="1"/>
          <w:bCs w:val="1"/>
          <w:color w:val="auto"/>
        </w:rPr>
        <w:t>2020</w:t>
      </w:r>
    </w:p>
    <w:p>
      <w:pPr>
        <w:spacing w:after="0" w:line="15" w:lineRule="exact"/>
        <w:rPr>
          <w:sz w:val="20"/>
          <w:szCs w:val="20"/>
          <w:color w:val="auto"/>
        </w:rPr>
      </w:pPr>
    </w:p>
    <w:p>
      <w:pPr>
        <w:sectPr>
          <w:pgSz w:w="11900" w:h="16838" w:orient="portrait"/>
          <w:cols w:equalWidth="0" w:num="2">
            <w:col w:w="9300" w:space="720"/>
            <w:col w:w="12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78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Total assets:</w:t>
            </w:r>
          </w:p>
        </w:tc>
        <w:tc>
          <w:tcPr>
            <w:tcW w:w="280" w:type="dxa"/>
            <w:vAlign w:val="bottom"/>
            <w:tcBorders>
              <w:top w:val="single" w:sz="8" w:color="CFF0FC"/>
            </w:tcBorders>
            <w:shd w:val="clear" w:color="auto" w:fill="CFF0FC"/>
          </w:tcPr>
          <w:p>
            <w:pPr>
              <w:spacing w:after="0"/>
              <w:rPr>
                <w:sz w:val="22"/>
                <w:szCs w:val="22"/>
                <w:color w:val="auto"/>
              </w:rPr>
            </w:pPr>
          </w:p>
        </w:tc>
        <w:tc>
          <w:tcPr>
            <w:tcW w:w="1140" w:type="dxa"/>
            <w:vAlign w:val="bottom"/>
            <w:tcBorders>
              <w:top w:val="single" w:sz="8" w:color="CFF0FC"/>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320" w:type="dxa"/>
            <w:vAlign w:val="bottom"/>
            <w:tcBorders>
              <w:top w:val="single" w:sz="8" w:color="CFF0FC"/>
            </w:tcBorders>
            <w:shd w:val="clear" w:color="auto" w:fill="CFF0FC"/>
          </w:tcPr>
          <w:p>
            <w:pPr>
              <w:spacing w:after="0"/>
              <w:rPr>
                <w:sz w:val="22"/>
                <w:szCs w:val="22"/>
                <w:color w:val="auto"/>
              </w:rPr>
            </w:pPr>
          </w:p>
        </w:tc>
        <w:tc>
          <w:tcPr>
            <w:tcW w:w="1060" w:type="dxa"/>
            <w:vAlign w:val="bottom"/>
            <w:tcBorders>
              <w:top w:val="single" w:sz="8" w:color="CFF0FC"/>
            </w:tcBorders>
            <w:shd w:val="clear" w:color="auto" w:fill="CFF0FC"/>
          </w:tcPr>
          <w:p>
            <w:pPr>
              <w:spacing w:after="0"/>
              <w:rPr>
                <w:sz w:val="22"/>
                <w:szCs w:val="22"/>
                <w:color w:val="auto"/>
              </w:rPr>
            </w:pPr>
          </w:p>
        </w:tc>
        <w:tc>
          <w:tcPr>
            <w:tcW w:w="200" w:type="dxa"/>
            <w:vAlign w:val="bottom"/>
            <w:tcBorders>
              <w:top w:val="single" w:sz="8" w:color="CFF0FC"/>
            </w:tcBorders>
            <w:shd w:val="clear" w:color="auto" w:fill="CFF0FC"/>
          </w:tcPr>
          <w:p>
            <w:pPr>
              <w:spacing w:after="0"/>
              <w:rPr>
                <w:sz w:val="22"/>
                <w:szCs w:val="22"/>
                <w:color w:val="auto"/>
              </w:rPr>
            </w:pPr>
          </w:p>
        </w:tc>
        <w:tc>
          <w:tcPr>
            <w:tcW w:w="60" w:type="dxa"/>
            <w:vAlign w:val="bottom"/>
            <w:tcBorders>
              <w:top w:val="single" w:sz="8" w:color="auto"/>
            </w:tcBorders>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100" w:type="dxa"/>
            <w:vAlign w:val="bottom"/>
            <w:tcBorders>
              <w:top w:val="single" w:sz="8" w:color="auto"/>
            </w:tcBorders>
            <w:shd w:val="clear" w:color="auto" w:fill="CFF0FC"/>
          </w:tcPr>
          <w:p>
            <w:pPr>
              <w:spacing w:after="0"/>
              <w:rPr>
                <w:sz w:val="22"/>
                <w:szCs w:val="22"/>
                <w:color w:val="auto"/>
              </w:rPr>
            </w:pPr>
          </w:p>
        </w:tc>
        <w:tc>
          <w:tcPr>
            <w:tcW w:w="20" w:type="dxa"/>
            <w:vAlign w:val="bottom"/>
            <w:tcBorders>
              <w:top w:val="single" w:sz="8" w:color="CFF0FC"/>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20" w:type="dxa"/>
            <w:vAlign w:val="bottom"/>
            <w:tcBorders>
              <w:top w:val="single" w:sz="8" w:color="auto"/>
            </w:tcBorders>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Marine transportation</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320" w:type="dxa"/>
            <w:vAlign w:val="bottom"/>
            <w:gridSpan w:val="2"/>
          </w:tcPr>
          <w:p>
            <w:pPr>
              <w:jc w:val="right"/>
              <w:ind w:right="200"/>
              <w:spacing w:after="0"/>
              <w:rPr>
                <w:sz w:val="20"/>
                <w:szCs w:val="20"/>
                <w:color w:val="auto"/>
              </w:rPr>
            </w:pPr>
            <w:r>
              <w:rPr>
                <w:rFonts w:ascii="Arial" w:cs="Arial" w:eastAsia="Arial" w:hAnsi="Arial"/>
                <w:sz w:val="18"/>
                <w:szCs w:val="18"/>
                <w:color w:val="auto"/>
                <w:w w:val="99"/>
              </w:rPr>
              <w:t>$</w:t>
            </w:r>
          </w:p>
        </w:tc>
        <w:tc>
          <w:tcPr>
            <w:tcW w:w="1100" w:type="dxa"/>
            <w:vAlign w:val="bottom"/>
          </w:tcPr>
          <w:p>
            <w:pPr>
              <w:jc w:val="right"/>
              <w:spacing w:after="0"/>
              <w:rPr>
                <w:sz w:val="20"/>
                <w:szCs w:val="20"/>
                <w:color w:val="auto"/>
              </w:rPr>
            </w:pPr>
            <w:r>
              <w:rPr>
                <w:rFonts w:ascii="Arial" w:cs="Arial" w:eastAsia="Arial" w:hAnsi="Arial"/>
                <w:sz w:val="18"/>
                <w:szCs w:val="18"/>
                <w:color w:val="auto"/>
              </w:rPr>
              <w:t>4,320,452</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340" w:type="dxa"/>
            <w:vAlign w:val="bottom"/>
            <w:gridSpan w:val="2"/>
          </w:tcPr>
          <w:p>
            <w:pPr>
              <w:jc w:val="right"/>
              <w:ind w:right="24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4,760,449</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Distribution and services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857,132</w:t>
            </w:r>
          </w:p>
        </w:tc>
        <w:tc>
          <w:tcPr>
            <w:tcW w:w="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805,831</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Other</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212,298</w:t>
            </w:r>
          </w:p>
        </w:tc>
        <w:tc>
          <w:tcPr>
            <w:tcW w:w="2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357,894</w:t>
            </w:r>
          </w:p>
        </w:tc>
        <w:tc>
          <w:tcPr>
            <w:tcW w:w="100" w:type="dxa"/>
            <w:vAlign w:val="bottom"/>
          </w:tcPr>
          <w:p>
            <w:pPr>
              <w:spacing w:after="0"/>
              <w:rPr>
                <w:sz w:val="21"/>
                <w:szCs w:val="21"/>
                <w:color w:val="auto"/>
              </w:rPr>
            </w:pPr>
          </w:p>
        </w:tc>
      </w:tr>
      <w:tr>
        <w:trPr>
          <w:trHeight w:val="290"/>
        </w:trPr>
        <w:tc>
          <w:tcPr>
            <w:tcW w:w="478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1140" w:type="dxa"/>
            <w:vAlign w:val="bottom"/>
            <w:tcBorders>
              <w:bottom w:val="single" w:sz="8" w:color="CFF0FC"/>
            </w:tcBorders>
            <w:shd w:val="clear" w:color="auto" w:fill="CFF0FC"/>
          </w:tcPr>
          <w:p>
            <w:pPr>
              <w:spacing w:after="0"/>
              <w:rPr>
                <w:sz w:val="24"/>
                <w:szCs w:val="24"/>
                <w:color w:val="auto"/>
              </w:rPr>
            </w:pP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bottom w:val="single" w:sz="8" w:color="auto"/>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w w:val="99"/>
              </w:rPr>
              <w:t>$</w:t>
            </w:r>
          </w:p>
        </w:tc>
        <w:tc>
          <w:tcPr>
            <w:tcW w:w="11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5,389,882</w:t>
            </w:r>
          </w:p>
        </w:tc>
        <w:tc>
          <w:tcPr>
            <w:tcW w:w="2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auto"/>
            </w:tcBorders>
            <w:gridSpan w:val="2"/>
            <w:shd w:val="clear" w:color="auto" w:fill="CFF0FC"/>
          </w:tcPr>
          <w:p>
            <w:pPr>
              <w:jc w:val="right"/>
              <w:ind w:right="240"/>
              <w:spacing w:after="0"/>
              <w:rPr>
                <w:sz w:val="20"/>
                <w:szCs w:val="20"/>
                <w:color w:val="auto"/>
              </w:rPr>
            </w:pPr>
            <w:r>
              <w:rPr>
                <w:rFonts w:ascii="Arial" w:cs="Arial" w:eastAsia="Arial" w:hAnsi="Arial"/>
                <w:sz w:val="18"/>
                <w:szCs w:val="18"/>
                <w:color w:val="auto"/>
                <w:w w:val="79"/>
              </w:rPr>
              <w:t>$</w:t>
            </w: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6480" w:type="dxa"/>
            <w:vAlign w:val="bottom"/>
            <w:gridSpan w:val="4"/>
          </w:tcPr>
          <w:p>
            <w:pPr>
              <w:ind w:left="560"/>
              <w:spacing w:after="0"/>
              <w:rPr>
                <w:sz w:val="20"/>
                <w:szCs w:val="20"/>
                <w:color w:val="auto"/>
              </w:rPr>
            </w:pPr>
            <w:r>
              <w:rPr>
                <w:rFonts w:ascii="Arial" w:cs="Arial" w:eastAsia="Arial" w:hAnsi="Arial"/>
                <w:sz w:val="18"/>
                <w:szCs w:val="18"/>
                <w:color w:val="auto"/>
                <w:w w:val="93"/>
              </w:rPr>
              <w:t>The following table presents the details of “Other” segment loss (in thousands):</w:t>
            </w: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24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32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47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3000" w:type="dxa"/>
            <w:vAlign w:val="bottom"/>
            <w:gridSpan w:val="5"/>
          </w:tcPr>
          <w:p>
            <w:pPr>
              <w:jc w:val="right"/>
              <w:ind w:right="620"/>
              <w:spacing w:after="0"/>
              <w:rPr>
                <w:sz w:val="20"/>
                <w:szCs w:val="20"/>
                <w:color w:val="auto"/>
              </w:rPr>
            </w:pPr>
            <w:r>
              <w:rPr>
                <w:rFonts w:ascii="Arial" w:cs="Arial" w:eastAsia="Arial" w:hAnsi="Arial"/>
                <w:sz w:val="14"/>
                <w:szCs w:val="14"/>
                <w:b w:val="1"/>
                <w:bCs w:val="1"/>
                <w:color w:val="auto"/>
                <w:w w:val="99"/>
              </w:rPr>
              <w:t>Three Months Ended September 30,</w:t>
            </w:r>
          </w:p>
        </w:tc>
        <w:tc>
          <w:tcPr>
            <w:tcW w:w="6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860" w:type="dxa"/>
            <w:vAlign w:val="bottom"/>
            <w:gridSpan w:val="7"/>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4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433"/>
              <w:spacing w:after="0"/>
              <w:rPr>
                <w:sz w:val="20"/>
                <w:szCs w:val="20"/>
                <w:color w:val="auto"/>
              </w:rPr>
            </w:pPr>
            <w:r>
              <w:rPr>
                <w:rFonts w:ascii="Arial" w:cs="Arial" w:eastAsia="Arial" w:hAnsi="Arial"/>
                <w:sz w:val="14"/>
                <w:szCs w:val="14"/>
                <w:b w:val="1"/>
                <w:bCs w:val="1"/>
                <w:color w:val="auto"/>
              </w:rPr>
              <w:t>2021</w:t>
            </w:r>
          </w:p>
        </w:tc>
        <w:tc>
          <w:tcPr>
            <w:tcW w:w="20" w:type="dxa"/>
            <w:vAlign w:val="bottom"/>
            <w:tcBorders>
              <w:top w:val="single" w:sz="8" w:color="auto"/>
              <w:bottom w:val="single" w:sz="8" w:color="auto"/>
            </w:tcBorders>
          </w:tcPr>
          <w:p>
            <w:pPr>
              <w:spacing w:after="0"/>
              <w:rPr>
                <w:sz w:val="17"/>
                <w:szCs w:val="17"/>
                <w:color w:val="auto"/>
              </w:rPr>
            </w:pPr>
          </w:p>
        </w:tc>
        <w:tc>
          <w:tcPr>
            <w:tcW w:w="24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expenses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(4,997 )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(3,268 )</w:t>
            </w:r>
          </w:p>
        </w:tc>
        <w:tc>
          <w:tcPr>
            <w:tcW w:w="3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(11,542 )</w:t>
            </w:r>
          </w:p>
        </w:tc>
        <w:tc>
          <w:tcPr>
            <w:tcW w:w="34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(9,403 )</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Gain (loss) on disposition of assets</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830</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(316 )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gridSpan w:val="2"/>
          </w:tcPr>
          <w:p>
            <w:pPr>
              <w:jc w:val="right"/>
              <w:ind w:right="20"/>
              <w:spacing w:after="0"/>
              <w:rPr>
                <w:sz w:val="20"/>
                <w:szCs w:val="20"/>
                <w:color w:val="auto"/>
              </w:rPr>
            </w:pPr>
            <w:r>
              <w:rPr>
                <w:rFonts w:ascii="Arial" w:cs="Arial" w:eastAsia="Arial" w:hAnsi="Arial"/>
                <w:sz w:val="18"/>
                <w:szCs w:val="18"/>
                <w:color w:val="auto"/>
              </w:rPr>
              <w:t>5,082</w:t>
            </w:r>
          </w:p>
        </w:tc>
        <w:tc>
          <w:tcPr>
            <w:tcW w:w="24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(13 )</w:t>
            </w: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Impairments and other charges</w:t>
            </w: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(340,713 )</w:t>
            </w:r>
          </w:p>
        </w:tc>
        <w:tc>
          <w:tcPr>
            <w:tcW w:w="320" w:type="dxa"/>
            <w:vAlign w:val="bottom"/>
            <w:shd w:val="clear" w:color="auto" w:fill="CFF0FC"/>
          </w:tcPr>
          <w:p>
            <w:pPr>
              <w:spacing w:after="0"/>
              <w:rPr>
                <w:sz w:val="22"/>
                <w:szCs w:val="22"/>
                <w:color w:val="auto"/>
              </w:rPr>
            </w:pPr>
          </w:p>
        </w:tc>
        <w:tc>
          <w:tcPr>
            <w:tcW w:w="126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w:t>
            </w:r>
          </w:p>
        </w:tc>
        <w:tc>
          <w:tcPr>
            <w:tcW w:w="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60" w:type="dxa"/>
            <w:vAlign w:val="bottom"/>
            <w:gridSpan w:val="3"/>
            <w:shd w:val="clear" w:color="auto" w:fill="CFF0FC"/>
          </w:tcPr>
          <w:p>
            <w:pPr>
              <w:jc w:val="right"/>
              <w:ind w:right="160"/>
              <w:spacing w:after="0"/>
              <w:rPr>
                <w:sz w:val="20"/>
                <w:szCs w:val="20"/>
                <w:color w:val="auto"/>
              </w:rPr>
            </w:pPr>
            <w:r>
              <w:rPr>
                <w:rFonts w:ascii="Arial" w:cs="Arial" w:eastAsia="Arial" w:hAnsi="Arial"/>
                <w:sz w:val="18"/>
                <w:szCs w:val="18"/>
                <w:color w:val="auto"/>
              </w:rPr>
              <w:t>(340,713 )</w:t>
            </w:r>
          </w:p>
        </w:tc>
        <w:tc>
          <w:tcPr>
            <w:tcW w:w="2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(561,274 )</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(10,500 )</w:t>
            </w:r>
          </w:p>
        </w:tc>
        <w:tc>
          <w:tcPr>
            <w:tcW w:w="32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(11,809 )</w:t>
            </w:r>
          </w:p>
        </w:tc>
        <w:tc>
          <w:tcPr>
            <w:tcW w:w="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(32,172 )</w:t>
            </w:r>
          </w:p>
        </w:tc>
        <w:tc>
          <w:tcPr>
            <w:tcW w:w="2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(37,316 )</w:t>
            </w:r>
          </w:p>
        </w:tc>
      </w:tr>
      <w:tr>
        <w:trPr>
          <w:trHeight w:val="257"/>
        </w:trPr>
        <w:tc>
          <w:tcPr>
            <w:tcW w:w="47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Other income</w:t>
            </w:r>
          </w:p>
        </w:tc>
        <w:tc>
          <w:tcPr>
            <w:tcW w:w="280" w:type="dxa"/>
            <w:vAlign w:val="bottom"/>
            <w:tcBorders>
              <w:bottom w:val="single" w:sz="8" w:color="auto"/>
            </w:tcBorders>
            <w:shd w:val="clear" w:color="auto" w:fill="CFF0FC"/>
          </w:tcPr>
          <w:p>
            <w:pPr>
              <w:spacing w:after="0"/>
              <w:rPr>
                <w:sz w:val="22"/>
                <w:szCs w:val="22"/>
                <w:color w:val="auto"/>
              </w:rPr>
            </w:pPr>
          </w:p>
        </w:tc>
        <w:tc>
          <w:tcPr>
            <w:tcW w:w="11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1,832</w:t>
            </w:r>
          </w:p>
        </w:tc>
        <w:tc>
          <w:tcPr>
            <w:tcW w:w="28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1,172</w:t>
            </w:r>
          </w:p>
        </w:tc>
        <w:tc>
          <w:tcPr>
            <w:tcW w:w="20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1120" w:type="dxa"/>
            <w:vAlign w:val="bottom"/>
            <w:tcBorders>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8,146</w:t>
            </w:r>
          </w:p>
        </w:tc>
        <w:tc>
          <w:tcPr>
            <w:tcW w:w="240" w:type="dxa"/>
            <w:vAlign w:val="bottom"/>
            <w:tcBorders>
              <w:bottom w:val="single" w:sz="8" w:color="CFF0FC"/>
            </w:tcBorders>
            <w:shd w:val="clear" w:color="auto" w:fill="CFF0FC"/>
          </w:tcPr>
          <w:p>
            <w:pPr>
              <w:spacing w:after="0"/>
              <w:rPr>
                <w:sz w:val="22"/>
                <w:szCs w:val="22"/>
                <w:color w:val="auto"/>
              </w:rPr>
            </w:pPr>
          </w:p>
        </w:tc>
        <w:tc>
          <w:tcPr>
            <w:tcW w:w="20" w:type="dxa"/>
            <w:vAlign w:val="bottom"/>
            <w:tcBorders>
              <w:bottom w:val="single" w:sz="8" w:color="CFF0FC"/>
            </w:tcBorders>
            <w:shd w:val="clear" w:color="auto" w:fill="CFF0FC"/>
          </w:tcPr>
          <w:p>
            <w:pPr>
              <w:spacing w:after="0"/>
              <w:rPr>
                <w:sz w:val="22"/>
                <w:szCs w:val="22"/>
                <w:color w:val="auto"/>
              </w:rPr>
            </w:pPr>
          </w:p>
        </w:tc>
        <w:tc>
          <w:tcPr>
            <w:tcW w:w="320" w:type="dxa"/>
            <w:vAlign w:val="bottom"/>
            <w:tcBorders>
              <w:bottom w:val="single" w:sz="8" w:color="auto"/>
            </w:tcBorders>
            <w:shd w:val="clear" w:color="auto" w:fill="CFF0FC"/>
          </w:tcPr>
          <w:p>
            <w:pPr>
              <w:spacing w:after="0"/>
              <w:rPr>
                <w:sz w:val="22"/>
                <w:szCs w:val="22"/>
                <w:color w:val="auto"/>
              </w:rPr>
            </w:pPr>
          </w:p>
        </w:tc>
        <w:tc>
          <w:tcPr>
            <w:tcW w:w="10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6,185</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7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(353,548 )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(14,221 )</w:t>
            </w:r>
          </w:p>
        </w:tc>
        <w:tc>
          <w:tcPr>
            <w:tcW w:w="3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60" w:type="dxa"/>
            <w:vAlign w:val="bottom"/>
            <w:gridSpan w:val="3"/>
          </w:tcPr>
          <w:p>
            <w:pPr>
              <w:jc w:val="right"/>
              <w:ind w:right="160"/>
              <w:spacing w:after="0"/>
              <w:rPr>
                <w:sz w:val="20"/>
                <w:szCs w:val="20"/>
                <w:color w:val="auto"/>
              </w:rPr>
            </w:pPr>
            <w:r>
              <w:rPr>
                <w:rFonts w:ascii="Arial" w:cs="Arial" w:eastAsia="Arial" w:hAnsi="Arial"/>
                <w:sz w:val="18"/>
                <w:szCs w:val="18"/>
                <w:color w:val="auto"/>
              </w:rPr>
              <w:t>(371,199 )</w:t>
            </w:r>
          </w:p>
        </w:tc>
        <w:tc>
          <w:tcPr>
            <w:tcW w:w="340" w:type="dxa"/>
            <w:vAlign w:val="bottom"/>
            <w:gridSpan w:val="2"/>
          </w:tcPr>
          <w:p>
            <w:pPr>
              <w:jc w:val="right"/>
              <w:ind w:right="22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(601,821 )</w:t>
            </w: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0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00" w:type="dxa"/>
            <w:vAlign w:val="bottom"/>
            <w:tcBorders>
              <w:top w:val="single" w:sz="8" w:color="auto"/>
              <w:bottom w:val="single" w:sz="8" w:color="auto"/>
            </w:tcBorders>
          </w:tcPr>
          <w:p>
            <w:pPr>
              <w:spacing w:after="0" w:line="20" w:lineRule="exact"/>
              <w:rPr>
                <w:sz w:val="1"/>
                <w:szCs w:val="1"/>
                <w:color w:val="auto"/>
              </w:rPr>
            </w:pPr>
          </w:p>
        </w:tc>
        <w:tc>
          <w:tcPr>
            <w:tcW w:w="2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2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-1748155</wp:posOffset>
            </wp:positionV>
            <wp:extent cx="163195" cy="8890"/>
            <wp:wrapNone/>
            <wp:docPr id="163" name="Picture 1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3"/>
                    <pic:cNvPicPr>
                      <a:picLocks noChangeAspect="1" noChangeArrowheads="1"/>
                    </pic:cNvPicPr>
                  </pic:nvPicPr>
                  <pic:blipFill>
                    <a:blip r:embed="rId170">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-1731010</wp:posOffset>
            </wp:positionV>
            <wp:extent cx="163195" cy="8890"/>
            <wp:wrapNone/>
            <wp:docPr id="164" name="Picture 1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4"/>
                    <pic:cNvPicPr>
                      <a:picLocks noChangeAspect="1" noChangeArrowheads="1"/>
                    </pic:cNvPicPr>
                  </pic:nvPicPr>
                  <pic:blipFill>
                    <a:blip r:embed="rId17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-1748155</wp:posOffset>
            </wp:positionV>
            <wp:extent cx="68580" cy="8890"/>
            <wp:wrapNone/>
            <wp:docPr id="165" name="Picture 1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5"/>
                    <pic:cNvPicPr>
                      <a:picLocks noChangeAspect="1" noChangeArrowheads="1"/>
                    </pic:cNvPicPr>
                  </pic:nvPicPr>
                  <pic:blipFill>
                    <a:blip r:embed="rId172">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-1731010</wp:posOffset>
            </wp:positionV>
            <wp:extent cx="68580" cy="8890"/>
            <wp:wrapNone/>
            <wp:docPr id="166" name="Picture 1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6"/>
                    <pic:cNvPicPr>
                      <a:picLocks noChangeAspect="1" noChangeArrowheads="1"/>
                    </pic:cNvPicPr>
                  </pic:nvPicPr>
                  <pic:blipFill>
                    <a:blip r:embed="rId17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-193675</wp:posOffset>
            </wp:positionV>
            <wp:extent cx="180340" cy="5715"/>
            <wp:wrapNone/>
            <wp:docPr id="167" name="Picture 1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7"/>
                    <pic:cNvPicPr>
                      <a:picLocks noChangeAspect="1" noChangeArrowheads="1"/>
                    </pic:cNvPicPr>
                  </pic:nvPicPr>
                  <pic:blipFill>
                    <a:blip r:embed="rId174">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-193675</wp:posOffset>
            </wp:positionV>
            <wp:extent cx="162560" cy="5715"/>
            <wp:wrapNone/>
            <wp:docPr id="168" name="Picture 1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8"/>
                    <pic:cNvPicPr>
                      <a:picLocks noChangeAspect="1" noChangeArrowheads="1"/>
                    </pic:cNvPicPr>
                  </pic:nvPicPr>
                  <pic:blipFill>
                    <a:blip r:embed="rId175">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-193675</wp:posOffset>
            </wp:positionV>
            <wp:extent cx="162560" cy="5715"/>
            <wp:wrapNone/>
            <wp:docPr id="169" name="Picture 1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69"/>
                    <pic:cNvPicPr>
                      <a:picLocks noChangeAspect="1" noChangeArrowheads="1"/>
                    </pic:cNvPicPr>
                  </pic:nvPicPr>
                  <pic:blipFill>
                    <a:blip r:embed="rId176">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170" name="Picture 1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0"/>
                    <pic:cNvPicPr>
                      <a:picLocks noChangeAspect="1" noChangeArrowheads="1"/>
                    </pic:cNvPicPr>
                  </pic:nvPicPr>
                  <pic:blipFill>
                    <a:blip r:embed="rId177">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details of “Other” total assets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3680" w:type="dxa"/>
            <w:vAlign w:val="bottom"/>
          </w:tcPr>
          <w:p>
            <w:pPr>
              <w:spacing w:after="0"/>
              <w:rPr>
                <w:sz w:val="15"/>
                <w:szCs w:val="15"/>
                <w:color w:val="auto"/>
              </w:rPr>
            </w:pPr>
          </w:p>
        </w:tc>
        <w:tc>
          <w:tcPr>
            <w:tcW w:w="43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15"/>
                <w:szCs w:val="15"/>
                <w:color w:val="auto"/>
              </w:rPr>
            </w:pPr>
          </w:p>
        </w:tc>
      </w:tr>
      <w:tr>
        <w:trPr>
          <w:trHeight w:val="192"/>
        </w:trPr>
        <w:tc>
          <w:tcPr>
            <w:tcW w:w="3680" w:type="dxa"/>
            <w:vAlign w:val="bottom"/>
          </w:tcPr>
          <w:p>
            <w:pPr>
              <w:spacing w:after="0"/>
              <w:rPr>
                <w:sz w:val="16"/>
                <w:szCs w:val="16"/>
                <w:color w:val="auto"/>
              </w:rPr>
            </w:pPr>
          </w:p>
        </w:tc>
        <w:tc>
          <w:tcPr>
            <w:tcW w:w="438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368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General corporate assets</w:t>
            </w:r>
          </w:p>
        </w:tc>
        <w:tc>
          <w:tcPr>
            <w:tcW w:w="4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210,311</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355,205</w:t>
            </w:r>
          </w:p>
        </w:tc>
        <w:tc>
          <w:tcPr>
            <w:tcW w:w="100" w:type="dxa"/>
            <w:vAlign w:val="bottom"/>
            <w:shd w:val="clear" w:color="auto" w:fill="CFF0FC"/>
          </w:tcPr>
          <w:p>
            <w:pPr>
              <w:spacing w:after="0"/>
              <w:rPr>
                <w:sz w:val="22"/>
                <w:szCs w:val="22"/>
                <w:color w:val="auto"/>
              </w:rPr>
            </w:pPr>
          </w:p>
        </w:tc>
      </w:tr>
      <w:tr>
        <w:trPr>
          <w:trHeight w:val="250"/>
        </w:trPr>
        <w:tc>
          <w:tcPr>
            <w:tcW w:w="3680" w:type="dxa"/>
            <w:vAlign w:val="bottom"/>
          </w:tcPr>
          <w:p>
            <w:pPr>
              <w:ind w:left="20"/>
              <w:spacing w:after="0"/>
              <w:rPr>
                <w:sz w:val="20"/>
                <w:szCs w:val="20"/>
                <w:color w:val="auto"/>
              </w:rPr>
            </w:pPr>
            <w:r>
              <w:rPr>
                <w:rFonts w:ascii="Arial" w:cs="Arial" w:eastAsia="Arial" w:hAnsi="Arial"/>
                <w:sz w:val="18"/>
                <w:szCs w:val="18"/>
                <w:color w:val="auto"/>
              </w:rPr>
              <w:t>Investment in affiliates</w:t>
            </w:r>
          </w:p>
        </w:tc>
        <w:tc>
          <w:tcPr>
            <w:tcW w:w="438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2,689</w:t>
            </w:r>
          </w:p>
        </w:tc>
        <w:tc>
          <w:tcPr>
            <w:tcW w:w="100" w:type="dxa"/>
            <w:vAlign w:val="bottom"/>
          </w:tcPr>
          <w:p>
            <w:pPr>
              <w:spacing w:after="0"/>
              <w:rPr>
                <w:sz w:val="21"/>
                <w:szCs w:val="21"/>
                <w:color w:val="auto"/>
              </w:rPr>
            </w:pPr>
          </w:p>
        </w:tc>
      </w:tr>
      <w:tr>
        <w:trPr>
          <w:trHeight w:val="290"/>
        </w:trPr>
        <w:tc>
          <w:tcPr>
            <w:tcW w:w="3680" w:type="dxa"/>
            <w:vAlign w:val="bottom"/>
            <w:shd w:val="clear" w:color="auto" w:fill="CFF0FC"/>
          </w:tcPr>
          <w:p>
            <w:pPr>
              <w:spacing w:after="0"/>
              <w:rPr>
                <w:sz w:val="24"/>
                <w:szCs w:val="24"/>
                <w:color w:val="auto"/>
              </w:rPr>
            </w:pPr>
          </w:p>
        </w:tc>
        <w:tc>
          <w:tcPr>
            <w:tcW w:w="458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212,298</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357,894</w:t>
            </w:r>
          </w:p>
        </w:tc>
        <w:tc>
          <w:tcPr>
            <w:tcW w:w="100" w:type="dxa"/>
            <w:vAlign w:val="bottom"/>
            <w:shd w:val="clear" w:color="auto" w:fill="CFF0FC"/>
          </w:tcPr>
          <w:p>
            <w:pPr>
              <w:spacing w:after="0"/>
              <w:rPr>
                <w:sz w:val="24"/>
                <w:szCs w:val="24"/>
                <w:color w:val="auto"/>
              </w:rPr>
            </w:pPr>
          </w:p>
        </w:tc>
      </w:tr>
      <w:tr>
        <w:trPr>
          <w:trHeight w:val="595"/>
        </w:trPr>
        <w:tc>
          <w:tcPr>
            <w:tcW w:w="3680" w:type="dxa"/>
            <w:vAlign w:val="bottom"/>
            <w:tcBorders>
              <w:top w:val="single" w:sz="8" w:color="CFF0FC"/>
            </w:tcBorders>
          </w:tcPr>
          <w:p>
            <w:pPr>
              <w:spacing w:after="0"/>
              <w:rPr>
                <w:sz w:val="24"/>
                <w:szCs w:val="24"/>
                <w:color w:val="auto"/>
              </w:rPr>
            </w:pPr>
          </w:p>
        </w:tc>
        <w:tc>
          <w:tcPr>
            <w:tcW w:w="4380" w:type="dxa"/>
            <w:vAlign w:val="bottom"/>
            <w:tcBorders>
              <w:top w:val="single" w:sz="8" w:color="CFF0FC"/>
            </w:tcBorders>
          </w:tcPr>
          <w:p>
            <w:pPr>
              <w:jc w:val="right"/>
              <w:ind w:right="2310"/>
              <w:spacing w:after="0"/>
              <w:rPr>
                <w:sz w:val="20"/>
                <w:szCs w:val="20"/>
                <w:color w:val="auto"/>
              </w:rPr>
            </w:pPr>
            <w:r>
              <w:rPr>
                <w:rFonts w:ascii="Arial" w:cs="Arial" w:eastAsia="Arial" w:hAnsi="Arial"/>
                <w:sz w:val="18"/>
                <w:szCs w:val="18"/>
                <w:color w:val="auto"/>
              </w:rPr>
              <w:t>8</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3680" w:type="dxa"/>
            <w:vAlign w:val="bottom"/>
            <w:tcBorders>
              <w:bottom w:val="single" w:sz="8" w:color="9A9A9A"/>
            </w:tcBorders>
          </w:tcPr>
          <w:p>
            <w:pPr>
              <w:spacing w:after="0"/>
              <w:rPr>
                <w:sz w:val="10"/>
                <w:szCs w:val="10"/>
                <w:color w:val="auto"/>
              </w:rPr>
            </w:pPr>
          </w:p>
        </w:tc>
        <w:tc>
          <w:tcPr>
            <w:tcW w:w="438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00" w:type="dxa"/>
            <w:vAlign w:val="bottom"/>
            <w:tcBorders>
              <w:bottom w:val="single" w:sz="8" w:color="9A9A9A"/>
            </w:tcBorders>
          </w:tcPr>
          <w:p>
            <w:pPr>
              <w:spacing w:after="0"/>
              <w:rPr>
                <w:sz w:val="10"/>
                <w:szCs w:val="10"/>
                <w:color w:val="auto"/>
              </w:rPr>
            </w:pPr>
          </w:p>
        </w:tc>
        <w:tc>
          <w:tcPr>
            <w:tcW w:w="120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-496570</wp:posOffset>
            </wp:positionV>
            <wp:extent cx="163195" cy="8255"/>
            <wp:wrapNone/>
            <wp:docPr id="171" name="Picture 1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1"/>
                    <pic:cNvPicPr>
                      <a:picLocks noChangeAspect="1" noChangeArrowheads="1"/>
                    </pic:cNvPicPr>
                  </pic:nvPicPr>
                  <pic:blipFill>
                    <a:blip r:embed="rId178">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-479425</wp:posOffset>
            </wp:positionV>
            <wp:extent cx="163195" cy="8890"/>
            <wp:wrapNone/>
            <wp:docPr id="172" name="Picture 1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2"/>
                    <pic:cNvPicPr>
                      <a:picLocks noChangeAspect="1" noChangeArrowheads="1"/>
                    </pic:cNvPicPr>
                  </pic:nvPicPr>
                  <pic:blipFill>
                    <a:blip r:embed="rId179">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255"/>
            <wp:wrapNone/>
            <wp:docPr id="173" name="Picture 1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3"/>
                    <pic:cNvPicPr>
                      <a:picLocks noChangeAspect="1" noChangeArrowheads="1"/>
                    </pic:cNvPicPr>
                  </pic:nvPicPr>
                  <pic:blipFill>
                    <a:blip r:embed="rId18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174" name="Picture 1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4"/>
                    <pic:cNvPicPr>
                      <a:picLocks noChangeAspect="1" noChangeArrowheads="1"/>
                    </pic:cNvPicPr>
                  </pic:nvPicPr>
                  <pic:blipFill>
                    <a:blip r:embed="rId18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175" name="Picture 1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5"/>
                    <pic:cNvPicPr>
                      <a:picLocks noChangeAspect="1" noChangeArrowheads="1"/>
                    </pic:cNvPicPr>
                  </pic:nvPicPr>
                  <pic:blipFill>
                    <a:blip r:embed="rId182">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176" name="Picture 1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6"/>
                    <pic:cNvPicPr>
                      <a:picLocks noChangeAspect="1" noChangeArrowheads="1"/>
                    </pic:cNvPicPr>
                  </pic:nvPicPr>
                  <pic:blipFill>
                    <a:blip r:embed="rId183">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9" w:name="page10"/>
    <w:bookmarkEnd w:id="9"/>
    <w:p>
      <w:pPr>
        <w:ind w:left="480" w:hanging="472"/>
        <w:spacing w:after="0"/>
        <w:tabs>
          <w:tab w:leader="none" w:pos="480" w:val="left"/>
        </w:tabs>
        <w:numPr>
          <w:ilvl w:val="0"/>
          <w:numId w:val="5"/>
        </w:numPr>
        <w:rPr>
          <w:rFonts w:ascii="Arial" w:cs="Arial" w:eastAsia="Arial" w:hAnsi="Arial"/>
          <w:sz w:val="18"/>
          <w:szCs w:val="18"/>
          <w:b w:val="1"/>
          <w:bCs w:val="1"/>
          <w:color w:val="auto"/>
        </w:rPr>
      </w:pPr>
      <w:r>
        <w:rPr>
          <w:rFonts w:ascii="Arial" w:cs="Arial" w:eastAsia="Arial" w:hAnsi="Arial"/>
          <w:sz w:val="18"/>
          <w:szCs w:val="18"/>
          <w:b w:val="1"/>
          <w:bCs w:val="1"/>
          <w:color w:val="auto"/>
        </w:rPr>
        <w:t>Long-Term Debt</w:t>
      </w:r>
    </w:p>
    <w:p>
      <w:pPr>
        <w:spacing w:after="0" w:line="256" w:lineRule="exact"/>
        <w:rPr>
          <w:sz w:val="20"/>
          <w:szCs w:val="20"/>
          <w:color w:val="auto"/>
        </w:rPr>
      </w:pPr>
    </w:p>
    <w:p>
      <w:pPr>
        <w:ind w:right="140" w:firstLine="562"/>
        <w:spacing w:after="0" w:line="293" w:lineRule="auto"/>
        <w:rPr>
          <w:sz w:val="20"/>
          <w:szCs w:val="20"/>
          <w:color w:val="auto"/>
        </w:rPr>
      </w:pPr>
      <w:r>
        <w:rPr>
          <w:rFonts w:ascii="Arial" w:cs="Arial" w:eastAsia="Arial" w:hAnsi="Arial"/>
          <w:sz w:val="18"/>
          <w:szCs w:val="18"/>
          <w:color w:val="auto"/>
        </w:rPr>
        <w:t>The following table presents the carrying value and fair value (determined using inputs characteristic of a Level 2 fair value measurement) of debt outstanding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92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September 30, 2021</w:t>
            </w:r>
          </w:p>
        </w:tc>
        <w:tc>
          <w:tcPr>
            <w:tcW w:w="26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2860" w:type="dxa"/>
            <w:vAlign w:val="bottom"/>
            <w:tcBorders>
              <w:bottom w:val="single" w:sz="8" w:color="auto"/>
            </w:tcBorders>
            <w:gridSpan w:val="4"/>
          </w:tcPr>
          <w:p>
            <w:pPr>
              <w:jc w:val="right"/>
              <w:ind w:right="852"/>
              <w:spacing w:after="0"/>
              <w:rPr>
                <w:sz w:val="20"/>
                <w:szCs w:val="20"/>
                <w:color w:val="auto"/>
              </w:rPr>
            </w:pPr>
            <w:r>
              <w:rPr>
                <w:rFonts w:ascii="Arial" w:cs="Arial" w:eastAsia="Arial" w:hAnsi="Arial"/>
                <w:sz w:val="14"/>
                <w:szCs w:val="14"/>
                <w:b w:val="1"/>
                <w:bCs w:val="1"/>
                <w:color w:val="auto"/>
              </w:rPr>
              <w:t>December 31, 2020</w:t>
            </w:r>
          </w:p>
        </w:tc>
        <w:tc>
          <w:tcPr>
            <w:tcW w:w="100" w:type="dxa"/>
            <w:vAlign w:val="bottom"/>
          </w:tcPr>
          <w:p>
            <w:pPr>
              <w:spacing w:after="0"/>
              <w:rPr>
                <w:sz w:val="16"/>
                <w:szCs w:val="16"/>
                <w:color w:val="auto"/>
              </w:rPr>
            </w:pPr>
          </w:p>
        </w:tc>
      </w:tr>
      <w:tr>
        <w:trPr>
          <w:trHeight w:val="196"/>
        </w:trPr>
        <w:tc>
          <w:tcPr>
            <w:tcW w:w="478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4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rPr>
              <w:t>Carrying Value</w:t>
            </w:r>
          </w:p>
        </w:tc>
        <w:tc>
          <w:tcPr>
            <w:tcW w:w="2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260" w:type="dxa"/>
            <w:vAlign w:val="bottom"/>
          </w:tcPr>
          <w:p>
            <w:pPr>
              <w:spacing w:after="0"/>
              <w:rPr>
                <w:sz w:val="17"/>
                <w:szCs w:val="17"/>
                <w:color w:val="auto"/>
              </w:rPr>
            </w:pPr>
          </w:p>
        </w:tc>
        <w:tc>
          <w:tcPr>
            <w:tcW w:w="160" w:type="dxa"/>
            <w:vAlign w:val="bottom"/>
            <w:tcBorders>
              <w:bottom w:val="single" w:sz="8" w:color="auto"/>
            </w:tcBorders>
          </w:tcPr>
          <w:p>
            <w:pPr>
              <w:spacing w:after="0"/>
              <w:rPr>
                <w:sz w:val="17"/>
                <w:szCs w:val="17"/>
                <w:color w:val="auto"/>
              </w:rPr>
            </w:pPr>
          </w:p>
        </w:tc>
        <w:tc>
          <w:tcPr>
            <w:tcW w:w="1220" w:type="dxa"/>
            <w:vAlign w:val="bottom"/>
            <w:tcBorders>
              <w:bottom w:val="single" w:sz="8" w:color="auto"/>
            </w:tcBorders>
          </w:tcPr>
          <w:p>
            <w:pPr>
              <w:jc w:val="right"/>
              <w:ind w:right="133"/>
              <w:spacing w:after="0"/>
              <w:rPr>
                <w:sz w:val="20"/>
                <w:szCs w:val="20"/>
                <w:color w:val="auto"/>
              </w:rPr>
            </w:pPr>
            <w:r>
              <w:rPr>
                <w:rFonts w:ascii="Arial" w:cs="Arial" w:eastAsia="Arial" w:hAnsi="Arial"/>
                <w:sz w:val="14"/>
                <w:szCs w:val="14"/>
                <w:b w:val="1"/>
                <w:bCs w:val="1"/>
                <w:color w:val="auto"/>
                <w:w w:val="99"/>
              </w:rPr>
              <w:t>Carrying Value</w:t>
            </w:r>
          </w:p>
        </w:tc>
        <w:tc>
          <w:tcPr>
            <w:tcW w:w="2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16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Fair Value</w:t>
            </w:r>
          </w:p>
        </w:tc>
        <w:tc>
          <w:tcPr>
            <w:tcW w:w="100" w:type="dxa"/>
            <w:vAlign w:val="bottom"/>
          </w:tcPr>
          <w:p>
            <w:pPr>
              <w:spacing w:after="0"/>
              <w:rPr>
                <w:sz w:val="17"/>
                <w:szCs w:val="17"/>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Revolving Credit Facility due March 27, 2024 (a)</w:t>
            </w:r>
          </w:p>
        </w:tc>
        <w:tc>
          <w:tcPr>
            <w:tcW w:w="16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4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Term Loan due March 27, 2024 (a)</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360,000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375,000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3.29% senior notes due February 27, 2023</w:t>
            </w: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357,848</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364,538</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4.2% senior notes due March 1, 2028</w:t>
            </w:r>
          </w:p>
        </w:tc>
        <w:tc>
          <w:tcPr>
            <w:tcW w:w="16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500,000</w:t>
            </w:r>
          </w:p>
        </w:tc>
        <w:tc>
          <w:tcPr>
            <w:tcW w:w="2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548,893</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581,115</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Credit line due June 30, 2022</w:t>
            </w:r>
          </w:p>
        </w:tc>
        <w:tc>
          <w:tcPr>
            <w:tcW w:w="160" w:type="dxa"/>
            <w:vAlign w:val="bottom"/>
            <w:shd w:val="clear" w:color="auto" w:fill="CFF0FC"/>
          </w:tcPr>
          <w:p>
            <w:pPr>
              <w:spacing w:after="0"/>
              <w:rPr>
                <w:sz w:val="22"/>
                <w:szCs w:val="22"/>
                <w:color w:val="auto"/>
              </w:rPr>
            </w:pPr>
          </w:p>
        </w:tc>
        <w:tc>
          <w:tcPr>
            <w:tcW w:w="1520" w:type="dxa"/>
            <w:vAlign w:val="bottom"/>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w:t>
            </w: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Bank notes payable</w:t>
            </w:r>
          </w:p>
        </w:tc>
        <w:tc>
          <w:tcPr>
            <w:tcW w:w="160" w:type="dxa"/>
            <w:vAlign w:val="bottom"/>
            <w:tcBorders>
              <w:bottom w:val="single" w:sz="8" w:color="auto"/>
            </w:tcBorders>
          </w:tcPr>
          <w:p>
            <w:pPr>
              <w:spacing w:after="0"/>
              <w:rPr>
                <w:sz w:val="21"/>
                <w:szCs w:val="21"/>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2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1,983</w:t>
            </w:r>
          </w:p>
        </w:tc>
        <w:tc>
          <w:tcPr>
            <w:tcW w:w="260" w:type="dxa"/>
            <w:vAlign w:val="bottom"/>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2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11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40</w:t>
            </w:r>
          </w:p>
        </w:tc>
        <w:tc>
          <w:tcPr>
            <w:tcW w:w="100" w:type="dxa"/>
            <w:vAlign w:val="bottom"/>
          </w:tcPr>
          <w:p>
            <w:pPr>
              <w:spacing w:after="0"/>
              <w:rPr>
                <w:sz w:val="21"/>
                <w:szCs w:val="21"/>
                <w:color w:val="auto"/>
              </w:rPr>
            </w:pPr>
          </w:p>
        </w:tc>
      </w:tr>
      <w:tr>
        <w:trPr>
          <w:trHeight w:val="257"/>
        </w:trPr>
        <w:tc>
          <w:tcPr>
            <w:tcW w:w="47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1,211,983</w:t>
            </w:r>
          </w:p>
        </w:tc>
        <w:tc>
          <w:tcPr>
            <w:tcW w:w="2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1,268,724</w:t>
            </w:r>
          </w:p>
        </w:tc>
        <w:tc>
          <w:tcPr>
            <w:tcW w:w="26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1,475,040</w:t>
            </w:r>
          </w:p>
        </w:tc>
        <w:tc>
          <w:tcPr>
            <w:tcW w:w="2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1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1,570,693</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Unamortized debt discounts and issuance costs (b)</w:t>
            </w:r>
          </w:p>
        </w:tc>
        <w:tc>
          <w:tcPr>
            <w:tcW w:w="160" w:type="dxa"/>
            <w:vAlign w:val="bottom"/>
          </w:tcPr>
          <w:p>
            <w:pPr>
              <w:spacing w:after="0"/>
              <w:rPr>
                <w:sz w:val="21"/>
                <w:szCs w:val="21"/>
                <w:color w:val="auto"/>
              </w:rPr>
            </w:pPr>
          </w:p>
        </w:tc>
        <w:tc>
          <w:tcPr>
            <w:tcW w:w="1520" w:type="dxa"/>
            <w:vAlign w:val="bottom"/>
            <w:gridSpan w:val="2"/>
          </w:tcPr>
          <w:p>
            <w:pPr>
              <w:jc w:val="right"/>
              <w:ind w:right="200"/>
              <w:spacing w:after="0"/>
              <w:rPr>
                <w:sz w:val="20"/>
                <w:szCs w:val="20"/>
                <w:color w:val="auto"/>
              </w:rPr>
            </w:pPr>
            <w:r>
              <w:rPr>
                <w:rFonts w:ascii="Arial" w:cs="Arial" w:eastAsia="Arial" w:hAnsi="Arial"/>
                <w:sz w:val="18"/>
                <w:szCs w:val="18"/>
                <w:color w:val="auto"/>
              </w:rPr>
              <w:t>(3,807 )</w:t>
            </w:r>
          </w:p>
        </w:tc>
        <w:tc>
          <w:tcPr>
            <w:tcW w:w="24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26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gridSpan w:val="2"/>
          </w:tcPr>
          <w:p>
            <w:pPr>
              <w:jc w:val="right"/>
              <w:ind w:right="180"/>
              <w:spacing w:after="0"/>
              <w:rPr>
                <w:sz w:val="20"/>
                <w:szCs w:val="20"/>
                <w:color w:val="auto"/>
              </w:rPr>
            </w:pPr>
            <w:r>
              <w:rPr>
                <w:rFonts w:ascii="Arial" w:cs="Arial" w:eastAsia="Arial" w:hAnsi="Arial"/>
                <w:sz w:val="18"/>
                <w:szCs w:val="18"/>
                <w:color w:val="auto"/>
              </w:rPr>
              <w:t>(6,454 )</w:t>
            </w:r>
          </w:p>
        </w:tc>
        <w:tc>
          <w:tcPr>
            <w:tcW w:w="220" w:type="dxa"/>
            <w:vAlign w:val="bottom"/>
          </w:tcPr>
          <w:p>
            <w:pPr>
              <w:spacing w:after="0"/>
              <w:rPr>
                <w:sz w:val="21"/>
                <w:szCs w:val="21"/>
                <w:color w:val="auto"/>
              </w:rPr>
            </w:pPr>
          </w:p>
        </w:tc>
        <w:tc>
          <w:tcPr>
            <w:tcW w:w="1160" w:type="dxa"/>
            <w:vAlign w:val="bottom"/>
          </w:tcPr>
          <w:p>
            <w:pPr>
              <w:jc w:val="right"/>
              <w:spacing w:after="0"/>
              <w:rPr>
                <w:sz w:val="20"/>
                <w:szCs w:val="20"/>
                <w:color w:val="auto"/>
              </w:rPr>
            </w:pPr>
            <w:r>
              <w:rPr>
                <w:rFonts w:ascii="Arial" w:cs="Arial" w:eastAsia="Arial" w:hAnsi="Arial"/>
                <w:sz w:val="18"/>
                <w:szCs w:val="18"/>
                <w:color w:val="auto"/>
              </w:rPr>
              <w:t>—</w:t>
            </w:r>
          </w:p>
        </w:tc>
        <w:tc>
          <w:tcPr>
            <w:tcW w:w="100" w:type="dxa"/>
            <w:vAlign w:val="bottom"/>
          </w:tcPr>
          <w:p>
            <w:pPr>
              <w:spacing w:after="0"/>
              <w:rPr>
                <w:sz w:val="21"/>
                <w:szCs w:val="21"/>
                <w:color w:val="auto"/>
              </w:rPr>
            </w:pPr>
          </w:p>
        </w:tc>
      </w:tr>
      <w:tr>
        <w:trPr>
          <w:trHeight w:val="290"/>
        </w:trPr>
        <w:tc>
          <w:tcPr>
            <w:tcW w:w="478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1,208,176</w:t>
            </w:r>
          </w:p>
        </w:tc>
        <w:tc>
          <w:tcPr>
            <w:tcW w:w="280" w:type="dxa"/>
            <w:vAlign w:val="bottom"/>
            <w:tcBorders>
              <w:bottom w:val="single" w:sz="8" w:color="CFF0FC"/>
            </w:tcBorders>
            <w:shd w:val="clear" w:color="auto" w:fill="CFF0FC"/>
          </w:tcPr>
          <w:p>
            <w:pPr>
              <w:spacing w:after="0"/>
              <w:rPr>
                <w:sz w:val="24"/>
                <w:szCs w:val="24"/>
                <w:color w:val="auto"/>
              </w:rPr>
            </w:pPr>
          </w:p>
        </w:tc>
        <w:tc>
          <w:tcPr>
            <w:tcW w:w="240" w:type="dxa"/>
            <w:vAlign w:val="bottom"/>
            <w:tcBorders>
              <w:top w:val="single" w:sz="8" w:color="auto"/>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1,268,724</w:t>
            </w:r>
          </w:p>
        </w:tc>
        <w:tc>
          <w:tcPr>
            <w:tcW w:w="26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1,468,586</w:t>
            </w:r>
          </w:p>
        </w:tc>
        <w:tc>
          <w:tcPr>
            <w:tcW w:w="26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1,570,693</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3922395</wp:posOffset>
            </wp:positionH>
            <wp:positionV relativeFrom="paragraph">
              <wp:posOffset>-24765</wp:posOffset>
            </wp:positionV>
            <wp:extent cx="179705" cy="8255"/>
            <wp:wrapNone/>
            <wp:docPr id="177" name="Picture 1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7"/>
                    <pic:cNvPicPr>
                      <a:picLocks noChangeAspect="1" noChangeArrowheads="1"/>
                    </pic:cNvPicPr>
                  </pic:nvPicPr>
                  <pic:blipFill>
                    <a:blip r:embed="rId18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3922395</wp:posOffset>
            </wp:positionH>
            <wp:positionV relativeFrom="paragraph">
              <wp:posOffset>-7620</wp:posOffset>
            </wp:positionV>
            <wp:extent cx="179705" cy="8255"/>
            <wp:wrapNone/>
            <wp:docPr id="178" name="Picture 1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8"/>
                    <pic:cNvPicPr>
                      <a:picLocks noChangeAspect="1" noChangeArrowheads="1"/>
                    </pic:cNvPicPr>
                  </pic:nvPicPr>
                  <pic:blipFill>
                    <a:blip r:embed="rId18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62560" cy="8255"/>
            <wp:wrapNone/>
            <wp:docPr id="179" name="Picture 1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9"/>
                    <pic:cNvPicPr>
                      <a:picLocks noChangeAspect="1" noChangeArrowheads="1"/>
                    </pic:cNvPicPr>
                  </pic:nvPicPr>
                  <pic:blipFill>
                    <a:blip r:embed="rId18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62560" cy="8255"/>
            <wp:wrapNone/>
            <wp:docPr id="180" name="Picture 1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0"/>
                    <pic:cNvPicPr>
                      <a:picLocks noChangeAspect="1" noChangeArrowheads="1"/>
                    </pic:cNvPicPr>
                  </pic:nvPicPr>
                  <pic:blipFill>
                    <a:blip r:embed="rId18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62560" cy="8255"/>
            <wp:wrapNone/>
            <wp:docPr id="181" name="Picture 1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1"/>
                    <pic:cNvPicPr>
                      <a:picLocks noChangeAspect="1" noChangeArrowheads="1"/>
                    </pic:cNvPicPr>
                  </pic:nvPicPr>
                  <pic:blipFill>
                    <a:blip r:embed="rId18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62560" cy="8255"/>
            <wp:wrapNone/>
            <wp:docPr id="182" name="Picture 1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2"/>
                    <pic:cNvPicPr>
                      <a:picLocks noChangeAspect="1" noChangeArrowheads="1"/>
                    </pic:cNvPicPr>
                  </pic:nvPicPr>
                  <pic:blipFill>
                    <a:blip r:embed="rId189">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3" name="Picture 1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3"/>
                    <pic:cNvPicPr>
                      <a:picLocks noChangeAspect="1" noChangeArrowheads="1"/>
                    </pic:cNvPicPr>
                  </pic:nvPicPr>
                  <pic:blipFill>
                    <a:blip r:embed="rId190">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4" name="Picture 1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4"/>
                    <pic:cNvPicPr>
                      <a:picLocks noChangeAspect="1" noChangeArrowheads="1"/>
                    </pic:cNvPicPr>
                  </pic:nvPicPr>
                  <pic:blipFill>
                    <a:blip r:embed="rId191">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ind w:left="900" w:hanging="330"/>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Variable interest rate of 1.5% at both September 30, 2021 and December 31, 2020.</w:t>
      </w:r>
    </w:p>
    <w:p>
      <w:pPr>
        <w:spacing w:after="0" w:line="23" w:lineRule="exact"/>
        <w:rPr>
          <w:rFonts w:ascii="Arial" w:cs="Arial" w:eastAsia="Arial" w:hAnsi="Arial"/>
          <w:sz w:val="18"/>
          <w:szCs w:val="18"/>
          <w:color w:val="auto"/>
        </w:rPr>
      </w:pPr>
    </w:p>
    <w:p>
      <w:pPr>
        <w:ind w:left="900" w:hanging="330"/>
        <w:spacing w:after="0"/>
        <w:tabs>
          <w:tab w:leader="none" w:pos="900" w:val="left"/>
        </w:tabs>
        <w:numPr>
          <w:ilvl w:val="0"/>
          <w:numId w:val="6"/>
        </w:numPr>
        <w:rPr>
          <w:rFonts w:ascii="Arial" w:cs="Arial" w:eastAsia="Arial" w:hAnsi="Arial"/>
          <w:sz w:val="18"/>
          <w:szCs w:val="18"/>
          <w:color w:val="auto"/>
        </w:rPr>
      </w:pPr>
      <w:r>
        <w:rPr>
          <w:rFonts w:ascii="Arial" w:cs="Arial" w:eastAsia="Arial" w:hAnsi="Arial"/>
          <w:sz w:val="18"/>
          <w:szCs w:val="18"/>
          <w:color w:val="auto"/>
        </w:rPr>
        <w:t>Excludes $1,559,000 attributable to the Revolving Credit Facility included in other assets at September 30, 2021.</w:t>
      </w:r>
    </w:p>
    <w:p>
      <w:pPr>
        <w:spacing w:after="0" w:line="251"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borrowings and payments under the bank credit facilities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06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900" w:type="dxa"/>
            <w:vAlign w:val="bottom"/>
            <w:gridSpan w:val="5"/>
          </w:tcPr>
          <w:p>
            <w:pPr>
              <w:jc w:val="right"/>
              <w:ind w:right="56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806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right"/>
              <w:ind w:right="475"/>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Borrowings on bank credit facilities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4,795</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582,212</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
              <w:spacing w:after="0"/>
              <w:rPr>
                <w:sz w:val="20"/>
                <w:szCs w:val="20"/>
                <w:color w:val="auto"/>
              </w:rPr>
            </w:pPr>
            <w:r>
              <w:rPr>
                <w:rFonts w:ascii="Arial" w:cs="Arial" w:eastAsia="Arial" w:hAnsi="Arial"/>
                <w:sz w:val="18"/>
                <w:szCs w:val="18"/>
                <w:color w:val="auto"/>
              </w:rPr>
              <w:t>Payments on bank credit facilities</w:t>
            </w:r>
          </w:p>
        </w:tc>
        <w:tc>
          <w:tcPr>
            <w:tcW w:w="280" w:type="dxa"/>
            <w:vAlign w:val="bottom"/>
          </w:tcPr>
          <w:p>
            <w:pPr>
              <w:spacing w:after="0"/>
              <w:rPr>
                <w:sz w:val="21"/>
                <w:szCs w:val="21"/>
                <w:color w:val="auto"/>
              </w:rPr>
            </w:pPr>
          </w:p>
        </w:tc>
        <w:tc>
          <w:tcPr>
            <w:tcW w:w="1400" w:type="dxa"/>
            <w:vAlign w:val="bottom"/>
            <w:gridSpan w:val="2"/>
          </w:tcPr>
          <w:p>
            <w:pPr>
              <w:jc w:val="right"/>
              <w:ind w:right="180"/>
              <w:spacing w:after="0"/>
              <w:rPr>
                <w:sz w:val="20"/>
                <w:szCs w:val="20"/>
                <w:color w:val="auto"/>
              </w:rPr>
            </w:pPr>
            <w:r>
              <w:rPr>
                <w:rFonts w:ascii="Arial" w:cs="Arial" w:eastAsia="Arial" w:hAnsi="Arial"/>
                <w:sz w:val="18"/>
                <w:szCs w:val="18"/>
                <w:color w:val="auto"/>
              </w:rPr>
              <w:t>(252,852 )</w:t>
            </w:r>
          </w:p>
        </w:tc>
        <w:tc>
          <w:tcPr>
            <w:tcW w:w="320" w:type="dxa"/>
            <w:vAlign w:val="bottom"/>
          </w:tcPr>
          <w:p>
            <w:pPr>
              <w:spacing w:after="0"/>
              <w:rPr>
                <w:sz w:val="21"/>
                <w:szCs w:val="21"/>
                <w:color w:val="auto"/>
              </w:rPr>
            </w:pPr>
          </w:p>
        </w:tc>
        <w:tc>
          <w:tcPr>
            <w:tcW w:w="1180" w:type="dxa"/>
            <w:vAlign w:val="bottom"/>
            <w:gridSpan w:val="2"/>
          </w:tcPr>
          <w:p>
            <w:pPr>
              <w:jc w:val="right"/>
              <w:ind w:right="40"/>
              <w:spacing w:after="0"/>
              <w:rPr>
                <w:sz w:val="20"/>
                <w:szCs w:val="20"/>
                <w:color w:val="auto"/>
              </w:rPr>
            </w:pPr>
            <w:r>
              <w:rPr>
                <w:rFonts w:ascii="Arial" w:cs="Arial" w:eastAsia="Arial" w:hAnsi="Arial"/>
                <w:sz w:val="18"/>
                <w:szCs w:val="18"/>
                <w:color w:val="auto"/>
              </w:rPr>
              <w:t>(222,073 )</w:t>
            </w:r>
          </w:p>
        </w:tc>
      </w:tr>
      <w:tr>
        <w:trPr>
          <w:trHeight w:val="20"/>
        </w:trPr>
        <w:tc>
          <w:tcPr>
            <w:tcW w:w="8060" w:type="dxa"/>
            <w:vAlign w:val="bottom"/>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8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8060" w:type="dxa"/>
            <w:vAlign w:val="bottom"/>
            <w:shd w:val="clear" w:color="auto" w:fill="CFF0FC"/>
          </w:tcPr>
          <w:p>
            <w:pPr>
              <w:spacing w:after="0"/>
              <w:rPr>
                <w:sz w:val="23"/>
                <w:szCs w:val="23"/>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0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(248,057 )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360,139</w:t>
            </w:r>
          </w:p>
        </w:tc>
        <w:tc>
          <w:tcPr>
            <w:tcW w:w="100" w:type="dxa"/>
            <w:vAlign w:val="bottom"/>
            <w:shd w:val="clear" w:color="auto" w:fill="CFF0FC"/>
          </w:tcPr>
          <w:p>
            <w:pPr>
              <w:spacing w:after="0"/>
              <w:rPr>
                <w:sz w:val="23"/>
                <w:szCs w:val="23"/>
                <w:color w:val="auto"/>
              </w:rPr>
            </w:pPr>
          </w:p>
        </w:tc>
      </w:tr>
      <w:tr>
        <w:trPr>
          <w:trHeight w:val="20"/>
        </w:trPr>
        <w:tc>
          <w:tcPr>
            <w:tcW w:w="806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8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-24765</wp:posOffset>
            </wp:positionV>
            <wp:extent cx="163195" cy="8255"/>
            <wp:wrapNone/>
            <wp:docPr id="185" name="Picture 1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5"/>
                    <pic:cNvPicPr>
                      <a:picLocks noChangeAspect="1" noChangeArrowheads="1"/>
                    </pic:cNvPicPr>
                  </pic:nvPicPr>
                  <pic:blipFill>
                    <a:blip r:embed="rId192">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-7620</wp:posOffset>
            </wp:positionV>
            <wp:extent cx="163195" cy="8255"/>
            <wp:wrapNone/>
            <wp:docPr id="186" name="Picture 1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6"/>
                    <pic:cNvPicPr>
                      <a:picLocks noChangeAspect="1" noChangeArrowheads="1"/>
                    </pic:cNvPicPr>
                  </pic:nvPicPr>
                  <pic:blipFill>
                    <a:blip r:embed="rId193">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187" name="Picture 1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7"/>
                    <pic:cNvPicPr>
                      <a:picLocks noChangeAspect="1" noChangeArrowheads="1"/>
                    </pic:cNvPicPr>
                  </pic:nvPicPr>
                  <pic:blipFill>
                    <a:blip r:embed="rId194">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188" name="Picture 1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8"/>
                    <pic:cNvPicPr>
                      <a:picLocks noChangeAspect="1" noChangeArrowheads="1"/>
                    </pic:cNvPicPr>
                  </pic:nvPicPr>
                  <pic:blipFill>
                    <a:blip r:embed="rId195">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The Company has an amended and restated credit agreement (the “Credit Agreement”) with a group of commercial banks, with JPMorgan Chase Bank, N.A. as the administrative agent bank, allowing for an $850,000,000 unsecured revolving credit facility (“Revolving Credit Facility”) and an unsecured term loan (“Term Loan”) with a maturity date of March 27, 2024. The Term Loan is due on March 27, 2024 and is prepayable, in whole or in part, without penalty. During the nine months ended September 30, 2021, the Company repaid $15,000,000 under the Term Loan. During October 2021, the Company repaid $20,000,000 under the Term Loan. Outstanding letters of credit under the Revolving Credit Facility were $5,063,000 and available borrowing capacity was $844,937,000 as of September 30, 2021. Outstanding letters of credit under the $10,000,000 credit line were $1,299,000 and available borrowing capacity was $8,701,000 as of September 30, 2021.</w:t>
      </w:r>
    </w:p>
    <w:p>
      <w:pPr>
        <w:spacing w:after="0" w:line="202" w:lineRule="exact"/>
        <w:rPr>
          <w:sz w:val="20"/>
          <w:szCs w:val="20"/>
          <w:color w:val="auto"/>
        </w:rPr>
      </w:pPr>
    </w:p>
    <w:p>
      <w:pPr>
        <w:ind w:left="480" w:hanging="472"/>
        <w:spacing w:after="0"/>
        <w:tabs>
          <w:tab w:leader="none" w:pos="480" w:val="left"/>
        </w:tabs>
        <w:numPr>
          <w:ilvl w:val="0"/>
          <w:numId w:val="7"/>
        </w:numPr>
        <w:rPr>
          <w:rFonts w:ascii="Arial" w:cs="Arial" w:eastAsia="Arial" w:hAnsi="Arial"/>
          <w:sz w:val="18"/>
          <w:szCs w:val="18"/>
          <w:b w:val="1"/>
          <w:bCs w:val="1"/>
          <w:color w:val="auto"/>
        </w:rPr>
      </w:pPr>
      <w:r>
        <w:rPr>
          <w:rFonts w:ascii="Arial" w:cs="Arial" w:eastAsia="Arial" w:hAnsi="Arial"/>
          <w:sz w:val="18"/>
          <w:szCs w:val="18"/>
          <w:b w:val="1"/>
          <w:bCs w:val="1"/>
          <w:color w:val="auto"/>
        </w:rPr>
        <w:t>Leases</w:t>
      </w:r>
    </w:p>
    <w:p>
      <w:pPr>
        <w:spacing w:after="0" w:line="256" w:lineRule="exact"/>
        <w:rPr>
          <w:sz w:val="20"/>
          <w:szCs w:val="20"/>
          <w:color w:val="auto"/>
        </w:rPr>
      </w:pPr>
    </w:p>
    <w:p>
      <w:pPr>
        <w:jc w:val="both"/>
        <w:ind w:firstLine="562"/>
        <w:spacing w:after="0" w:line="311" w:lineRule="auto"/>
        <w:rPr>
          <w:sz w:val="20"/>
          <w:szCs w:val="20"/>
          <w:color w:val="auto"/>
        </w:rPr>
      </w:pPr>
      <w:r>
        <w:rPr>
          <w:rFonts w:ascii="Arial" w:cs="Arial" w:eastAsia="Arial" w:hAnsi="Arial"/>
          <w:sz w:val="16"/>
          <w:szCs w:val="16"/>
          <w:color w:val="auto"/>
        </w:rPr>
        <w:t>The Company currently leases various facilities and equipment under cancelable and noncancelable operating leases. The accounting for the Company’s leases may require judgments, which include determining whether a contract contains a lease, allocating between lease and non-lease components, and determining the incremental borrowing rates. Leases with an initial noncancelable term of 12 months or less are not recorded on the balance sheet and related lease expense is recognized on a straight-line basis over the lease term. The Company has also elected to combine lease and non-lease components on all classes of leased assets, except for leased towing vessels, for which the Company estimates approximately 70% of the costs relate to service costs and other non-lease components. Variable lease costs relate primarily to real estate executory costs (i.e. taxes, insurance and maintenance).</w:t>
      </w:r>
    </w:p>
    <w:p>
      <w:pPr>
        <w:spacing w:after="0" w:line="32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189" name="Picture 1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89"/>
                    <pic:cNvPicPr>
                      <a:picLocks noChangeAspect="1" noChangeArrowheads="1"/>
                    </pic:cNvPicPr>
                  </pic:nvPicPr>
                  <pic:blipFill>
                    <a:blip r:embed="rId19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0" w:name="page11"/>
    <w:bookmarkEnd w:id="10"/>
    <w:p>
      <w:pPr>
        <w:ind w:firstLine="562"/>
        <w:spacing w:after="0" w:line="293" w:lineRule="auto"/>
        <w:rPr>
          <w:sz w:val="20"/>
          <w:szCs w:val="20"/>
          <w:color w:val="auto"/>
        </w:rPr>
      </w:pPr>
      <w:r>
        <w:rPr>
          <w:rFonts w:ascii="Arial" w:cs="Arial" w:eastAsia="Arial" w:hAnsi="Arial"/>
          <w:sz w:val="18"/>
          <w:szCs w:val="18"/>
          <w:color w:val="auto"/>
        </w:rPr>
        <w:t>Future minimum lease payments under operating leases that have initial noncancelable lease terms in excess of one year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6"/>
        </w:trPr>
        <w:tc>
          <w:tcPr>
            <w:tcW w:w="478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540" w:type="dxa"/>
            <w:vAlign w:val="bottom"/>
          </w:tcPr>
          <w:p>
            <w:pPr>
              <w:spacing w:after="0"/>
              <w:rPr>
                <w:sz w:val="15"/>
                <w:szCs w:val="15"/>
                <w:color w:val="auto"/>
              </w:rPr>
            </w:pPr>
          </w:p>
        </w:tc>
        <w:tc>
          <w:tcPr>
            <w:tcW w:w="260" w:type="dxa"/>
            <w:vAlign w:val="bottom"/>
          </w:tcPr>
          <w:p>
            <w:pPr>
              <w:spacing w:after="0"/>
              <w:rPr>
                <w:sz w:val="15"/>
                <w:szCs w:val="15"/>
                <w:color w:val="auto"/>
              </w:rPr>
            </w:pPr>
          </w:p>
        </w:tc>
        <w:tc>
          <w:tcPr>
            <w:tcW w:w="340" w:type="dxa"/>
            <w:vAlign w:val="bottom"/>
          </w:tcPr>
          <w:p>
            <w:pPr>
              <w:spacing w:after="0"/>
              <w:rPr>
                <w:sz w:val="15"/>
                <w:szCs w:val="15"/>
                <w:color w:val="auto"/>
              </w:rPr>
            </w:pPr>
          </w:p>
        </w:tc>
        <w:tc>
          <w:tcPr>
            <w:tcW w:w="1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60" w:type="dxa"/>
            <w:vAlign w:val="bottom"/>
          </w:tcPr>
          <w:p>
            <w:pPr>
              <w:spacing w:after="0"/>
              <w:rPr>
                <w:sz w:val="15"/>
                <w:szCs w:val="15"/>
                <w:color w:val="auto"/>
              </w:rPr>
            </w:pPr>
          </w:p>
        </w:tc>
        <w:tc>
          <w:tcPr>
            <w:tcW w:w="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460" w:type="dxa"/>
            <w:vAlign w:val="bottom"/>
            <w:gridSpan w:val="4"/>
          </w:tcPr>
          <w:p>
            <w:pPr>
              <w:jc w:val="right"/>
              <w:ind w:right="520"/>
              <w:spacing w:after="0"/>
              <w:rPr>
                <w:sz w:val="20"/>
                <w:szCs w:val="20"/>
                <w:color w:val="auto"/>
              </w:rPr>
            </w:pPr>
            <w:r>
              <w:rPr>
                <w:rFonts w:ascii="Arial" w:cs="Arial" w:eastAsia="Arial" w:hAnsi="Arial"/>
                <w:sz w:val="14"/>
                <w:szCs w:val="14"/>
                <w:b w:val="1"/>
                <w:bCs w:val="1"/>
                <w:color w:val="auto"/>
                <w:w w:val="96"/>
              </w:rPr>
              <w:t>September 30,</w:t>
            </w:r>
          </w:p>
        </w:tc>
        <w:tc>
          <w:tcPr>
            <w:tcW w:w="2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320" w:type="dxa"/>
            <w:vAlign w:val="bottom"/>
            <w:gridSpan w:val="3"/>
          </w:tcPr>
          <w:p>
            <w:pPr>
              <w:jc w:val="center"/>
              <w:ind w:right="280"/>
              <w:spacing w:after="0"/>
              <w:rPr>
                <w:sz w:val="20"/>
                <w:szCs w:val="20"/>
                <w:color w:val="auto"/>
              </w:rPr>
            </w:pPr>
            <w:r>
              <w:rPr>
                <w:rFonts w:ascii="Arial" w:cs="Arial" w:eastAsia="Arial" w:hAnsi="Arial"/>
                <w:sz w:val="14"/>
                <w:szCs w:val="14"/>
                <w:b w:val="1"/>
                <w:bCs w:val="1"/>
                <w:color w:val="auto"/>
                <w:w w:val="92"/>
              </w:rPr>
              <w:t>December 31,</w:t>
            </w:r>
          </w:p>
        </w:tc>
      </w:tr>
      <w:tr>
        <w:trPr>
          <w:trHeight w:val="192"/>
        </w:trPr>
        <w:tc>
          <w:tcPr>
            <w:tcW w:w="4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Borders>
              <w:bottom w:val="single" w:sz="8" w:color="auto"/>
            </w:tcBorders>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7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bottom w:val="single" w:sz="8" w:color="auto"/>
            </w:tcBorders>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256"/>
        </w:trPr>
        <w:tc>
          <w:tcPr>
            <w:tcW w:w="478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2021</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10,258</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40,224</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60"/>
              <w:spacing w:after="0"/>
              <w:rPr>
                <w:sz w:val="20"/>
                <w:szCs w:val="20"/>
                <w:color w:val="auto"/>
              </w:rPr>
            </w:pPr>
            <w:r>
              <w:rPr>
                <w:rFonts w:ascii="Arial" w:cs="Arial" w:eastAsia="Arial" w:hAnsi="Arial"/>
                <w:sz w:val="18"/>
                <w:szCs w:val="18"/>
                <w:color w:val="auto"/>
              </w:rPr>
              <w:t>2022</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37,765</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33,543</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2023</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32,566</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28,012</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60"/>
              <w:spacing w:after="0"/>
              <w:rPr>
                <w:sz w:val="20"/>
                <w:szCs w:val="20"/>
                <w:color w:val="auto"/>
              </w:rPr>
            </w:pPr>
            <w:r>
              <w:rPr>
                <w:rFonts w:ascii="Arial" w:cs="Arial" w:eastAsia="Arial" w:hAnsi="Arial"/>
                <w:sz w:val="18"/>
                <w:szCs w:val="18"/>
                <w:color w:val="auto"/>
              </w:rPr>
              <w:t>2024</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00" w:type="dxa"/>
            <w:vAlign w:val="bottom"/>
            <w:gridSpan w:val="2"/>
          </w:tcPr>
          <w:p>
            <w:pPr>
              <w:jc w:val="right"/>
              <w:spacing w:after="0"/>
              <w:rPr>
                <w:sz w:val="20"/>
                <w:szCs w:val="20"/>
                <w:color w:val="auto"/>
              </w:rPr>
            </w:pPr>
            <w:r>
              <w:rPr>
                <w:rFonts w:ascii="Arial" w:cs="Arial" w:eastAsia="Arial" w:hAnsi="Arial"/>
                <w:sz w:val="18"/>
                <w:szCs w:val="18"/>
                <w:color w:val="auto"/>
              </w:rPr>
              <w:t>25,804</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23,578</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60"/>
              <w:spacing w:after="0"/>
              <w:rPr>
                <w:sz w:val="20"/>
                <w:szCs w:val="20"/>
                <w:color w:val="auto"/>
              </w:rPr>
            </w:pPr>
            <w:r>
              <w:rPr>
                <w:rFonts w:ascii="Arial" w:cs="Arial" w:eastAsia="Arial" w:hAnsi="Arial"/>
                <w:sz w:val="18"/>
                <w:szCs w:val="18"/>
                <w:color w:val="auto"/>
              </w:rPr>
              <w:t>2025</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22,394</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21,261</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Thereafter</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Borders>
              <w:bottom w:val="single" w:sz="8" w:color="auto"/>
            </w:tcBorders>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4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gridSpan w:val="2"/>
          </w:tcPr>
          <w:p>
            <w:pPr>
              <w:jc w:val="right"/>
              <w:spacing w:after="0"/>
              <w:rPr>
                <w:sz w:val="20"/>
                <w:szCs w:val="20"/>
                <w:color w:val="auto"/>
              </w:rPr>
            </w:pPr>
            <w:r>
              <w:rPr>
                <w:rFonts w:ascii="Arial" w:cs="Arial" w:eastAsia="Arial" w:hAnsi="Arial"/>
                <w:sz w:val="18"/>
                <w:szCs w:val="18"/>
                <w:color w:val="auto"/>
              </w:rPr>
              <w:t>100,946</w:t>
            </w:r>
          </w:p>
        </w:tc>
        <w:tc>
          <w:tcPr>
            <w:tcW w:w="4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20" w:type="dxa"/>
            <w:vAlign w:val="bottom"/>
            <w:tcBorders>
              <w:bottom w:val="single" w:sz="8" w:color="auto"/>
            </w:tcBorders>
          </w:tcPr>
          <w:p>
            <w:pPr>
              <w:spacing w:after="0"/>
              <w:rPr>
                <w:sz w:val="21"/>
                <w:szCs w:val="21"/>
                <w:color w:val="auto"/>
              </w:rPr>
            </w:pPr>
          </w:p>
        </w:tc>
        <w:tc>
          <w:tcPr>
            <w:tcW w:w="16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gridSpan w:val="2"/>
          </w:tcPr>
          <w:p>
            <w:pPr>
              <w:jc w:val="right"/>
              <w:ind w:right="20"/>
              <w:spacing w:after="0"/>
              <w:rPr>
                <w:sz w:val="20"/>
                <w:szCs w:val="20"/>
                <w:color w:val="auto"/>
              </w:rPr>
            </w:pPr>
            <w:r>
              <w:rPr>
                <w:rFonts w:ascii="Arial" w:cs="Arial" w:eastAsia="Arial" w:hAnsi="Arial"/>
                <w:sz w:val="18"/>
                <w:szCs w:val="18"/>
                <w:color w:val="auto"/>
              </w:rPr>
              <w:t>96,491</w:t>
            </w:r>
          </w:p>
        </w:tc>
        <w:tc>
          <w:tcPr>
            <w:tcW w:w="100" w:type="dxa"/>
            <w:vAlign w:val="bottom"/>
          </w:tcPr>
          <w:p>
            <w:pPr>
              <w:spacing w:after="0"/>
              <w:rPr>
                <w:sz w:val="21"/>
                <w:szCs w:val="21"/>
                <w:color w:val="auto"/>
              </w:rPr>
            </w:pPr>
          </w:p>
        </w:tc>
      </w:tr>
      <w:tr>
        <w:trPr>
          <w:trHeight w:val="257"/>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Total lease payments</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229,733</w:t>
            </w:r>
          </w:p>
        </w:tc>
        <w:tc>
          <w:tcPr>
            <w:tcW w:w="4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243,109</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Less: imputed interest</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tcPr>
          <w:p>
            <w:pPr>
              <w:jc w:val="right"/>
              <w:ind w:right="180"/>
              <w:spacing w:after="0"/>
              <w:rPr>
                <w:sz w:val="20"/>
                <w:szCs w:val="20"/>
                <w:color w:val="auto"/>
              </w:rPr>
            </w:pPr>
            <w:r>
              <w:rPr>
                <w:rFonts w:ascii="Arial" w:cs="Arial" w:eastAsia="Arial" w:hAnsi="Arial"/>
                <w:sz w:val="18"/>
                <w:szCs w:val="18"/>
                <w:color w:val="auto"/>
              </w:rPr>
              <w:t>(44,305 )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(46,863 )</w:t>
            </w:r>
          </w:p>
        </w:tc>
      </w:tr>
      <w:tr>
        <w:trPr>
          <w:trHeight w:val="290"/>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Operating lease liabilities</w:t>
            </w:r>
          </w:p>
        </w:tc>
        <w:tc>
          <w:tcPr>
            <w:tcW w:w="880" w:type="dxa"/>
            <w:vAlign w:val="bottom"/>
            <w:tcBorders>
              <w:bottom w:val="single" w:sz="8" w:color="CFF0FC"/>
            </w:tcBorders>
            <w:shd w:val="clear" w:color="auto" w:fill="CFF0FC"/>
          </w:tcPr>
          <w:p>
            <w:pPr>
              <w:spacing w:after="0"/>
              <w:rPr>
                <w:sz w:val="24"/>
                <w:szCs w:val="24"/>
                <w:color w:val="auto"/>
              </w:rPr>
            </w:pPr>
          </w:p>
        </w:tc>
        <w:tc>
          <w:tcPr>
            <w:tcW w:w="54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top w:val="single" w:sz="8" w:color="auto"/>
              <w:bottom w:val="single" w:sz="8" w:color="auto"/>
            </w:tcBorders>
            <w:gridSpan w:val="3"/>
            <w:shd w:val="clear" w:color="auto" w:fill="CFF0FC"/>
          </w:tcPr>
          <w:p>
            <w:pPr>
              <w:jc w:val="right"/>
              <w:ind w:right="10"/>
              <w:spacing w:after="0"/>
              <w:rPr>
                <w:sz w:val="20"/>
                <w:szCs w:val="20"/>
                <w:color w:val="auto"/>
              </w:rPr>
            </w:pPr>
            <w:r>
              <w:rPr>
                <w:rFonts w:ascii="Arial" w:cs="Arial" w:eastAsia="Arial" w:hAnsi="Arial"/>
                <w:sz w:val="18"/>
                <w:szCs w:val="18"/>
                <w:color w:val="auto"/>
                <w:w w:val="99"/>
              </w:rPr>
              <w:t>$</w:t>
            </w:r>
          </w:p>
        </w:tc>
        <w:tc>
          <w:tcPr>
            <w:tcW w:w="120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rPr>
              <w:t>185,428</w:t>
            </w:r>
          </w:p>
        </w:tc>
        <w:tc>
          <w:tcPr>
            <w:tcW w:w="40" w:type="dxa"/>
            <w:vAlign w:val="bottom"/>
            <w:tcBorders>
              <w:bottom w:val="single" w:sz="8" w:color="CFF0FC"/>
            </w:tcBorders>
            <w:shd w:val="clear" w:color="auto" w:fill="CFF0FC"/>
          </w:tcPr>
          <w:p>
            <w:pPr>
              <w:spacing w:after="0"/>
              <w:rPr>
                <w:sz w:val="24"/>
                <w:szCs w:val="24"/>
                <w:color w:val="auto"/>
              </w:rPr>
            </w:pPr>
          </w:p>
        </w:tc>
        <w:tc>
          <w:tcPr>
            <w:tcW w:w="2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top w:val="single" w:sz="8" w:color="auto"/>
              <w:bottom w:val="single" w:sz="8" w:color="auto"/>
            </w:tcBorders>
            <w:gridSpan w:val="2"/>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196,246</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5660" w:type="dxa"/>
            <w:vAlign w:val="bottom"/>
            <w:gridSpan w:val="2"/>
          </w:tcPr>
          <w:p>
            <w:pPr>
              <w:ind w:left="580"/>
              <w:spacing w:after="0"/>
              <w:rPr>
                <w:sz w:val="20"/>
                <w:szCs w:val="20"/>
                <w:color w:val="auto"/>
              </w:rPr>
            </w:pPr>
            <w:r>
              <w:rPr>
                <w:rFonts w:ascii="Arial" w:cs="Arial" w:eastAsia="Arial" w:hAnsi="Arial"/>
                <w:sz w:val="18"/>
                <w:szCs w:val="18"/>
                <w:color w:val="auto"/>
              </w:rPr>
              <w:t>The following table summarizes lease costs (in thousands):</w:t>
            </w: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26"/>
        </w:trPr>
        <w:tc>
          <w:tcPr>
            <w:tcW w:w="4780" w:type="dxa"/>
            <w:vAlign w:val="bottom"/>
          </w:tcPr>
          <w:p>
            <w:pPr>
              <w:spacing w:after="0"/>
              <w:rPr>
                <w:sz w:val="24"/>
                <w:szCs w:val="24"/>
                <w:color w:val="auto"/>
              </w:rPr>
            </w:pPr>
          </w:p>
        </w:tc>
        <w:tc>
          <w:tcPr>
            <w:tcW w:w="3280" w:type="dxa"/>
            <w:vAlign w:val="bottom"/>
            <w:gridSpan w:val="6"/>
          </w:tcPr>
          <w:p>
            <w:pPr>
              <w:jc w:val="right"/>
              <w:ind w:right="620"/>
              <w:spacing w:after="0"/>
              <w:rPr>
                <w:sz w:val="20"/>
                <w:szCs w:val="20"/>
                <w:color w:val="auto"/>
              </w:rPr>
            </w:pPr>
            <w:r>
              <w:rPr>
                <w:rFonts w:ascii="Arial" w:cs="Arial" w:eastAsia="Arial" w:hAnsi="Arial"/>
                <w:sz w:val="14"/>
                <w:szCs w:val="14"/>
                <w:b w:val="1"/>
                <w:bCs w:val="1"/>
                <w:color w:val="auto"/>
              </w:rPr>
              <w:t>Three Months Ended September 30,</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2960" w:type="dxa"/>
            <w:vAlign w:val="bottom"/>
            <w:gridSpan w:val="9"/>
          </w:tcPr>
          <w:p>
            <w:pPr>
              <w:jc w:val="right"/>
              <w:ind w:right="540"/>
              <w:spacing w:after="0"/>
              <w:rPr>
                <w:sz w:val="20"/>
                <w:szCs w:val="20"/>
                <w:color w:val="auto"/>
              </w:rPr>
            </w:pPr>
            <w:r>
              <w:rPr>
                <w:rFonts w:ascii="Arial" w:cs="Arial" w:eastAsia="Arial" w:hAnsi="Arial"/>
                <w:sz w:val="14"/>
                <w:szCs w:val="14"/>
                <w:b w:val="1"/>
                <w:bCs w:val="1"/>
                <w:color w:val="auto"/>
              </w:rPr>
              <w:t>Nine Months Ended September 30,</w:t>
            </w:r>
          </w:p>
        </w:tc>
      </w:tr>
      <w:tr>
        <w:trPr>
          <w:trHeight w:val="196"/>
        </w:trPr>
        <w:tc>
          <w:tcPr>
            <w:tcW w:w="4780" w:type="dxa"/>
            <w:vAlign w:val="bottom"/>
          </w:tcPr>
          <w:p>
            <w:pPr>
              <w:spacing w:after="0"/>
              <w:rPr>
                <w:sz w:val="17"/>
                <w:szCs w:val="17"/>
                <w:color w:val="auto"/>
              </w:rPr>
            </w:pPr>
          </w:p>
        </w:tc>
        <w:tc>
          <w:tcPr>
            <w:tcW w:w="88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top w:val="single" w:sz="8" w:color="auto"/>
              <w:bottom w:val="single" w:sz="8" w:color="auto"/>
            </w:tcBorders>
          </w:tcPr>
          <w:p>
            <w:pPr>
              <w:spacing w:after="0"/>
              <w:rPr>
                <w:sz w:val="17"/>
                <w:szCs w:val="17"/>
                <w:color w:val="auto"/>
              </w:rPr>
            </w:pPr>
          </w:p>
        </w:tc>
        <w:tc>
          <w:tcPr>
            <w:tcW w:w="26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200" w:type="dxa"/>
            <w:vAlign w:val="bottom"/>
          </w:tcPr>
          <w:p>
            <w:pPr>
              <w:spacing w:after="0"/>
              <w:rPr>
                <w:sz w:val="17"/>
                <w:szCs w:val="17"/>
                <w:color w:val="auto"/>
              </w:rPr>
            </w:pPr>
          </w:p>
        </w:tc>
        <w:tc>
          <w:tcPr>
            <w:tcW w:w="60" w:type="dxa"/>
            <w:vAlign w:val="bottom"/>
          </w:tcPr>
          <w:p>
            <w:pPr>
              <w:spacing w:after="0"/>
              <w:rPr>
                <w:sz w:val="17"/>
                <w:szCs w:val="17"/>
                <w:color w:val="auto"/>
              </w:rPr>
            </w:pPr>
          </w:p>
        </w:tc>
        <w:tc>
          <w:tcPr>
            <w:tcW w:w="20" w:type="dxa"/>
            <w:vAlign w:val="bottom"/>
          </w:tcPr>
          <w:p>
            <w:pPr>
              <w:spacing w:after="0"/>
              <w:rPr>
                <w:sz w:val="17"/>
                <w:szCs w:val="17"/>
                <w:color w:val="auto"/>
              </w:rPr>
            </w:pPr>
          </w:p>
        </w:tc>
        <w:tc>
          <w:tcPr>
            <w:tcW w:w="140" w:type="dxa"/>
            <w:vAlign w:val="bottom"/>
            <w:tcBorders>
              <w:top w:val="single" w:sz="8" w:color="auto"/>
              <w:bottom w:val="single" w:sz="8" w:color="auto"/>
            </w:tcBorders>
          </w:tcPr>
          <w:p>
            <w:pPr>
              <w:spacing w:after="0"/>
              <w:rPr>
                <w:sz w:val="17"/>
                <w:szCs w:val="17"/>
                <w:color w:val="auto"/>
              </w:rPr>
            </w:pPr>
          </w:p>
        </w:tc>
        <w:tc>
          <w:tcPr>
            <w:tcW w:w="1100" w:type="dxa"/>
            <w:vAlign w:val="bottom"/>
            <w:tcBorders>
              <w:top w:val="single" w:sz="8" w:color="auto"/>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100" w:type="dxa"/>
            <w:vAlign w:val="bottom"/>
            <w:tcBorders>
              <w:top w:val="single" w:sz="8" w:color="auto"/>
              <w:bottom w:val="single" w:sz="8" w:color="auto"/>
            </w:tcBorders>
          </w:tcPr>
          <w:p>
            <w:pPr>
              <w:spacing w:after="0"/>
              <w:rPr>
                <w:sz w:val="17"/>
                <w:szCs w:val="17"/>
                <w:color w:val="auto"/>
              </w:rPr>
            </w:pPr>
          </w:p>
        </w:tc>
        <w:tc>
          <w:tcPr>
            <w:tcW w:w="40" w:type="dxa"/>
            <w:vAlign w:val="bottom"/>
            <w:tcBorders>
              <w:top w:val="single" w:sz="8" w:color="auto"/>
              <w:bottom w:val="single" w:sz="8" w:color="auto"/>
            </w:tcBorders>
          </w:tcPr>
          <w:p>
            <w:pPr>
              <w:spacing w:after="0"/>
              <w:rPr>
                <w:sz w:val="17"/>
                <w:szCs w:val="17"/>
                <w:color w:val="auto"/>
              </w:rPr>
            </w:pPr>
          </w:p>
        </w:tc>
        <w:tc>
          <w:tcPr>
            <w:tcW w:w="220" w:type="dxa"/>
            <w:vAlign w:val="bottom"/>
            <w:tcBorders>
              <w:top w:val="single" w:sz="8" w:color="auto"/>
            </w:tcBorders>
          </w:tcPr>
          <w:p>
            <w:pPr>
              <w:spacing w:after="0"/>
              <w:rPr>
                <w:sz w:val="17"/>
                <w:szCs w:val="17"/>
                <w:color w:val="auto"/>
              </w:rPr>
            </w:pPr>
          </w:p>
        </w:tc>
        <w:tc>
          <w:tcPr>
            <w:tcW w:w="20" w:type="dxa"/>
            <w:vAlign w:val="bottom"/>
            <w:tcBorders>
              <w:top w:val="single" w:sz="8" w:color="auto"/>
            </w:tcBorders>
          </w:tcPr>
          <w:p>
            <w:pPr>
              <w:spacing w:after="0"/>
              <w:rPr>
                <w:sz w:val="17"/>
                <w:szCs w:val="17"/>
                <w:color w:val="auto"/>
              </w:rPr>
            </w:pPr>
          </w:p>
        </w:tc>
        <w:tc>
          <w:tcPr>
            <w:tcW w:w="160" w:type="dxa"/>
            <w:vAlign w:val="bottom"/>
            <w:tcBorders>
              <w:top w:val="single" w:sz="8" w:color="auto"/>
              <w:bottom w:val="single" w:sz="8" w:color="auto"/>
            </w:tcBorders>
          </w:tcPr>
          <w:p>
            <w:pPr>
              <w:spacing w:after="0"/>
              <w:rPr>
                <w:sz w:val="17"/>
                <w:szCs w:val="17"/>
                <w:color w:val="auto"/>
              </w:rPr>
            </w:pPr>
          </w:p>
        </w:tc>
        <w:tc>
          <w:tcPr>
            <w:tcW w:w="1080" w:type="dxa"/>
            <w:vAlign w:val="bottom"/>
            <w:tcBorders>
              <w:top w:val="single" w:sz="8" w:color="auto"/>
              <w:bottom w:val="single" w:sz="8" w:color="auto"/>
            </w:tcBorders>
          </w:tcPr>
          <w:p>
            <w:pPr>
              <w:jc w:val="center"/>
              <w:spacing w:after="0"/>
              <w:rPr>
                <w:sz w:val="20"/>
                <w:szCs w:val="20"/>
                <w:color w:val="auto"/>
              </w:rPr>
            </w:pPr>
            <w:r>
              <w:rPr>
                <w:rFonts w:ascii="Arial" w:cs="Arial" w:eastAsia="Arial" w:hAnsi="Arial"/>
                <w:sz w:val="14"/>
                <w:szCs w:val="14"/>
                <w:b w:val="1"/>
                <w:bCs w:val="1"/>
                <w:color w:val="auto"/>
                <w:w w:val="89"/>
              </w:rPr>
              <w:t>2020</w:t>
            </w:r>
          </w:p>
        </w:tc>
        <w:tc>
          <w:tcPr>
            <w:tcW w:w="140" w:type="dxa"/>
            <w:vAlign w:val="bottom"/>
            <w:tcBorders>
              <w:top w:val="single" w:sz="8" w:color="auto"/>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lease cost</w:t>
            </w:r>
          </w:p>
        </w:tc>
        <w:tc>
          <w:tcPr>
            <w:tcW w:w="880" w:type="dxa"/>
            <w:vAlign w:val="bottom"/>
            <w:shd w:val="clear" w:color="auto" w:fill="CFF0FC"/>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10,361</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11,553</w:t>
            </w:r>
          </w:p>
        </w:tc>
        <w:tc>
          <w:tcPr>
            <w:tcW w:w="200" w:type="dxa"/>
            <w:vAlign w:val="bottom"/>
            <w:shd w:val="clear" w:color="auto" w:fill="CFF0FC"/>
          </w:tcPr>
          <w:p>
            <w:pPr>
              <w:spacing w:after="0"/>
              <w:rPr>
                <w:sz w:val="22"/>
                <w:szCs w:val="22"/>
                <w:color w:val="auto"/>
              </w:rPr>
            </w:pPr>
          </w:p>
        </w:tc>
        <w:tc>
          <w:tcPr>
            <w:tcW w:w="220" w:type="dxa"/>
            <w:vAlign w:val="bottom"/>
            <w:gridSpan w:val="3"/>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31,433</w:t>
            </w:r>
          </w:p>
        </w:tc>
        <w:tc>
          <w:tcPr>
            <w:tcW w:w="220" w:type="dxa"/>
            <w:vAlign w:val="bottom"/>
            <w:shd w:val="clear" w:color="auto" w:fill="CFF0FC"/>
          </w:tcPr>
          <w:p>
            <w:pPr>
              <w:spacing w:after="0"/>
              <w:rPr>
                <w:sz w:val="22"/>
                <w:szCs w:val="22"/>
                <w:color w:val="auto"/>
              </w:rPr>
            </w:pPr>
          </w:p>
        </w:tc>
        <w:tc>
          <w:tcPr>
            <w:tcW w:w="18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32,467</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Variable lease cost</w:t>
            </w:r>
          </w:p>
        </w:tc>
        <w:tc>
          <w:tcPr>
            <w:tcW w:w="880" w:type="dxa"/>
            <w:vAlign w:val="bottom"/>
          </w:tcPr>
          <w:p>
            <w:pPr>
              <w:spacing w:after="0"/>
              <w:rPr>
                <w:sz w:val="21"/>
                <w:szCs w:val="21"/>
                <w:color w:val="auto"/>
              </w:rPr>
            </w:pPr>
          </w:p>
        </w:tc>
        <w:tc>
          <w:tcPr>
            <w:tcW w:w="540" w:type="dxa"/>
            <w:vAlign w:val="bottom"/>
          </w:tcPr>
          <w:p>
            <w:pPr>
              <w:jc w:val="right"/>
              <w:spacing w:after="0"/>
              <w:rPr>
                <w:sz w:val="20"/>
                <w:szCs w:val="20"/>
                <w:color w:val="auto"/>
              </w:rPr>
            </w:pPr>
            <w:r>
              <w:rPr>
                <w:rFonts w:ascii="Arial" w:cs="Arial" w:eastAsia="Arial" w:hAnsi="Arial"/>
                <w:sz w:val="18"/>
                <w:szCs w:val="18"/>
                <w:color w:val="auto"/>
              </w:rPr>
              <w:t>467</w:t>
            </w: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485</w:t>
            </w: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240" w:type="dxa"/>
            <w:vAlign w:val="bottom"/>
            <w:gridSpan w:val="3"/>
          </w:tcPr>
          <w:p>
            <w:pPr>
              <w:jc w:val="right"/>
              <w:ind w:right="20"/>
              <w:spacing w:after="0"/>
              <w:rPr>
                <w:sz w:val="20"/>
                <w:szCs w:val="20"/>
                <w:color w:val="auto"/>
              </w:rPr>
            </w:pPr>
            <w:r>
              <w:rPr>
                <w:rFonts w:ascii="Arial" w:cs="Arial" w:eastAsia="Arial" w:hAnsi="Arial"/>
                <w:sz w:val="18"/>
                <w:szCs w:val="18"/>
                <w:color w:val="auto"/>
              </w:rPr>
              <w:t>1,382</w:t>
            </w:r>
          </w:p>
        </w:tc>
        <w:tc>
          <w:tcPr>
            <w:tcW w:w="22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220" w:type="dxa"/>
            <w:vAlign w:val="bottom"/>
            <w:gridSpan w:val="2"/>
          </w:tcPr>
          <w:p>
            <w:pPr>
              <w:jc w:val="right"/>
              <w:ind w:right="20"/>
              <w:spacing w:after="0"/>
              <w:rPr>
                <w:sz w:val="20"/>
                <w:szCs w:val="20"/>
                <w:color w:val="auto"/>
              </w:rPr>
            </w:pPr>
            <w:r>
              <w:rPr>
                <w:rFonts w:ascii="Arial" w:cs="Arial" w:eastAsia="Arial" w:hAnsi="Arial"/>
                <w:sz w:val="18"/>
                <w:szCs w:val="18"/>
                <w:color w:val="auto"/>
              </w:rPr>
              <w:t>1,081</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Short-term lease cost</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3,534</w:t>
            </w: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4,645</w:t>
            </w: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240" w:type="dxa"/>
            <w:vAlign w:val="bottom"/>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10,602</w:t>
            </w:r>
          </w:p>
        </w:tc>
        <w:tc>
          <w:tcPr>
            <w:tcW w:w="22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220" w:type="dxa"/>
            <w:vAlign w:val="bottom"/>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17,998</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Sublease income</w:t>
            </w:r>
          </w:p>
        </w:tc>
        <w:tc>
          <w:tcPr>
            <w:tcW w:w="880" w:type="dxa"/>
            <w:vAlign w:val="bottom"/>
          </w:tcPr>
          <w:p>
            <w:pPr>
              <w:spacing w:after="0"/>
              <w:rPr>
                <w:sz w:val="21"/>
                <w:szCs w:val="21"/>
                <w:color w:val="auto"/>
              </w:rPr>
            </w:pPr>
          </w:p>
        </w:tc>
        <w:tc>
          <w:tcPr>
            <w:tcW w:w="800" w:type="dxa"/>
            <w:vAlign w:val="bottom"/>
            <w:gridSpan w:val="2"/>
          </w:tcPr>
          <w:p>
            <w:pPr>
              <w:jc w:val="right"/>
              <w:ind w:right="200"/>
              <w:spacing w:after="0"/>
              <w:rPr>
                <w:sz w:val="20"/>
                <w:szCs w:val="20"/>
                <w:color w:val="auto"/>
              </w:rPr>
            </w:pPr>
            <w:r>
              <w:rPr>
                <w:rFonts w:ascii="Arial" w:cs="Arial" w:eastAsia="Arial" w:hAnsi="Arial"/>
                <w:sz w:val="18"/>
                <w:szCs w:val="18"/>
                <w:color w:val="auto"/>
              </w:rPr>
              <w:t>(217 )</w:t>
            </w:r>
          </w:p>
        </w:tc>
        <w:tc>
          <w:tcPr>
            <w:tcW w:w="340" w:type="dxa"/>
            <w:vAlign w:val="bottom"/>
          </w:tcPr>
          <w:p>
            <w:pPr>
              <w:spacing w:after="0"/>
              <w:rPr>
                <w:sz w:val="21"/>
                <w:szCs w:val="21"/>
                <w:color w:val="auto"/>
              </w:rPr>
            </w:pPr>
          </w:p>
        </w:tc>
        <w:tc>
          <w:tcPr>
            <w:tcW w:w="1260" w:type="dxa"/>
            <w:vAlign w:val="bottom"/>
            <w:gridSpan w:val="2"/>
          </w:tcPr>
          <w:p>
            <w:pPr>
              <w:jc w:val="right"/>
              <w:ind w:right="120"/>
              <w:spacing w:after="0"/>
              <w:rPr>
                <w:sz w:val="20"/>
                <w:szCs w:val="20"/>
                <w:color w:val="auto"/>
              </w:rPr>
            </w:pPr>
            <w:r>
              <w:rPr>
                <w:rFonts w:ascii="Arial" w:cs="Arial" w:eastAsia="Arial" w:hAnsi="Arial"/>
                <w:sz w:val="18"/>
                <w:szCs w:val="18"/>
                <w:color w:val="auto"/>
              </w:rPr>
              <w:t>(418 )</w:t>
            </w: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tcPr>
          <w:p>
            <w:pPr>
              <w:jc w:val="right"/>
              <w:ind w:right="160"/>
              <w:spacing w:after="0"/>
              <w:rPr>
                <w:sz w:val="20"/>
                <w:szCs w:val="20"/>
                <w:color w:val="auto"/>
              </w:rPr>
            </w:pPr>
            <w:r>
              <w:rPr>
                <w:rFonts w:ascii="Arial" w:cs="Arial" w:eastAsia="Arial" w:hAnsi="Arial"/>
                <w:sz w:val="18"/>
                <w:szCs w:val="18"/>
                <w:color w:val="auto"/>
              </w:rPr>
              <w:t>(797 )</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40"/>
              <w:spacing w:after="0"/>
              <w:rPr>
                <w:sz w:val="20"/>
                <w:szCs w:val="20"/>
                <w:color w:val="auto"/>
              </w:rPr>
            </w:pPr>
            <w:r>
              <w:rPr>
                <w:rFonts w:ascii="Arial" w:cs="Arial" w:eastAsia="Arial" w:hAnsi="Arial"/>
                <w:sz w:val="18"/>
                <w:szCs w:val="18"/>
                <w:color w:val="auto"/>
              </w:rPr>
              <w:t>(792 )</w:t>
            </w:r>
          </w:p>
        </w:tc>
      </w:tr>
      <w:tr>
        <w:trPr>
          <w:trHeight w:val="290"/>
        </w:trPr>
        <w:tc>
          <w:tcPr>
            <w:tcW w:w="4780" w:type="dxa"/>
            <w:vAlign w:val="bottom"/>
            <w:tcBorders>
              <w:bottom w:val="single" w:sz="8" w:color="CFF0FC"/>
            </w:tcBorders>
            <w:shd w:val="clear" w:color="auto" w:fill="CFF0FC"/>
          </w:tcPr>
          <w:p>
            <w:pPr>
              <w:spacing w:after="0"/>
              <w:rPr>
                <w:sz w:val="24"/>
                <w:szCs w:val="24"/>
                <w:color w:val="auto"/>
              </w:rPr>
            </w:pPr>
          </w:p>
        </w:tc>
        <w:tc>
          <w:tcPr>
            <w:tcW w:w="880" w:type="dxa"/>
            <w:vAlign w:val="bottom"/>
            <w:tcBorders>
              <w:top w:val="single" w:sz="8" w:color="auto"/>
              <w:bottom w:val="single" w:sz="8" w:color="auto"/>
            </w:tcBorders>
            <w:shd w:val="clear" w:color="auto" w:fill="CFF0FC"/>
          </w:tcPr>
          <w:p>
            <w:pPr>
              <w:jc w:val="right"/>
              <w:ind w:right="679"/>
              <w:spacing w:after="0"/>
              <w:rPr>
                <w:sz w:val="20"/>
                <w:szCs w:val="20"/>
                <w:color w:val="auto"/>
              </w:rPr>
            </w:pPr>
            <w:r>
              <w:rPr>
                <w:rFonts w:ascii="Arial" w:cs="Arial" w:eastAsia="Arial" w:hAnsi="Arial"/>
                <w:sz w:val="18"/>
                <w:szCs w:val="18"/>
                <w:color w:val="auto"/>
                <w:w w:val="99"/>
              </w:rPr>
              <w:t>$</w:t>
            </w:r>
          </w:p>
        </w:tc>
        <w:tc>
          <w:tcPr>
            <w:tcW w:w="5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0"/>
              </w:rPr>
              <w:t>14,145</w:t>
            </w:r>
          </w:p>
        </w:tc>
        <w:tc>
          <w:tcPr>
            <w:tcW w:w="260" w:type="dxa"/>
            <w:vAlign w:val="bottom"/>
            <w:tcBorders>
              <w:bottom w:val="single" w:sz="8" w:color="CFF0FC"/>
            </w:tcBorders>
            <w:shd w:val="clear" w:color="auto" w:fill="CFF0FC"/>
          </w:tcPr>
          <w:p>
            <w:pPr>
              <w:spacing w:after="0"/>
              <w:rPr>
                <w:sz w:val="24"/>
                <w:szCs w:val="24"/>
                <w:color w:val="auto"/>
              </w:rPr>
            </w:pPr>
          </w:p>
        </w:tc>
        <w:tc>
          <w:tcPr>
            <w:tcW w:w="340" w:type="dxa"/>
            <w:vAlign w:val="bottom"/>
            <w:tcBorders>
              <w:top w:val="single" w:sz="8" w:color="auto"/>
              <w:bottom w:val="single" w:sz="8" w:color="auto"/>
            </w:tcBorders>
            <w:shd w:val="clear" w:color="auto" w:fill="CFF0FC"/>
          </w:tcPr>
          <w:p>
            <w:pPr>
              <w:jc w:val="right"/>
              <w:ind w:right="150"/>
              <w:spacing w:after="0"/>
              <w:rPr>
                <w:sz w:val="20"/>
                <w:szCs w:val="20"/>
                <w:color w:val="auto"/>
              </w:rPr>
            </w:pPr>
            <w:r>
              <w:rPr>
                <w:rFonts w:ascii="Arial" w:cs="Arial" w:eastAsia="Arial" w:hAnsi="Arial"/>
                <w:sz w:val="18"/>
                <w:szCs w:val="18"/>
                <w:color w:val="auto"/>
                <w:w w:val="79"/>
              </w:rPr>
              <w:t>$</w:t>
            </w: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16,265</w:t>
            </w:r>
          </w:p>
        </w:tc>
        <w:tc>
          <w:tcPr>
            <w:tcW w:w="200" w:type="dxa"/>
            <w:vAlign w:val="bottom"/>
            <w:tcBorders>
              <w:bottom w:val="single" w:sz="8" w:color="CFF0FC"/>
            </w:tcBorders>
            <w:shd w:val="clear" w:color="auto" w:fill="CFF0FC"/>
          </w:tcPr>
          <w:p>
            <w:pPr>
              <w:spacing w:after="0"/>
              <w:rPr>
                <w:sz w:val="24"/>
                <w:szCs w:val="24"/>
                <w:color w:val="auto"/>
              </w:rPr>
            </w:pPr>
          </w:p>
        </w:tc>
        <w:tc>
          <w:tcPr>
            <w:tcW w:w="80" w:type="dxa"/>
            <w:vAlign w:val="bottom"/>
            <w:tcBorders>
              <w:bottom w:val="single" w:sz="8" w:color="CFF0FC"/>
            </w:tcBorders>
            <w:gridSpan w:val="2"/>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gridSpan w:val="3"/>
            <w:shd w:val="clear" w:color="auto" w:fill="CFF0FC"/>
          </w:tcPr>
          <w:p>
            <w:pPr>
              <w:jc w:val="right"/>
              <w:ind w:right="20"/>
              <w:spacing w:after="0"/>
              <w:rPr>
                <w:sz w:val="20"/>
                <w:szCs w:val="20"/>
                <w:color w:val="auto"/>
              </w:rPr>
            </w:pPr>
            <w:r>
              <w:rPr>
                <w:rFonts w:ascii="Arial" w:cs="Arial" w:eastAsia="Arial" w:hAnsi="Arial"/>
                <w:sz w:val="18"/>
                <w:szCs w:val="18"/>
                <w:color w:val="auto"/>
              </w:rPr>
              <w:t>42,620</w:t>
            </w:r>
          </w:p>
        </w:tc>
        <w:tc>
          <w:tcPr>
            <w:tcW w:w="220" w:type="dxa"/>
            <w:vAlign w:val="bottom"/>
            <w:tcBorders>
              <w:bottom w:val="single" w:sz="8" w:color="CFF0FC"/>
            </w:tcBorders>
            <w:shd w:val="clear" w:color="auto" w:fill="CFF0FC"/>
          </w:tcPr>
          <w:p>
            <w:pPr>
              <w:spacing w:after="0"/>
              <w:rPr>
                <w:sz w:val="24"/>
                <w:szCs w:val="24"/>
                <w:color w:val="auto"/>
              </w:rPr>
            </w:pPr>
          </w:p>
        </w:tc>
        <w:tc>
          <w:tcPr>
            <w:tcW w:w="20" w:type="dxa"/>
            <w:vAlign w:val="bottom"/>
            <w:tcBorders>
              <w:bottom w:val="single" w:sz="8" w:color="CFF0FC"/>
            </w:tcBorders>
            <w:shd w:val="clear" w:color="auto" w:fill="CFF0FC"/>
          </w:tcPr>
          <w:p>
            <w:pPr>
              <w:spacing w:after="0"/>
              <w:rPr>
                <w:sz w:val="24"/>
                <w:szCs w:val="24"/>
                <w:color w:val="auto"/>
              </w:rPr>
            </w:pP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20" w:type="dxa"/>
            <w:vAlign w:val="bottom"/>
            <w:tcBorders>
              <w:top w:val="single" w:sz="8" w:color="auto"/>
              <w:bottom w:val="single" w:sz="8" w:color="auto"/>
            </w:tcBorders>
            <w:gridSpan w:val="2"/>
            <w:shd w:val="clear" w:color="auto" w:fill="CFF0FC"/>
          </w:tcPr>
          <w:p>
            <w:pPr>
              <w:jc w:val="right"/>
              <w:ind w:right="20"/>
              <w:spacing w:after="0"/>
              <w:rPr>
                <w:sz w:val="20"/>
                <w:szCs w:val="20"/>
                <w:color w:val="auto"/>
              </w:rPr>
            </w:pPr>
            <w:r>
              <w:rPr>
                <w:rFonts w:ascii="Arial" w:cs="Arial" w:eastAsia="Arial" w:hAnsi="Arial"/>
                <w:sz w:val="18"/>
                <w:szCs w:val="18"/>
                <w:color w:val="auto"/>
              </w:rPr>
              <w:t>50,754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446"/>
        </w:trPr>
        <w:tc>
          <w:tcPr>
            <w:tcW w:w="8060" w:type="dxa"/>
            <w:vAlign w:val="bottom"/>
            <w:gridSpan w:val="7"/>
          </w:tcPr>
          <w:p>
            <w:pPr>
              <w:ind w:left="580"/>
              <w:spacing w:after="0"/>
              <w:rPr>
                <w:sz w:val="20"/>
                <w:szCs w:val="20"/>
                <w:color w:val="auto"/>
              </w:rPr>
            </w:pPr>
            <w:r>
              <w:rPr>
                <w:rFonts w:ascii="Arial" w:cs="Arial" w:eastAsia="Arial" w:hAnsi="Arial"/>
                <w:sz w:val="18"/>
                <w:szCs w:val="18"/>
                <w:color w:val="auto"/>
                <w:w w:val="90"/>
              </w:rPr>
              <w:t>The following table summarizes other supplemental information about the Company’s operating leases:</w:t>
            </w: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08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4780" w:type="dxa"/>
            <w:vAlign w:val="bottom"/>
          </w:tcPr>
          <w:p>
            <w:pPr>
              <w:spacing w:after="0"/>
              <w:rPr>
                <w:sz w:val="24"/>
                <w:szCs w:val="24"/>
                <w:color w:val="auto"/>
              </w:rPr>
            </w:pPr>
          </w:p>
        </w:tc>
        <w:tc>
          <w:tcPr>
            <w:tcW w:w="88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340" w:type="dxa"/>
            <w:vAlign w:val="bottom"/>
          </w:tcPr>
          <w:p>
            <w:pPr>
              <w:spacing w:after="0"/>
              <w:rPr>
                <w:sz w:val="24"/>
                <w:szCs w:val="24"/>
                <w:color w:val="auto"/>
              </w:rPr>
            </w:pPr>
          </w:p>
        </w:tc>
        <w:tc>
          <w:tcPr>
            <w:tcW w:w="10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60" w:type="dxa"/>
            <w:vAlign w:val="bottom"/>
          </w:tcPr>
          <w:p>
            <w:pPr>
              <w:spacing w:after="0"/>
              <w:rPr>
                <w:sz w:val="24"/>
                <w:szCs w:val="24"/>
                <w:color w:val="auto"/>
              </w:rPr>
            </w:pPr>
          </w:p>
        </w:tc>
        <w:tc>
          <w:tcPr>
            <w:tcW w:w="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60" w:type="dxa"/>
            <w:vAlign w:val="bottom"/>
            <w:gridSpan w:val="4"/>
          </w:tcPr>
          <w:p>
            <w:pPr>
              <w:jc w:val="right"/>
              <w:ind w:right="560"/>
              <w:spacing w:after="0"/>
              <w:rPr>
                <w:sz w:val="20"/>
                <w:szCs w:val="20"/>
                <w:color w:val="auto"/>
              </w:rPr>
            </w:pPr>
            <w:r>
              <w:rPr>
                <w:rFonts w:ascii="Arial" w:cs="Arial" w:eastAsia="Arial" w:hAnsi="Arial"/>
                <w:sz w:val="14"/>
                <w:szCs w:val="14"/>
                <w:b w:val="1"/>
                <w:bCs w:val="1"/>
                <w:color w:val="auto"/>
                <w:w w:val="91"/>
              </w:rPr>
              <w:t>September 30,</w:t>
            </w:r>
          </w:p>
        </w:tc>
        <w:tc>
          <w:tcPr>
            <w:tcW w:w="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320" w:type="dxa"/>
            <w:vAlign w:val="bottom"/>
            <w:gridSpan w:val="3"/>
          </w:tcPr>
          <w:p>
            <w:pPr>
              <w:jc w:val="right"/>
              <w:ind w:right="440"/>
              <w:spacing w:after="0"/>
              <w:rPr>
                <w:sz w:val="20"/>
                <w:szCs w:val="20"/>
                <w:color w:val="auto"/>
              </w:rPr>
            </w:pPr>
            <w:r>
              <w:rPr>
                <w:rFonts w:ascii="Arial" w:cs="Arial" w:eastAsia="Arial" w:hAnsi="Arial"/>
                <w:sz w:val="14"/>
                <w:szCs w:val="14"/>
                <w:b w:val="1"/>
                <w:bCs w:val="1"/>
                <w:color w:val="auto"/>
                <w:w w:val="94"/>
              </w:rPr>
              <w:t>December 31,</w:t>
            </w:r>
          </w:p>
        </w:tc>
      </w:tr>
      <w:tr>
        <w:trPr>
          <w:trHeight w:val="192"/>
        </w:trPr>
        <w:tc>
          <w:tcPr>
            <w:tcW w:w="4780" w:type="dxa"/>
            <w:vAlign w:val="bottom"/>
          </w:tcPr>
          <w:p>
            <w:pPr>
              <w:spacing w:after="0"/>
              <w:rPr>
                <w:sz w:val="16"/>
                <w:szCs w:val="16"/>
                <w:color w:val="auto"/>
              </w:rPr>
            </w:pPr>
          </w:p>
        </w:tc>
        <w:tc>
          <w:tcPr>
            <w:tcW w:w="88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340" w:type="dxa"/>
            <w:vAlign w:val="bottom"/>
          </w:tcPr>
          <w:p>
            <w:pPr>
              <w:spacing w:after="0"/>
              <w:rPr>
                <w:sz w:val="16"/>
                <w:szCs w:val="16"/>
                <w:color w:val="auto"/>
              </w:rPr>
            </w:pPr>
          </w:p>
        </w:tc>
        <w:tc>
          <w:tcPr>
            <w:tcW w:w="10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60" w:type="dxa"/>
            <w:vAlign w:val="bottom"/>
          </w:tcPr>
          <w:p>
            <w:pPr>
              <w:spacing w:after="0"/>
              <w:rPr>
                <w:sz w:val="16"/>
                <w:szCs w:val="16"/>
                <w:color w:val="auto"/>
              </w:rPr>
            </w:pPr>
          </w:p>
        </w:tc>
        <w:tc>
          <w:tcPr>
            <w:tcW w:w="20" w:type="dxa"/>
            <w:vAlign w:val="bottom"/>
            <w:tcBorders>
              <w:bottom w:val="single" w:sz="8" w:color="auto"/>
            </w:tcBorders>
          </w:tcPr>
          <w:p>
            <w:pPr>
              <w:spacing w:after="0"/>
              <w:rPr>
                <w:sz w:val="16"/>
                <w:szCs w:val="16"/>
                <w:color w:val="auto"/>
              </w:rPr>
            </w:pPr>
          </w:p>
        </w:tc>
        <w:tc>
          <w:tcPr>
            <w:tcW w:w="140" w:type="dxa"/>
            <w:vAlign w:val="bottom"/>
            <w:tcBorders>
              <w:bottom w:val="single" w:sz="8" w:color="auto"/>
            </w:tcBorders>
          </w:tcPr>
          <w:p>
            <w:pPr>
              <w:spacing w:after="0"/>
              <w:rPr>
                <w:sz w:val="16"/>
                <w:szCs w:val="16"/>
                <w:color w:val="auto"/>
              </w:rPr>
            </w:pPr>
          </w:p>
        </w:tc>
        <w:tc>
          <w:tcPr>
            <w:tcW w:w="1100" w:type="dxa"/>
            <w:vAlign w:val="bottom"/>
            <w:tcBorders>
              <w:bottom w:val="single" w:sz="8" w:color="auto"/>
            </w:tcBorders>
          </w:tcPr>
          <w:p>
            <w:pPr>
              <w:jc w:val="right"/>
              <w:ind w:right="395"/>
              <w:spacing w:after="0"/>
              <w:rPr>
                <w:sz w:val="20"/>
                <w:szCs w:val="20"/>
                <w:color w:val="auto"/>
              </w:rPr>
            </w:pPr>
            <w:r>
              <w:rPr>
                <w:rFonts w:ascii="Arial" w:cs="Arial" w:eastAsia="Arial" w:hAnsi="Arial"/>
                <w:sz w:val="14"/>
                <w:szCs w:val="14"/>
                <w:b w:val="1"/>
                <w:bCs w:val="1"/>
                <w:color w:val="auto"/>
              </w:rPr>
              <w:t>2021</w:t>
            </w:r>
          </w:p>
        </w:tc>
        <w:tc>
          <w:tcPr>
            <w:tcW w:w="100" w:type="dxa"/>
            <w:vAlign w:val="bottom"/>
          </w:tcPr>
          <w:p>
            <w:pPr>
              <w:spacing w:after="0"/>
              <w:rPr>
                <w:sz w:val="16"/>
                <w:szCs w:val="16"/>
                <w:color w:val="auto"/>
              </w:rPr>
            </w:pPr>
          </w:p>
        </w:tc>
        <w:tc>
          <w:tcPr>
            <w:tcW w:w="40" w:type="dxa"/>
            <w:vAlign w:val="bottom"/>
          </w:tcPr>
          <w:p>
            <w:pPr>
              <w:spacing w:after="0"/>
              <w:rPr>
                <w:sz w:val="16"/>
                <w:szCs w:val="16"/>
                <w:color w:val="auto"/>
              </w:rPr>
            </w:pPr>
          </w:p>
        </w:tc>
        <w:tc>
          <w:tcPr>
            <w:tcW w:w="220" w:type="dxa"/>
            <w:vAlign w:val="bottom"/>
          </w:tcPr>
          <w:p>
            <w:pPr>
              <w:spacing w:after="0"/>
              <w:rPr>
                <w:sz w:val="16"/>
                <w:szCs w:val="16"/>
                <w:color w:val="auto"/>
              </w:rPr>
            </w:pPr>
          </w:p>
        </w:tc>
        <w:tc>
          <w:tcPr>
            <w:tcW w:w="20" w:type="dxa"/>
            <w:vAlign w:val="bottom"/>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080" w:type="dxa"/>
            <w:vAlign w:val="bottom"/>
            <w:tcBorders>
              <w:bottom w:val="single" w:sz="8" w:color="auto"/>
            </w:tcBorders>
          </w:tcPr>
          <w:p>
            <w:pPr>
              <w:jc w:val="right"/>
              <w:ind w:right="394"/>
              <w:spacing w:after="0"/>
              <w:rPr>
                <w:sz w:val="20"/>
                <w:szCs w:val="20"/>
                <w:color w:val="auto"/>
              </w:rPr>
            </w:pPr>
            <w:r>
              <w:rPr>
                <w:rFonts w:ascii="Arial" w:cs="Arial" w:eastAsia="Arial" w:hAnsi="Arial"/>
                <w:sz w:val="14"/>
                <w:szCs w:val="14"/>
                <w:b w:val="1"/>
                <w:bCs w:val="1"/>
                <w:color w:val="auto"/>
              </w:rPr>
              <w:t>2020</w:t>
            </w:r>
          </w:p>
        </w:tc>
        <w:tc>
          <w:tcPr>
            <w:tcW w:w="140" w:type="dxa"/>
            <w:vAlign w:val="bottom"/>
          </w:tcPr>
          <w:p>
            <w:pPr>
              <w:spacing w:after="0"/>
              <w:rPr>
                <w:sz w:val="16"/>
                <w:szCs w:val="16"/>
                <w:color w:val="auto"/>
              </w:rPr>
            </w:pPr>
          </w:p>
        </w:tc>
        <w:tc>
          <w:tcPr>
            <w:tcW w:w="100" w:type="dxa"/>
            <w:vAlign w:val="bottom"/>
          </w:tcPr>
          <w:p>
            <w:pPr>
              <w:spacing w:after="0"/>
              <w:rPr>
                <w:sz w:val="16"/>
                <w:szCs w:val="16"/>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discount rate</w:t>
            </w:r>
          </w:p>
        </w:tc>
        <w:tc>
          <w:tcPr>
            <w:tcW w:w="880" w:type="dxa"/>
            <w:vAlign w:val="bottom"/>
            <w:shd w:val="clear" w:color="auto" w:fill="CFF0FC"/>
          </w:tcPr>
          <w:p>
            <w:pPr>
              <w:spacing w:after="0"/>
              <w:rPr>
                <w:sz w:val="22"/>
                <w:szCs w:val="22"/>
                <w:color w:val="auto"/>
              </w:rPr>
            </w:pPr>
          </w:p>
        </w:tc>
        <w:tc>
          <w:tcPr>
            <w:tcW w:w="54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2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gridSpan w:val="4"/>
            <w:shd w:val="clear" w:color="auto" w:fill="CFF0FC"/>
          </w:tcPr>
          <w:p>
            <w:pPr>
              <w:jc w:val="right"/>
              <w:ind w:right="200"/>
              <w:spacing w:after="0"/>
              <w:rPr>
                <w:sz w:val="20"/>
                <w:szCs w:val="20"/>
                <w:color w:val="auto"/>
              </w:rPr>
            </w:pPr>
            <w:r>
              <w:rPr>
                <w:rFonts w:ascii="Arial" w:cs="Arial" w:eastAsia="Arial" w:hAnsi="Arial"/>
                <w:sz w:val="18"/>
                <w:szCs w:val="18"/>
                <w:color w:val="auto"/>
              </w:rPr>
              <w:t>4.0 %</w:t>
            </w:r>
          </w:p>
        </w:tc>
        <w:tc>
          <w:tcPr>
            <w:tcW w:w="2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3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4.1 %</w:t>
            </w:r>
          </w:p>
        </w:tc>
      </w:tr>
      <w:tr>
        <w:trPr>
          <w:trHeight w:val="243"/>
        </w:trPr>
        <w:tc>
          <w:tcPr>
            <w:tcW w:w="4780" w:type="dxa"/>
            <w:vAlign w:val="bottom"/>
          </w:tcPr>
          <w:p>
            <w:pPr>
              <w:ind w:left="20"/>
              <w:spacing w:after="0"/>
              <w:rPr>
                <w:sz w:val="20"/>
                <w:szCs w:val="20"/>
                <w:color w:val="auto"/>
              </w:rPr>
            </w:pPr>
            <w:r>
              <w:rPr>
                <w:rFonts w:ascii="Arial" w:cs="Arial" w:eastAsia="Arial" w:hAnsi="Arial"/>
                <w:sz w:val="18"/>
                <w:szCs w:val="18"/>
                <w:color w:val="auto"/>
              </w:rPr>
              <w:t>Weighted average remaining lease term</w:t>
            </w:r>
          </w:p>
        </w:tc>
        <w:tc>
          <w:tcPr>
            <w:tcW w:w="880" w:type="dxa"/>
            <w:vAlign w:val="bottom"/>
          </w:tcPr>
          <w:p>
            <w:pPr>
              <w:spacing w:after="0"/>
              <w:rPr>
                <w:sz w:val="21"/>
                <w:szCs w:val="21"/>
                <w:color w:val="auto"/>
              </w:rPr>
            </w:pPr>
          </w:p>
        </w:tc>
        <w:tc>
          <w:tcPr>
            <w:tcW w:w="54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4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2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gridSpan w:val="4"/>
          </w:tcPr>
          <w:p>
            <w:pPr>
              <w:jc w:val="right"/>
              <w:ind w:right="380"/>
              <w:spacing w:after="0"/>
              <w:rPr>
                <w:sz w:val="20"/>
                <w:szCs w:val="20"/>
                <w:color w:val="auto"/>
              </w:rPr>
            </w:pPr>
            <w:r>
              <w:rPr>
                <w:rFonts w:ascii="Arial" w:cs="Arial" w:eastAsia="Arial" w:hAnsi="Arial"/>
                <w:sz w:val="18"/>
                <w:szCs w:val="18"/>
                <w:color w:val="auto"/>
              </w:rPr>
              <w:t>9 years</w:t>
            </w:r>
          </w:p>
        </w:tc>
        <w:tc>
          <w:tcPr>
            <w:tcW w:w="2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320" w:type="dxa"/>
            <w:vAlign w:val="bottom"/>
            <w:gridSpan w:val="3"/>
          </w:tcPr>
          <w:p>
            <w:pPr>
              <w:jc w:val="right"/>
              <w:ind w:right="260"/>
              <w:spacing w:after="0"/>
              <w:rPr>
                <w:sz w:val="20"/>
                <w:szCs w:val="20"/>
                <w:color w:val="auto"/>
              </w:rPr>
            </w:pPr>
            <w:r>
              <w:rPr>
                <w:rFonts w:ascii="Arial" w:cs="Arial" w:eastAsia="Arial" w:hAnsi="Arial"/>
                <w:sz w:val="18"/>
                <w:szCs w:val="18"/>
                <w:color w:val="auto"/>
              </w:rPr>
              <w:t>10 years</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-2588260</wp:posOffset>
            </wp:positionV>
            <wp:extent cx="163195" cy="8255"/>
            <wp:wrapNone/>
            <wp:docPr id="190" name="Picture 1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0"/>
                    <pic:cNvPicPr>
                      <a:picLocks noChangeAspect="1" noChangeArrowheads="1"/>
                    </pic:cNvPicPr>
                  </pic:nvPicPr>
                  <pic:blipFill>
                    <a:blip r:embed="rId197">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-2571115</wp:posOffset>
            </wp:positionV>
            <wp:extent cx="163195" cy="8890"/>
            <wp:wrapNone/>
            <wp:docPr id="191" name="Picture 1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1"/>
                    <pic:cNvPicPr>
                      <a:picLocks noChangeAspect="1" noChangeArrowheads="1"/>
                    </pic:cNvPicPr>
                  </pic:nvPicPr>
                  <pic:blipFill>
                    <a:blip r:embed="rId198">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-2588260</wp:posOffset>
            </wp:positionV>
            <wp:extent cx="68580" cy="8255"/>
            <wp:wrapNone/>
            <wp:docPr id="192" name="Picture 1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2"/>
                    <pic:cNvPicPr>
                      <a:picLocks noChangeAspect="1" noChangeArrowheads="1"/>
                    </pic:cNvPicPr>
                  </pic:nvPicPr>
                  <pic:blipFill>
                    <a:blip r:embed="rId19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-2571115</wp:posOffset>
            </wp:positionV>
            <wp:extent cx="68580" cy="8890"/>
            <wp:wrapNone/>
            <wp:docPr id="193" name="Picture 1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3"/>
                    <pic:cNvPicPr>
                      <a:picLocks noChangeAspect="1" noChangeArrowheads="1"/>
                    </pic:cNvPicPr>
                  </pic:nvPicPr>
                  <pic:blipFill>
                    <a:blip r:embed="rId20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-1028065</wp:posOffset>
            </wp:positionV>
            <wp:extent cx="171450" cy="8255"/>
            <wp:wrapNone/>
            <wp:docPr id="194" name="Picture 1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4"/>
                    <pic:cNvPicPr>
                      <a:picLocks noChangeAspect="1" noChangeArrowheads="1"/>
                    </pic:cNvPicPr>
                  </pic:nvPicPr>
                  <pic:blipFill>
                    <a:blip r:embed="rId20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-1010920</wp:posOffset>
            </wp:positionV>
            <wp:extent cx="171450" cy="8255"/>
            <wp:wrapNone/>
            <wp:docPr id="195" name="Picture 1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5"/>
                    <pic:cNvPicPr>
                      <a:picLocks noChangeAspect="1" noChangeArrowheads="1"/>
                    </pic:cNvPicPr>
                  </pic:nvPicPr>
                  <pic:blipFill>
                    <a:blip r:embed="rId202">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-1028065</wp:posOffset>
            </wp:positionV>
            <wp:extent cx="171450" cy="8255"/>
            <wp:wrapNone/>
            <wp:docPr id="196" name="Picture 1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6"/>
                    <pic:cNvPicPr>
                      <a:picLocks noChangeAspect="1" noChangeArrowheads="1"/>
                    </pic:cNvPicPr>
                  </pic:nvPicPr>
                  <pic:blipFill>
                    <a:blip r:embed="rId20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-1010920</wp:posOffset>
            </wp:positionV>
            <wp:extent cx="171450" cy="8255"/>
            <wp:wrapNone/>
            <wp:docPr id="197" name="Picture 1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7"/>
                    <pic:cNvPicPr>
                      <a:picLocks noChangeAspect="1" noChangeArrowheads="1"/>
                    </pic:cNvPicPr>
                  </pic:nvPicPr>
                  <pic:blipFill>
                    <a:blip r:embed="rId20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-1028065</wp:posOffset>
            </wp:positionV>
            <wp:extent cx="154305" cy="8255"/>
            <wp:wrapNone/>
            <wp:docPr id="198" name="Picture 1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8"/>
                    <pic:cNvPicPr>
                      <a:picLocks noChangeAspect="1" noChangeArrowheads="1"/>
                    </pic:cNvPicPr>
                  </pic:nvPicPr>
                  <pic:blipFill>
                    <a:blip r:embed="rId205">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-1010920</wp:posOffset>
            </wp:positionV>
            <wp:extent cx="154305" cy="8255"/>
            <wp:wrapNone/>
            <wp:docPr id="199" name="Picture 1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99"/>
                    <pic:cNvPicPr>
                      <a:picLocks noChangeAspect="1" noChangeArrowheads="1"/>
                    </pic:cNvPicPr>
                  </pic:nvPicPr>
                  <pic:blipFill>
                    <a:blip r:embed="rId20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-1028065</wp:posOffset>
            </wp:positionV>
            <wp:extent cx="68580" cy="8255"/>
            <wp:wrapNone/>
            <wp:docPr id="200" name="Picture 2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0"/>
                    <pic:cNvPicPr>
                      <a:picLocks noChangeAspect="1" noChangeArrowheads="1"/>
                    </pic:cNvPicPr>
                  </pic:nvPicPr>
                  <pic:blipFill>
                    <a:blip r:embed="rId207">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-1010920</wp:posOffset>
            </wp:positionV>
            <wp:extent cx="68580" cy="8255"/>
            <wp:wrapNone/>
            <wp:docPr id="201" name="Picture 2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1"/>
                    <pic:cNvPicPr>
                      <a:picLocks noChangeAspect="1" noChangeArrowheads="1"/>
                    </pic:cNvPicPr>
                  </pic:nvPicPr>
                  <pic:blipFill>
                    <a:blip r:embed="rId208">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18" w:lineRule="exact"/>
        <w:rPr>
          <w:sz w:val="20"/>
          <w:szCs w:val="20"/>
          <w:color w:val="auto"/>
        </w:rPr>
      </w:pPr>
    </w:p>
    <w:p>
      <w:pPr>
        <w:ind w:left="480" w:hanging="472"/>
        <w:spacing w:after="0"/>
        <w:tabs>
          <w:tab w:leader="none" w:pos="480" w:val="left"/>
        </w:tabs>
        <w:numPr>
          <w:ilvl w:val="0"/>
          <w:numId w:val="8"/>
        </w:numPr>
        <w:rPr>
          <w:rFonts w:ascii="Arial" w:cs="Arial" w:eastAsia="Arial" w:hAnsi="Arial"/>
          <w:sz w:val="18"/>
          <w:szCs w:val="18"/>
          <w:b w:val="1"/>
          <w:bCs w:val="1"/>
          <w:color w:val="auto"/>
        </w:rPr>
      </w:pPr>
      <w:r>
        <w:rPr>
          <w:rFonts w:ascii="Arial" w:cs="Arial" w:eastAsia="Arial" w:hAnsi="Arial"/>
          <w:sz w:val="18"/>
          <w:szCs w:val="18"/>
          <w:b w:val="1"/>
          <w:bCs w:val="1"/>
          <w:color w:val="auto"/>
        </w:rPr>
        <w:t>Impairments and Other Charges</w:t>
      </w:r>
    </w:p>
    <w:p>
      <w:pPr>
        <w:spacing w:after="0" w:line="256" w:lineRule="exact"/>
        <w:rPr>
          <w:sz w:val="20"/>
          <w:szCs w:val="20"/>
          <w:color w:val="auto"/>
        </w:rPr>
      </w:pPr>
    </w:p>
    <w:p>
      <w:pPr>
        <w:jc w:val="both"/>
        <w:ind w:firstLine="562"/>
        <w:spacing w:after="0" w:line="230" w:lineRule="exact"/>
        <w:rPr>
          <w:sz w:val="20"/>
          <w:szCs w:val="20"/>
          <w:color w:val="auto"/>
        </w:rPr>
      </w:pPr>
      <w:r>
        <w:rPr>
          <w:rFonts w:ascii="Arial" w:cs="Arial" w:eastAsia="Arial" w:hAnsi="Arial"/>
          <w:sz w:val="18"/>
          <w:szCs w:val="18"/>
          <w:color w:val="auto"/>
        </w:rPr>
        <w:t>During the three months ended September 30, 2021, the Company decided to exit the Hawaii market, selling marine transportation equipment including four coastal tank barges, seven coastal tugboats, and certain other assets for aggregate cash proceeds of $17,200,000. In addition, as of September 30, 2021, the Company has retired and classified as held for sale, an additional 12 coastal tank barges and four coastal tugboats which were underutilized. The sales and retirements of coastal marine transportation equipment resulted in an aggregate non</w:t>
      </w:r>
      <w:r>
        <w:rPr>
          <w:rFonts w:ascii="MS PGothic" w:cs="MS PGothic" w:eastAsia="MS PGothic" w:hAnsi="MS PGothic"/>
          <w:sz w:val="18"/>
          <w:szCs w:val="18"/>
          <w:color w:val="auto"/>
        </w:rPr>
        <w:t>‑</w:t>
      </w:r>
      <w:r>
        <w:rPr>
          <w:rFonts w:ascii="Arial" w:cs="Arial" w:eastAsia="Arial" w:hAnsi="Arial"/>
          <w:sz w:val="18"/>
          <w:szCs w:val="18"/>
          <w:color w:val="auto"/>
        </w:rPr>
        <w:t>cash impairment charge of $97,508,000 to reduce the carrying value of these assets to their estimated sales prices, net of costs to sell.</w:t>
      </w:r>
    </w:p>
    <w:p>
      <w:pPr>
        <w:spacing w:after="0" w:line="230"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As a result of the sale of the Hawaii marine transportation equipment, and the decision to retire certain additional underutilized coastal tank barges and tugboats, the Company concluded that a triggering event had occurred and performed interim quantitative impairment tests as of September 30, 2021 for certain of the marine transportation segment's long-lived assets and goodwill within the coastal marine market.</w:t>
      </w:r>
    </w:p>
    <w:p>
      <w:pPr>
        <w:spacing w:after="0" w:line="196" w:lineRule="exact"/>
        <w:rPr>
          <w:sz w:val="20"/>
          <w:szCs w:val="20"/>
          <w:color w:val="auto"/>
        </w:rPr>
      </w:pPr>
    </w:p>
    <w:p>
      <w:pPr>
        <w:jc w:val="both"/>
        <w:ind w:right="20" w:firstLine="562"/>
        <w:spacing w:after="0" w:line="319" w:lineRule="auto"/>
        <w:rPr>
          <w:sz w:val="20"/>
          <w:szCs w:val="20"/>
          <w:color w:val="auto"/>
        </w:rPr>
      </w:pPr>
      <w:r>
        <w:rPr>
          <w:rFonts w:ascii="Arial" w:cs="Arial" w:eastAsia="Arial" w:hAnsi="Arial"/>
          <w:sz w:val="16"/>
          <w:szCs w:val="16"/>
          <w:color w:val="auto"/>
        </w:rPr>
        <w:t>The Company determined the estimated fair value of such long-lived assets using a combination of a cost approach, a discounted cash flow analysis, and a market approach. The Company determined the estimated fair value of the reporting unit using a combination of a discounted cash flow analysis and a market approach for comparable companies. These analyses included management’s judgment regarding short-term and long-term internal forecasts, updated for recent events, appropriate discount rates, and capital expenditures using inputs characteristic of a Level 3 fair value measurement.</w:t>
      </w:r>
    </w:p>
    <w:p>
      <w:pPr>
        <w:spacing w:after="0" w:line="16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In performing the impairment test of certain long-lived assets within the marine transportation segment, the Company determined that the carrying value of certain long-lived assets, including certain coastal marine transportation equipment and operating lease right-of-use assets, were no longer recoverable, resulting in a non-cash impairment charge of $24,152,000 during the three months ended September 30, 2021 to reduce such long-lived assets to fair value.</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2" name="Picture 2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2"/>
                    <pic:cNvPicPr>
                      <a:picLocks noChangeAspect="1" noChangeArrowheads="1"/>
                    </pic:cNvPicPr>
                  </pic:nvPicPr>
                  <pic:blipFill>
                    <a:blip r:embed="rId2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1" w:name="page12"/>
    <w:bookmarkEnd w:id="11"/>
    <w:p>
      <w:pPr>
        <w:jc w:val="both"/>
        <w:ind w:firstLine="569"/>
        <w:spacing w:after="0" w:line="275" w:lineRule="auto"/>
        <w:rPr>
          <w:sz w:val="20"/>
          <w:szCs w:val="20"/>
          <w:color w:val="auto"/>
        </w:rPr>
      </w:pPr>
      <w:r>
        <w:rPr>
          <w:rFonts w:ascii="Arial" w:cs="Arial" w:eastAsia="Arial" w:hAnsi="Arial"/>
          <w:sz w:val="18"/>
          <w:szCs w:val="18"/>
          <w:color w:val="auto"/>
        </w:rPr>
        <w:t>Based upon the results of the goodwill impairment test, the Company concluded that the carrying value of one reporting unit in the marine transportation segment exceeded its estimated fair value. The carrying value of the reporting unit, including goodwill, and after recording impairments of long-lived assets identified above, exceeded its estimated fair value, resulting in a non-cash goodwill impairment charge of $219,052,000 for the three months ended September 30, 2021.</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color w:val="auto"/>
        </w:rPr>
        <w:t>The following table summarizes the changes in goodwill during 2021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00" w:type="dxa"/>
            <w:vAlign w:val="bottom"/>
            <w:gridSpan w:val="2"/>
          </w:tcPr>
          <w:p>
            <w:pPr>
              <w:jc w:val="right"/>
              <w:ind w:right="760"/>
              <w:spacing w:after="0"/>
              <w:rPr>
                <w:sz w:val="20"/>
                <w:szCs w:val="20"/>
                <w:color w:val="auto"/>
              </w:rPr>
            </w:pPr>
            <w:r>
              <w:rPr>
                <w:rFonts w:ascii="Arial" w:cs="Arial" w:eastAsia="Arial" w:hAnsi="Arial"/>
                <w:sz w:val="14"/>
                <w:szCs w:val="14"/>
                <w:b w:val="1"/>
                <w:bCs w:val="1"/>
                <w:color w:val="auto"/>
              </w:rPr>
              <w:t>Marine</w:t>
            </w:r>
          </w:p>
        </w:tc>
        <w:tc>
          <w:tcPr>
            <w:tcW w:w="140" w:type="dxa"/>
            <w:vAlign w:val="bottom"/>
          </w:tcPr>
          <w:p>
            <w:pPr>
              <w:spacing w:after="0"/>
              <w:rPr>
                <w:sz w:val="15"/>
                <w:szCs w:val="15"/>
                <w:color w:val="auto"/>
              </w:rPr>
            </w:pPr>
          </w:p>
        </w:tc>
        <w:tc>
          <w:tcPr>
            <w:tcW w:w="1500" w:type="dxa"/>
            <w:vAlign w:val="bottom"/>
            <w:gridSpan w:val="2"/>
          </w:tcPr>
          <w:p>
            <w:pPr>
              <w:jc w:val="right"/>
              <w:ind w:right="440"/>
              <w:spacing w:after="0"/>
              <w:rPr>
                <w:sz w:val="20"/>
                <w:szCs w:val="20"/>
                <w:color w:val="auto"/>
              </w:rPr>
            </w:pPr>
            <w:r>
              <w:rPr>
                <w:rFonts w:ascii="Arial" w:cs="Arial" w:eastAsia="Arial" w:hAnsi="Arial"/>
                <w:sz w:val="14"/>
                <w:szCs w:val="14"/>
                <w:b w:val="1"/>
                <w:bCs w:val="1"/>
                <w:color w:val="auto"/>
                <w:w w:val="96"/>
              </w:rPr>
              <w:t>Distribution and</w:t>
            </w:r>
          </w:p>
        </w:tc>
        <w:tc>
          <w:tcPr>
            <w:tcW w:w="320" w:type="dxa"/>
            <w:vAlign w:val="bottom"/>
          </w:tcPr>
          <w:p>
            <w:pPr>
              <w:spacing w:after="0"/>
              <w:rPr>
                <w:sz w:val="15"/>
                <w:szCs w:val="15"/>
                <w:color w:val="auto"/>
              </w:rPr>
            </w:pPr>
          </w:p>
        </w:tc>
        <w:tc>
          <w:tcPr>
            <w:tcW w:w="104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92"/>
        </w:trPr>
        <w:tc>
          <w:tcPr>
            <w:tcW w:w="6480" w:type="dxa"/>
            <w:vAlign w:val="bottom"/>
          </w:tcPr>
          <w:p>
            <w:pPr>
              <w:spacing w:after="0"/>
              <w:rPr>
                <w:sz w:val="16"/>
                <w:szCs w:val="16"/>
                <w:color w:val="auto"/>
              </w:rPr>
            </w:pPr>
          </w:p>
        </w:tc>
        <w:tc>
          <w:tcPr>
            <w:tcW w:w="160" w:type="dxa"/>
            <w:vAlign w:val="bottom"/>
          </w:tcPr>
          <w:p>
            <w:pPr>
              <w:spacing w:after="0"/>
              <w:rPr>
                <w:sz w:val="16"/>
                <w:szCs w:val="16"/>
                <w:color w:val="auto"/>
              </w:rPr>
            </w:pPr>
          </w:p>
        </w:tc>
        <w:tc>
          <w:tcPr>
            <w:tcW w:w="1500" w:type="dxa"/>
            <w:vAlign w:val="bottom"/>
            <w:gridSpan w:val="2"/>
          </w:tcPr>
          <w:p>
            <w:pPr>
              <w:jc w:val="right"/>
              <w:ind w:right="500"/>
              <w:spacing w:after="0"/>
              <w:rPr>
                <w:sz w:val="20"/>
                <w:szCs w:val="20"/>
                <w:color w:val="auto"/>
              </w:rPr>
            </w:pPr>
            <w:r>
              <w:rPr>
                <w:rFonts w:ascii="Arial" w:cs="Arial" w:eastAsia="Arial" w:hAnsi="Arial"/>
                <w:sz w:val="14"/>
                <w:szCs w:val="14"/>
                <w:b w:val="1"/>
                <w:bCs w:val="1"/>
                <w:color w:val="auto"/>
                <w:w w:val="99"/>
              </w:rPr>
              <w:t>Transportation</w:t>
            </w:r>
          </w:p>
        </w:tc>
        <w:tc>
          <w:tcPr>
            <w:tcW w:w="140" w:type="dxa"/>
            <w:vAlign w:val="bottom"/>
          </w:tcPr>
          <w:p>
            <w:pPr>
              <w:spacing w:after="0"/>
              <w:rPr>
                <w:sz w:val="16"/>
                <w:szCs w:val="16"/>
                <w:color w:val="auto"/>
              </w:rPr>
            </w:pPr>
          </w:p>
        </w:tc>
        <w:tc>
          <w:tcPr>
            <w:tcW w:w="1500" w:type="dxa"/>
            <w:vAlign w:val="bottom"/>
            <w:gridSpan w:val="2"/>
          </w:tcPr>
          <w:p>
            <w:pPr>
              <w:jc w:val="right"/>
              <w:ind w:right="680"/>
              <w:spacing w:after="0"/>
              <w:rPr>
                <w:sz w:val="20"/>
                <w:szCs w:val="20"/>
                <w:color w:val="auto"/>
              </w:rPr>
            </w:pPr>
            <w:r>
              <w:rPr>
                <w:rFonts w:ascii="Arial" w:cs="Arial" w:eastAsia="Arial" w:hAnsi="Arial"/>
                <w:sz w:val="14"/>
                <w:szCs w:val="14"/>
                <w:b w:val="1"/>
                <w:bCs w:val="1"/>
                <w:color w:val="auto"/>
              </w:rPr>
              <w:t>Services</w:t>
            </w:r>
          </w:p>
        </w:tc>
        <w:tc>
          <w:tcPr>
            <w:tcW w:w="320" w:type="dxa"/>
            <w:vAlign w:val="bottom"/>
          </w:tcPr>
          <w:p>
            <w:pPr>
              <w:spacing w:after="0"/>
              <w:rPr>
                <w:sz w:val="16"/>
                <w:szCs w:val="16"/>
                <w:color w:val="auto"/>
              </w:rPr>
            </w:pPr>
          </w:p>
        </w:tc>
        <w:tc>
          <w:tcPr>
            <w:tcW w:w="1140" w:type="dxa"/>
            <w:vAlign w:val="bottom"/>
            <w:gridSpan w:val="2"/>
          </w:tcPr>
          <w:p>
            <w:pPr>
              <w:jc w:val="right"/>
              <w:ind w:right="620"/>
              <w:spacing w:after="0"/>
              <w:rPr>
                <w:sz w:val="20"/>
                <w:szCs w:val="20"/>
                <w:color w:val="auto"/>
              </w:rPr>
            </w:pPr>
            <w:r>
              <w:rPr>
                <w:rFonts w:ascii="Arial" w:cs="Arial" w:eastAsia="Arial" w:hAnsi="Arial"/>
                <w:sz w:val="14"/>
                <w:szCs w:val="14"/>
                <w:b w:val="1"/>
                <w:bCs w:val="1"/>
                <w:color w:val="auto"/>
              </w:rPr>
              <w:t>Total</w:t>
            </w:r>
          </w:p>
        </w:tc>
      </w:tr>
      <w:tr>
        <w:trPr>
          <w:trHeight w:val="25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 (gross)</w:t>
            </w:r>
          </w:p>
        </w:tc>
        <w:tc>
          <w:tcPr>
            <w:tcW w:w="1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505,784</w:t>
            </w:r>
          </w:p>
        </w:tc>
        <w:tc>
          <w:tcPr>
            <w:tcW w:w="2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560,155</w:t>
            </w:r>
          </w:p>
        </w:tc>
        <w:tc>
          <w:tcPr>
            <w:tcW w:w="24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1,065,939</w:t>
            </w:r>
          </w:p>
        </w:tc>
        <w:tc>
          <w:tcPr>
            <w:tcW w:w="100" w:type="dxa"/>
            <w:vAlign w:val="bottom"/>
            <w:shd w:val="clear" w:color="auto" w:fill="CFF0FC"/>
          </w:tcPr>
          <w:p>
            <w:pPr>
              <w:spacing w:after="0"/>
              <w:rPr>
                <w:sz w:val="22"/>
                <w:szCs w:val="22"/>
                <w:color w:val="auto"/>
              </w:rPr>
            </w:pPr>
          </w:p>
        </w:tc>
      </w:tr>
      <w:tr>
        <w:trPr>
          <w:trHeight w:val="250"/>
        </w:trPr>
        <w:tc>
          <w:tcPr>
            <w:tcW w:w="6480" w:type="dxa"/>
            <w:vAlign w:val="bottom"/>
          </w:tcPr>
          <w:p>
            <w:pPr>
              <w:ind w:left="200"/>
              <w:spacing w:after="0"/>
              <w:rPr>
                <w:sz w:val="20"/>
                <w:szCs w:val="20"/>
                <w:color w:val="auto"/>
              </w:rPr>
            </w:pPr>
            <w:r>
              <w:rPr>
                <w:rFonts w:ascii="Arial" w:cs="Arial" w:eastAsia="Arial" w:hAnsi="Arial"/>
                <w:sz w:val="18"/>
                <w:szCs w:val="18"/>
                <w:color w:val="auto"/>
              </w:rPr>
              <w:t>Accumulated impairment and amortization</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(18,574 )</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(389,565 )</w:t>
            </w: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(408,139 )</w:t>
            </w:r>
          </w:p>
        </w:tc>
      </w:tr>
      <w:tr>
        <w:trPr>
          <w:trHeight w:val="257"/>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December 31, 2020</w:t>
            </w:r>
          </w:p>
        </w:tc>
        <w:tc>
          <w:tcPr>
            <w:tcW w:w="16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487,210</w:t>
            </w:r>
          </w:p>
        </w:tc>
        <w:tc>
          <w:tcPr>
            <w:tcW w:w="2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170,590</w:t>
            </w:r>
          </w:p>
        </w:tc>
        <w:tc>
          <w:tcPr>
            <w:tcW w:w="24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657,800</w:t>
            </w:r>
          </w:p>
        </w:tc>
        <w:tc>
          <w:tcPr>
            <w:tcW w:w="100" w:type="dxa"/>
            <w:vAlign w:val="bottom"/>
            <w:shd w:val="clear" w:color="auto" w:fill="CFF0FC"/>
          </w:tcPr>
          <w:p>
            <w:pPr>
              <w:spacing w:after="0"/>
              <w:rPr>
                <w:sz w:val="22"/>
                <w:szCs w:val="22"/>
                <w:color w:val="auto"/>
              </w:rPr>
            </w:pPr>
          </w:p>
        </w:tc>
      </w:tr>
      <w:tr>
        <w:trPr>
          <w:trHeight w:val="250"/>
        </w:trPr>
        <w:tc>
          <w:tcPr>
            <w:tcW w:w="6480" w:type="dxa"/>
            <w:vAlign w:val="bottom"/>
          </w:tcPr>
          <w:p>
            <w:pPr>
              <w:ind w:left="200"/>
              <w:spacing w:after="0"/>
              <w:rPr>
                <w:sz w:val="20"/>
                <w:szCs w:val="20"/>
                <w:color w:val="auto"/>
              </w:rPr>
            </w:pPr>
            <w:r>
              <w:rPr>
                <w:rFonts w:ascii="Arial" w:cs="Arial" w:eastAsia="Arial" w:hAnsi="Arial"/>
                <w:sz w:val="18"/>
                <w:szCs w:val="18"/>
                <w:color w:val="auto"/>
              </w:rPr>
              <w:t>Impairment</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(219,052 )</w:t>
            </w:r>
          </w:p>
        </w:tc>
        <w:tc>
          <w:tcPr>
            <w:tcW w:w="140" w:type="dxa"/>
            <w:vAlign w:val="bottom"/>
          </w:tcPr>
          <w:p>
            <w:pPr>
              <w:spacing w:after="0"/>
              <w:rPr>
                <w:sz w:val="21"/>
                <w:szCs w:val="21"/>
                <w:color w:val="auto"/>
              </w:rPr>
            </w:pPr>
          </w:p>
        </w:tc>
        <w:tc>
          <w:tcPr>
            <w:tcW w:w="150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(219,052 )</w:t>
            </w:r>
          </w:p>
        </w:tc>
      </w:tr>
      <w:tr>
        <w:trPr>
          <w:trHeight w:val="256"/>
        </w:trPr>
        <w:tc>
          <w:tcPr>
            <w:tcW w:w="6480" w:type="dxa"/>
            <w:vAlign w:val="bottom"/>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505,784</w:t>
            </w:r>
          </w:p>
        </w:tc>
        <w:tc>
          <w:tcPr>
            <w:tcW w:w="26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12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560,155</w:t>
            </w:r>
          </w:p>
        </w:tc>
        <w:tc>
          <w:tcPr>
            <w:tcW w:w="24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1,065,939</w:t>
            </w:r>
          </w:p>
        </w:tc>
        <w:tc>
          <w:tcPr>
            <w:tcW w:w="100" w:type="dxa"/>
            <w:vAlign w:val="bottom"/>
            <w:shd w:val="clear" w:color="auto" w:fill="CFF0FC"/>
          </w:tcPr>
          <w:p>
            <w:pPr>
              <w:spacing w:after="0"/>
              <w:rPr>
                <w:sz w:val="22"/>
                <w:szCs w:val="22"/>
                <w:color w:val="auto"/>
              </w:rPr>
            </w:pPr>
          </w:p>
        </w:tc>
      </w:tr>
      <w:tr>
        <w:trPr>
          <w:trHeight w:val="250"/>
        </w:trPr>
        <w:tc>
          <w:tcPr>
            <w:tcW w:w="6480" w:type="dxa"/>
            <w:vAlign w:val="bottom"/>
          </w:tcPr>
          <w:p>
            <w:pPr>
              <w:ind w:left="200"/>
              <w:spacing w:after="0"/>
              <w:rPr>
                <w:sz w:val="20"/>
                <w:szCs w:val="20"/>
                <w:color w:val="auto"/>
              </w:rPr>
            </w:pPr>
            <w:r>
              <w:rPr>
                <w:rFonts w:ascii="Arial" w:cs="Arial" w:eastAsia="Arial" w:hAnsi="Arial"/>
                <w:sz w:val="18"/>
                <w:szCs w:val="18"/>
                <w:color w:val="auto"/>
              </w:rPr>
              <w:t>Accumulated impairment and amortization</w:t>
            </w:r>
          </w:p>
        </w:tc>
        <w:tc>
          <w:tcPr>
            <w:tcW w:w="160" w:type="dxa"/>
            <w:vAlign w:val="bottom"/>
          </w:tcPr>
          <w:p>
            <w:pPr>
              <w:spacing w:after="0"/>
              <w:rPr>
                <w:sz w:val="21"/>
                <w:szCs w:val="21"/>
                <w:color w:val="auto"/>
              </w:rPr>
            </w:pPr>
          </w:p>
        </w:tc>
        <w:tc>
          <w:tcPr>
            <w:tcW w:w="1500" w:type="dxa"/>
            <w:vAlign w:val="bottom"/>
            <w:gridSpan w:val="2"/>
          </w:tcPr>
          <w:p>
            <w:pPr>
              <w:jc w:val="right"/>
              <w:ind w:right="180"/>
              <w:spacing w:after="0"/>
              <w:rPr>
                <w:sz w:val="20"/>
                <w:szCs w:val="20"/>
                <w:color w:val="auto"/>
              </w:rPr>
            </w:pPr>
            <w:r>
              <w:rPr>
                <w:rFonts w:ascii="Arial" w:cs="Arial" w:eastAsia="Arial" w:hAnsi="Arial"/>
                <w:sz w:val="18"/>
                <w:szCs w:val="18"/>
                <w:color w:val="auto"/>
              </w:rPr>
              <w:t>(237,626 )</w:t>
            </w:r>
          </w:p>
        </w:tc>
        <w:tc>
          <w:tcPr>
            <w:tcW w:w="140" w:type="dxa"/>
            <w:vAlign w:val="bottom"/>
          </w:tcPr>
          <w:p>
            <w:pPr>
              <w:spacing w:after="0"/>
              <w:rPr>
                <w:sz w:val="21"/>
                <w:szCs w:val="21"/>
                <w:color w:val="auto"/>
              </w:rPr>
            </w:pPr>
          </w:p>
        </w:tc>
        <w:tc>
          <w:tcPr>
            <w:tcW w:w="1500" w:type="dxa"/>
            <w:vAlign w:val="bottom"/>
            <w:gridSpan w:val="2"/>
          </w:tcPr>
          <w:p>
            <w:pPr>
              <w:jc w:val="right"/>
              <w:ind w:right="160"/>
              <w:spacing w:after="0"/>
              <w:rPr>
                <w:sz w:val="20"/>
                <w:szCs w:val="20"/>
                <w:color w:val="auto"/>
              </w:rPr>
            </w:pPr>
            <w:r>
              <w:rPr>
                <w:rFonts w:ascii="Arial" w:cs="Arial" w:eastAsia="Arial" w:hAnsi="Arial"/>
                <w:sz w:val="18"/>
                <w:szCs w:val="18"/>
                <w:color w:val="auto"/>
              </w:rPr>
              <w:t>(389,565 )</w:t>
            </w:r>
          </w:p>
        </w:tc>
        <w:tc>
          <w:tcPr>
            <w:tcW w:w="320" w:type="dxa"/>
            <w:vAlign w:val="bottom"/>
          </w:tcPr>
          <w:p>
            <w:pPr>
              <w:spacing w:after="0"/>
              <w:rPr>
                <w:sz w:val="21"/>
                <w:szCs w:val="21"/>
                <w:color w:val="auto"/>
              </w:rPr>
            </w:pPr>
          </w:p>
        </w:tc>
        <w:tc>
          <w:tcPr>
            <w:tcW w:w="1140" w:type="dxa"/>
            <w:vAlign w:val="bottom"/>
            <w:gridSpan w:val="2"/>
          </w:tcPr>
          <w:p>
            <w:pPr>
              <w:jc w:val="right"/>
              <w:ind w:right="20"/>
              <w:spacing w:after="0"/>
              <w:rPr>
                <w:sz w:val="20"/>
                <w:szCs w:val="20"/>
                <w:color w:val="auto"/>
              </w:rPr>
            </w:pPr>
            <w:r>
              <w:rPr>
                <w:rFonts w:ascii="Arial" w:cs="Arial" w:eastAsia="Arial" w:hAnsi="Arial"/>
                <w:sz w:val="18"/>
                <w:szCs w:val="18"/>
                <w:color w:val="auto"/>
              </w:rPr>
              <w:t>(627,191 )</w:t>
            </w:r>
          </w:p>
        </w:tc>
      </w:tr>
      <w:tr>
        <w:trPr>
          <w:trHeight w:val="290"/>
        </w:trPr>
        <w:tc>
          <w:tcPr>
            <w:tcW w:w="648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Balance at September 30, 2021</w:t>
            </w:r>
          </w:p>
        </w:tc>
        <w:tc>
          <w:tcPr>
            <w:tcW w:w="1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268,158</w:t>
            </w:r>
          </w:p>
        </w:tc>
        <w:tc>
          <w:tcPr>
            <w:tcW w:w="260" w:type="dxa"/>
            <w:vAlign w:val="bottom"/>
            <w:tcBorders>
              <w:bottom w:val="single" w:sz="8" w:color="CFF0FC"/>
            </w:tcBorders>
            <w:shd w:val="clear" w:color="auto" w:fill="CFF0FC"/>
          </w:tcPr>
          <w:p>
            <w:pPr>
              <w:spacing w:after="0"/>
              <w:rPr>
                <w:sz w:val="24"/>
                <w:szCs w:val="24"/>
                <w:color w:val="auto"/>
              </w:rPr>
            </w:pPr>
          </w:p>
        </w:tc>
        <w:tc>
          <w:tcPr>
            <w:tcW w:w="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170,590</w:t>
            </w:r>
          </w:p>
        </w:tc>
        <w:tc>
          <w:tcPr>
            <w:tcW w:w="24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438,748</w:t>
            </w:r>
          </w:p>
        </w:tc>
        <w:tc>
          <w:tcPr>
            <w:tcW w:w="100" w:type="dxa"/>
            <w:vAlign w:val="bottom"/>
            <w:tcBorders>
              <w:bottom w:val="single" w:sz="8" w:color="CFF0FC"/>
            </w:tcBorders>
            <w:shd w:val="clear" w:color="auto" w:fill="CFF0FC"/>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5002530</wp:posOffset>
            </wp:positionH>
            <wp:positionV relativeFrom="paragraph">
              <wp:posOffset>-25400</wp:posOffset>
            </wp:positionV>
            <wp:extent cx="171450" cy="8255"/>
            <wp:wrapNone/>
            <wp:docPr id="203" name="Picture 2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3"/>
                    <pic:cNvPicPr>
                      <a:picLocks noChangeAspect="1" noChangeArrowheads="1"/>
                    </pic:cNvPicPr>
                  </pic:nvPicPr>
                  <pic:blipFill>
                    <a:blip r:embed="rId210">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-7620</wp:posOffset>
            </wp:positionV>
            <wp:extent cx="171450" cy="8255"/>
            <wp:wrapNone/>
            <wp:docPr id="204" name="Picture 2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4"/>
                    <pic:cNvPicPr>
                      <a:picLocks noChangeAspect="1" noChangeArrowheads="1"/>
                    </pic:cNvPicPr>
                  </pic:nvPicPr>
                  <pic:blipFill>
                    <a:blip r:embed="rId211">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-25400</wp:posOffset>
            </wp:positionV>
            <wp:extent cx="154305" cy="8255"/>
            <wp:wrapNone/>
            <wp:docPr id="205" name="Picture 2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5"/>
                    <pic:cNvPicPr>
                      <a:picLocks noChangeAspect="1" noChangeArrowheads="1"/>
                    </pic:cNvPicPr>
                  </pic:nvPicPr>
                  <pic:blipFill>
                    <a:blip r:embed="rId21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6057265</wp:posOffset>
            </wp:positionH>
            <wp:positionV relativeFrom="paragraph">
              <wp:posOffset>-7620</wp:posOffset>
            </wp:positionV>
            <wp:extent cx="154305" cy="8255"/>
            <wp:wrapNone/>
            <wp:docPr id="206" name="Picture 2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6"/>
                    <pic:cNvPicPr>
                      <a:picLocks noChangeAspect="1" noChangeArrowheads="1"/>
                    </pic:cNvPicPr>
                  </pic:nvPicPr>
                  <pic:blipFill>
                    <a:blip r:embed="rId21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-25400</wp:posOffset>
            </wp:positionV>
            <wp:extent cx="59690" cy="8255"/>
            <wp:wrapNone/>
            <wp:docPr id="207" name="Picture 2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7"/>
                    <pic:cNvPicPr>
                      <a:picLocks noChangeAspect="1" noChangeArrowheads="1"/>
                    </pic:cNvPicPr>
                  </pic:nvPicPr>
                  <pic:blipFill>
                    <a:blip r:embed="rId214">
                      <a:extLst>
                        <a:ext uri="{28A0092B-C50C-407E-A947-70E740481C1C}"/>
                      </a:extLst>
                    </a:blip>
                    <a:srcRect/>
                    <a:stretch>
                      <a:fillRect/>
                    </a:stretch>
                  </pic:blipFill>
                  <pic:spPr bwMode="auto">
                    <a:xfrm>
                      <a:off x="0" y="0"/>
                      <a:ext cx="59690" cy="8255"/>
                    </a:xfrm>
                    <a:prstGeom prst="rect">
                      <a:avLst/>
                    </a:prstGeom>
                    <a:noFill/>
                  </pic:spPr>
                </pic:pic>
              </a:graphicData>
            </a:graphic>
          </wp:anchor>
        </w:drawing>
        <w:drawing>
          <wp:anchor simplePos="0" relativeHeight="251657728" behindDoc="1" locked="0" layoutInCell="0" allowOverlap="1">
            <wp:simplePos x="0" y="0"/>
            <wp:positionH relativeFrom="column">
              <wp:posOffset>7077075</wp:posOffset>
            </wp:positionH>
            <wp:positionV relativeFrom="paragraph">
              <wp:posOffset>-7620</wp:posOffset>
            </wp:positionV>
            <wp:extent cx="59690" cy="8255"/>
            <wp:wrapNone/>
            <wp:docPr id="208" name="Picture 2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8"/>
                    <pic:cNvPicPr>
                      <a:picLocks noChangeAspect="1" noChangeArrowheads="1"/>
                    </pic:cNvPicPr>
                  </pic:nvPicPr>
                  <pic:blipFill>
                    <a:blip r:embed="rId215">
                      <a:extLst>
                        <a:ext uri="{28A0092B-C50C-407E-A947-70E740481C1C}"/>
                      </a:extLst>
                    </a:blip>
                    <a:srcRect/>
                    <a:stretch>
                      <a:fillRect/>
                    </a:stretch>
                  </pic:blipFill>
                  <pic:spPr bwMode="auto">
                    <a:xfrm>
                      <a:off x="0" y="0"/>
                      <a:ext cx="59690" cy="8255"/>
                    </a:xfrm>
                    <a:prstGeom prst="rect">
                      <a:avLst/>
                    </a:prstGeom>
                    <a:noFill/>
                  </pic:spPr>
                </pic:pic>
              </a:graphicData>
            </a:graphic>
          </wp:anchor>
        </w:drawing>
      </w:r>
    </w:p>
    <w:p>
      <w:pPr>
        <w:spacing w:after="0" w:line="209" w:lineRule="exact"/>
        <w:rPr>
          <w:sz w:val="20"/>
          <w:szCs w:val="20"/>
          <w:color w:val="auto"/>
        </w:rPr>
      </w:pPr>
    </w:p>
    <w:p>
      <w:pPr>
        <w:jc w:val="both"/>
        <w:ind w:firstLine="569"/>
        <w:spacing w:after="0" w:line="270" w:lineRule="auto"/>
        <w:rPr>
          <w:sz w:val="20"/>
          <w:szCs w:val="20"/>
          <w:color w:val="auto"/>
        </w:rPr>
      </w:pPr>
      <w:r>
        <w:rPr>
          <w:rFonts w:ascii="Arial" w:cs="Arial" w:eastAsia="Arial" w:hAnsi="Arial"/>
          <w:sz w:val="18"/>
          <w:szCs w:val="18"/>
          <w:color w:val="auto"/>
        </w:rPr>
        <w:t>During the first quarter of 2020, Kirby’s market capitalization declined significantly compared to the 2019 fourth quarter. Over the same period, the overall United States stock market also declined significantly amid market volatility. In addition, as a result of uncertainty surrounding the outbreak of COVID-19 and a sharp decline in oil prices during the 2020 first quarter, many of the Company’s oil and gas customers responded by quickly cutting 2020 capital spending budgets and activity levels quickly declined. Lower activity levels resulted in a decline in drilling activity, resulting in lower demand for new and remanufactured oilfield equipment and related parts and service in the distribution and services segment. As a result, the Company concluded that a triggering event had occurred and performed interim quantitative impairment tests as of March 31, 2020 for certain of the distribution and services segment’s long-lived assets and goodwill.</w:t>
      </w:r>
    </w:p>
    <w:p>
      <w:pPr>
        <w:spacing w:after="0" w:line="206"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In performing the impairment test of long-lived assets within the distribution and services segment, the Company determined that the carrying value of certain long-lived assets, including property and equipment as well as intangible assets associated with customer relationships, tradenames, and distributorships, were no longer recoverable, resulting in an impairment charge of $165,304,000 (including $148,909,000 impairment of intangible assets other than goodwill and $16,395,000 impairment of property and equipment) to reduce such long-lived assets to fair value during the three months ended March 31, 2020.</w:t>
      </w:r>
    </w:p>
    <w:p>
      <w:pPr>
        <w:spacing w:after="0" w:line="204" w:lineRule="exact"/>
        <w:rPr>
          <w:sz w:val="20"/>
          <w:szCs w:val="20"/>
          <w:color w:val="auto"/>
        </w:rPr>
      </w:pPr>
    </w:p>
    <w:p>
      <w:pPr>
        <w:jc w:val="both"/>
        <w:ind w:firstLine="569"/>
        <w:spacing w:after="0" w:line="296" w:lineRule="auto"/>
        <w:rPr>
          <w:sz w:val="20"/>
          <w:szCs w:val="20"/>
          <w:color w:val="auto"/>
        </w:rPr>
      </w:pPr>
      <w:r>
        <w:rPr>
          <w:rFonts w:ascii="Arial" w:cs="Arial" w:eastAsia="Arial" w:hAnsi="Arial"/>
          <w:sz w:val="17"/>
          <w:szCs w:val="17"/>
          <w:color w:val="auto"/>
        </w:rPr>
        <w:t>Based upon the results of the goodwill impairment test, the Company concluded that the carrying value of one reporting unit in the distribution and services segment exceeded its estimated fair value. For the three months ended March 31, 2020, the goodwill impairment charge of $387,970,000 was calculated as the amount that the carrying value of the reporting unit, including goodwill, and after recording impairments of long-lived assets identified above, exceeded its estimated fair value, incorporating all tax impacts caused by the recognition of the impairment loss.</w:t>
      </w:r>
    </w:p>
    <w:p>
      <w:pPr>
        <w:spacing w:after="0" w:line="183"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In addition, the Company determined cost exceeded net realizable value for certain oilfield and pressure pumping related inventory, resulting in an $8,000,000 non-cash write-down during the three months ended March 31, 2020.</w:t>
      </w:r>
    </w:p>
    <w:p>
      <w:pPr>
        <w:spacing w:after="0" w:line="179" w:lineRule="exact"/>
        <w:rPr>
          <w:sz w:val="20"/>
          <w:szCs w:val="20"/>
          <w:color w:val="auto"/>
        </w:rPr>
      </w:pPr>
    </w:p>
    <w:p>
      <w:pPr>
        <w:ind w:left="480" w:hanging="472"/>
        <w:spacing w:after="0"/>
        <w:tabs>
          <w:tab w:leader="none" w:pos="480" w:val="left"/>
        </w:tabs>
        <w:numPr>
          <w:ilvl w:val="0"/>
          <w:numId w:val="9"/>
        </w:numPr>
        <w:rPr>
          <w:rFonts w:ascii="Arial" w:cs="Arial" w:eastAsia="Arial" w:hAnsi="Arial"/>
          <w:sz w:val="18"/>
          <w:szCs w:val="18"/>
          <w:b w:val="1"/>
          <w:bCs w:val="1"/>
          <w:color w:val="auto"/>
        </w:rPr>
      </w:pPr>
      <w:r>
        <w:rPr>
          <w:rFonts w:ascii="Arial" w:cs="Arial" w:eastAsia="Arial" w:hAnsi="Arial"/>
          <w:sz w:val="18"/>
          <w:szCs w:val="18"/>
          <w:b w:val="1"/>
          <w:bCs w:val="1"/>
          <w:color w:val="auto"/>
        </w:rPr>
        <w:t>Stock Award Plans</w:t>
      </w:r>
    </w:p>
    <w:p>
      <w:pPr>
        <w:spacing w:after="0" w:line="25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compensation cost that has been charged against earnings for the Company’s stock award plans and the income tax benefit recognized in the statement of earnings for stock awards were as follows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3040" w:type="dxa"/>
            <w:vAlign w:val="bottom"/>
            <w:tcBorders>
              <w:bottom w:val="single" w:sz="8" w:color="auto"/>
            </w:tcBorders>
            <w:gridSpan w:val="5"/>
          </w:tcPr>
          <w:p>
            <w:pPr>
              <w:jc w:val="right"/>
              <w:ind w:right="316"/>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4"/>
          </w:tcPr>
          <w:p>
            <w:pPr>
              <w:jc w:val="right"/>
              <w:ind w:right="356"/>
              <w:spacing w:after="0"/>
              <w:rPr>
                <w:sz w:val="20"/>
                <w:szCs w:val="20"/>
                <w:color w:val="auto"/>
              </w:rPr>
            </w:pPr>
            <w:r>
              <w:rPr>
                <w:rFonts w:ascii="Arial" w:cs="Arial" w:eastAsia="Arial" w:hAnsi="Arial"/>
                <w:sz w:val="14"/>
                <w:szCs w:val="14"/>
                <w:b w:val="1"/>
                <w:bCs w:val="1"/>
                <w:color w:val="auto"/>
                <w:w w:val="99"/>
              </w:rPr>
              <w:t>Nine Months Ended September 30,</w:t>
            </w: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9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00" w:type="dxa"/>
            <w:vAlign w:val="bottom"/>
            <w:tcBorders>
              <w:bottom w:val="single" w:sz="8" w:color="auto"/>
            </w:tcBorders>
          </w:tcPr>
          <w:p>
            <w:pPr>
              <w:spacing w:after="0"/>
              <w:rPr>
                <w:sz w:val="17"/>
                <w:szCs w:val="17"/>
                <w:color w:val="auto"/>
              </w:rPr>
            </w:pPr>
          </w:p>
        </w:tc>
        <w:tc>
          <w:tcPr>
            <w:tcW w:w="24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1120" w:type="dxa"/>
            <w:vAlign w:val="bottom"/>
            <w:tcBorders>
              <w:bottom w:val="single" w:sz="8" w:color="auto"/>
            </w:tcBorders>
          </w:tcPr>
          <w:p>
            <w:pPr>
              <w:jc w:val="right"/>
              <w:ind w:right="459"/>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jc w:val="right"/>
              <w:ind w:right="476"/>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Compensation cost</w:t>
            </w:r>
          </w:p>
        </w:tc>
        <w:tc>
          <w:tcPr>
            <w:tcW w:w="920" w:type="dxa"/>
            <w:vAlign w:val="bottom"/>
            <w:shd w:val="clear" w:color="auto" w:fill="CFF0FC"/>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3,645</w:t>
            </w:r>
          </w:p>
        </w:tc>
        <w:tc>
          <w:tcPr>
            <w:tcW w:w="56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3,414</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12,793</w:t>
            </w:r>
          </w:p>
        </w:tc>
        <w:tc>
          <w:tcPr>
            <w:tcW w:w="5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12,066</w:t>
            </w:r>
          </w:p>
        </w:tc>
        <w:tc>
          <w:tcPr>
            <w:tcW w:w="100" w:type="dxa"/>
            <w:vAlign w:val="bottom"/>
            <w:shd w:val="clear" w:color="auto" w:fill="CFF0FC"/>
          </w:tcPr>
          <w:p>
            <w:pPr>
              <w:spacing w:after="0"/>
              <w:rPr>
                <w:sz w:val="22"/>
                <w:szCs w:val="22"/>
                <w:color w:val="auto"/>
              </w:rPr>
            </w:pPr>
          </w:p>
        </w:tc>
      </w:tr>
      <w:tr>
        <w:trPr>
          <w:trHeight w:val="243"/>
        </w:trPr>
        <w:tc>
          <w:tcPr>
            <w:tcW w:w="4820" w:type="dxa"/>
            <w:vAlign w:val="bottom"/>
          </w:tcPr>
          <w:p>
            <w:pPr>
              <w:ind w:left="20"/>
              <w:spacing w:after="0"/>
              <w:rPr>
                <w:sz w:val="20"/>
                <w:szCs w:val="20"/>
                <w:color w:val="auto"/>
              </w:rPr>
            </w:pPr>
            <w:r>
              <w:rPr>
                <w:rFonts w:ascii="Arial" w:cs="Arial" w:eastAsia="Arial" w:hAnsi="Arial"/>
                <w:sz w:val="18"/>
                <w:szCs w:val="18"/>
                <w:color w:val="auto"/>
              </w:rPr>
              <w:t>Income tax benefit</w:t>
            </w:r>
          </w:p>
        </w:tc>
        <w:tc>
          <w:tcPr>
            <w:tcW w:w="920" w:type="dxa"/>
            <w:vAlign w:val="bottom"/>
          </w:tcPr>
          <w:p>
            <w:pPr>
              <w:jc w:val="right"/>
              <w:ind w:right="719"/>
              <w:spacing w:after="0"/>
              <w:rPr>
                <w:sz w:val="20"/>
                <w:szCs w:val="20"/>
                <w:color w:val="auto"/>
              </w:rPr>
            </w:pPr>
            <w:r>
              <w:rPr>
                <w:rFonts w:ascii="Arial" w:cs="Arial" w:eastAsia="Arial" w:hAnsi="Arial"/>
                <w:sz w:val="18"/>
                <w:szCs w:val="18"/>
                <w:color w:val="auto"/>
                <w:w w:val="99"/>
              </w:rPr>
              <w:t>$</w:t>
            </w:r>
          </w:p>
        </w:tc>
        <w:tc>
          <w:tcPr>
            <w:tcW w:w="500" w:type="dxa"/>
            <w:vAlign w:val="bottom"/>
          </w:tcPr>
          <w:p>
            <w:pPr>
              <w:jc w:val="right"/>
              <w:spacing w:after="0"/>
              <w:rPr>
                <w:sz w:val="20"/>
                <w:szCs w:val="20"/>
                <w:color w:val="auto"/>
              </w:rPr>
            </w:pPr>
            <w:r>
              <w:rPr>
                <w:rFonts w:ascii="Arial" w:cs="Arial" w:eastAsia="Arial" w:hAnsi="Arial"/>
                <w:sz w:val="18"/>
                <w:szCs w:val="18"/>
                <w:color w:val="auto"/>
              </w:rPr>
              <w:t>1,068</w:t>
            </w:r>
          </w:p>
        </w:tc>
        <w:tc>
          <w:tcPr>
            <w:tcW w:w="56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1,181</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3,660</w:t>
            </w:r>
          </w:p>
        </w:tc>
        <w:tc>
          <w:tcPr>
            <w:tcW w:w="580" w:type="dxa"/>
            <w:vAlign w:val="bottom"/>
            <w:gridSpan w:val="2"/>
          </w:tcPr>
          <w:p>
            <w:pPr>
              <w:jc w:val="right"/>
              <w:ind w:right="220"/>
              <w:spacing w:after="0"/>
              <w:rPr>
                <w:sz w:val="20"/>
                <w:szCs w:val="20"/>
                <w:color w:val="auto"/>
              </w:rPr>
            </w:pPr>
            <w:r>
              <w:rPr>
                <w:rFonts w:ascii="Arial" w:cs="Arial" w:eastAsia="Arial" w:hAnsi="Arial"/>
                <w:sz w:val="18"/>
                <w:szCs w:val="18"/>
                <w:color w:val="auto"/>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3,332</w:t>
            </w:r>
          </w:p>
        </w:tc>
        <w:tc>
          <w:tcPr>
            <w:tcW w:w="100" w:type="dxa"/>
            <w:vAlign w:val="bottom"/>
          </w:tcPr>
          <w:p>
            <w:pPr>
              <w:spacing w:after="0"/>
              <w:rPr>
                <w:sz w:val="21"/>
                <w:szCs w:val="21"/>
                <w:color w:val="auto"/>
              </w:rPr>
            </w:pPr>
          </w:p>
        </w:tc>
      </w:tr>
    </w:tbl>
    <w:p>
      <w:pPr>
        <w:spacing w:after="0" w:line="242" w:lineRule="exact"/>
        <w:rPr>
          <w:sz w:val="20"/>
          <w:szCs w:val="20"/>
          <w:color w:val="auto"/>
        </w:rPr>
      </w:pPr>
    </w:p>
    <w:p>
      <w:pPr>
        <w:jc w:val="both"/>
        <w:ind w:firstLine="569"/>
        <w:spacing w:after="0" w:line="303" w:lineRule="auto"/>
        <w:rPr>
          <w:sz w:val="20"/>
          <w:szCs w:val="20"/>
          <w:color w:val="auto"/>
        </w:rPr>
      </w:pPr>
      <w:r>
        <w:rPr>
          <w:rFonts w:ascii="Arial" w:cs="Arial" w:eastAsia="Arial" w:hAnsi="Arial"/>
          <w:sz w:val="17"/>
          <w:szCs w:val="17"/>
          <w:color w:val="auto"/>
        </w:rPr>
        <w:t>On March 1, 2021, subject to stockholder approval, the Board of Directors approved amendments to the Company’s 2005 Stock and Incentive Plan (the “Plan”) to, among other things, add 1,400,000 shares of availability. The amendment to the Plan was subsequently approved at the Annual Meeting of Stockholders on April 27, 2021. At September 30, 2021, there were 2,228,857 shares available for future grants under the Plan.</w:t>
      </w:r>
    </w:p>
    <w:p>
      <w:pPr>
        <w:spacing w:after="0" w:line="178"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During the nine months ended September 30, 2021, the Company granted 311,016 restricted stock units (“RSUs”) to selected officers and other key employees under the Plan, the majority of which vest ratably over five years.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09" name="Picture 2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09"/>
                    <pic:cNvPicPr>
                      <a:picLocks noChangeAspect="1" noChangeArrowheads="1"/>
                    </pic:cNvPicPr>
                  </pic:nvPicPr>
                  <pic:blipFill>
                    <a:blip r:embed="rId21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2" w:name="page13"/>
    <w:bookmarkEnd w:id="12"/>
    <w:p>
      <w:pPr>
        <w:jc w:val="both"/>
        <w:ind w:firstLine="562"/>
        <w:spacing w:after="0" w:line="279" w:lineRule="auto"/>
        <w:rPr>
          <w:sz w:val="20"/>
          <w:szCs w:val="20"/>
          <w:color w:val="auto"/>
        </w:rPr>
      </w:pPr>
      <w:r>
        <w:rPr>
          <w:rFonts w:ascii="Arial" w:cs="Arial" w:eastAsia="Arial" w:hAnsi="Arial"/>
          <w:sz w:val="18"/>
          <w:szCs w:val="18"/>
          <w:color w:val="auto"/>
        </w:rPr>
        <w:t>During the nine months ended September 30, 2021, the Company granted 29,773 shares of restricted stock to nonemployee directors of the Company under the director stock award plan. The restricted stock vests six months after the date of grant except that restricted stock granted in lieu of cash director fees vests in equal quarterly increments through March 31, 2022.</w:t>
      </w:r>
    </w:p>
    <w:p>
      <w:pPr>
        <w:spacing w:after="0" w:line="192" w:lineRule="exact"/>
        <w:rPr>
          <w:sz w:val="20"/>
          <w:szCs w:val="20"/>
          <w:color w:val="auto"/>
        </w:rPr>
      </w:pPr>
    </w:p>
    <w:p>
      <w:pPr>
        <w:ind w:left="480" w:hanging="472"/>
        <w:spacing w:after="0"/>
        <w:tabs>
          <w:tab w:leader="none" w:pos="480" w:val="left"/>
        </w:tabs>
        <w:numPr>
          <w:ilvl w:val="0"/>
          <w:numId w:val="10"/>
        </w:numPr>
        <w:rPr>
          <w:rFonts w:ascii="Arial" w:cs="Arial" w:eastAsia="Arial" w:hAnsi="Arial"/>
          <w:sz w:val="18"/>
          <w:szCs w:val="18"/>
          <w:b w:val="1"/>
          <w:bCs w:val="1"/>
          <w:color w:val="auto"/>
        </w:rPr>
      </w:pPr>
      <w:r>
        <w:rPr>
          <w:rFonts w:ascii="Arial" w:cs="Arial" w:eastAsia="Arial" w:hAnsi="Arial"/>
          <w:sz w:val="18"/>
          <w:szCs w:val="18"/>
          <w:b w:val="1"/>
          <w:bCs w:val="1"/>
          <w:color w:val="auto"/>
        </w:rPr>
        <w:t>Taxes on Income</w:t>
      </w:r>
    </w:p>
    <w:p>
      <w:pPr>
        <w:spacing w:after="0" w:line="256" w:lineRule="exact"/>
        <w:rPr>
          <w:sz w:val="20"/>
          <w:szCs w:val="20"/>
          <w:color w:val="auto"/>
        </w:rPr>
      </w:pPr>
    </w:p>
    <w:p>
      <w:pPr>
        <w:jc w:val="both"/>
        <w:ind w:firstLine="562"/>
        <w:spacing w:after="0" w:line="288" w:lineRule="auto"/>
        <w:rPr>
          <w:sz w:val="20"/>
          <w:szCs w:val="20"/>
          <w:color w:val="auto"/>
        </w:rPr>
      </w:pPr>
      <w:r>
        <w:rPr>
          <w:rFonts w:ascii="Arial" w:cs="Arial" w:eastAsia="Arial" w:hAnsi="Arial"/>
          <w:sz w:val="17"/>
          <w:szCs w:val="17"/>
          <w:color w:val="auto"/>
        </w:rPr>
        <w:t>On March 27, 2020, the United States Congress passed and the President signed the Coronavirus Aid, Relief, and Economic Security Act (“CARES Act”) into law to address the COVID-19 pandemic. One provision of the CARES Act allowed net operating losses generated in 2018 through 2020 to be carried back up to five years. Pursuant to this provision of the CARES Act, the Company recorded a net federal current benefit for taxes on income for the nine months ended September 30, 2020 due to carrying back net operating losses generated between 2018 and 2020 used to offset taxable income generated between 2013 and 2017. Net operating losses carried back to tax years 2013 through 2017 were applied at a federal tax rate of 35% applicable to those tax years, compared to a 21% tax rate effective at September 30, 2020. Net operating losses generated in 2018 and 2019 were used to offset taxable income generated between 2013 and 2017 taxed at 35% resulting in a tax benefit of $58,746,000.</w:t>
      </w:r>
    </w:p>
    <w:p>
      <w:pPr>
        <w:spacing w:after="0" w:line="194"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At September 30, 2021 and December 31, 2020, the Company had a federal income tax receivable of $70,959,000 and $188,177,000, respectively, included in Accounts Receivable – Other on the balance sheets. During the three months ended March 31, 2021, the Company received a tax refund of $119,493,000, including accrued interest, for its 2019 federal tax return related to net operating losses being carried back to offset taxable income generated between 2014 and 2017.</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Earnings (loss) before taxes on income and details of the provision (benefit) for taxes on income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4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3"/>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Earnings (loss) before taxes on income:</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United States</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(325,369 )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19,246</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(313,177 )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(476,382 )</w:t>
            </w:r>
          </w:p>
        </w:tc>
      </w:tr>
      <w:tr>
        <w:trPr>
          <w:trHeight w:val="256"/>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Foreign</w:t>
            </w: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(225 )</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(583 )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(282 )</w:t>
            </w:r>
          </w:p>
        </w:tc>
      </w:tr>
      <w:tr>
        <w:trPr>
          <w:trHeight w:val="20"/>
        </w:trPr>
        <w:tc>
          <w:tcPr>
            <w:tcW w:w="47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r>
      <w:tr>
        <w:trPr>
          <w:trHeight w:val="250"/>
        </w:trPr>
        <w:tc>
          <w:tcPr>
            <w:tcW w:w="4780" w:type="dxa"/>
            <w:vAlign w:val="bottom"/>
          </w:tcPr>
          <w:p>
            <w:pPr>
              <w:spacing w:after="0"/>
              <w:rPr>
                <w:sz w:val="21"/>
                <w:szCs w:val="21"/>
                <w:color w:val="auto"/>
              </w:rPr>
            </w:pP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(325,594 )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19,274</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(313,760 )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(476,664 )</w:t>
            </w: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Provision (benefit) for taxes on income:</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Federal:</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Current</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(33,690 )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(446 )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(189,994 )</w:t>
            </w:r>
          </w:p>
        </w:tc>
      </w:tr>
      <w:tr>
        <w:trPr>
          <w:trHeight w:val="250"/>
        </w:trPr>
        <w:tc>
          <w:tcPr>
            <w:tcW w:w="4780" w:type="dxa"/>
            <w:vAlign w:val="bottom"/>
          </w:tcPr>
          <w:p>
            <w:pPr>
              <w:ind w:left="380"/>
              <w:spacing w:after="0"/>
              <w:rPr>
                <w:sz w:val="20"/>
                <w:szCs w:val="20"/>
                <w:color w:val="auto"/>
              </w:rPr>
            </w:pPr>
            <w:r>
              <w:rPr>
                <w:rFonts w:ascii="Arial" w:cs="Arial" w:eastAsia="Arial" w:hAnsi="Arial"/>
                <w:sz w:val="18"/>
                <w:szCs w:val="18"/>
                <w:color w:val="auto"/>
              </w:rPr>
              <w:t>Deferred</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(55,772 )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23,350</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(52,968 )</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16,056</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State and local:</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380"/>
              <w:spacing w:after="0"/>
              <w:rPr>
                <w:sz w:val="20"/>
                <w:szCs w:val="20"/>
                <w:color w:val="auto"/>
              </w:rPr>
            </w:pPr>
            <w:r>
              <w:rPr>
                <w:rFonts w:ascii="Arial" w:cs="Arial" w:eastAsia="Arial" w:hAnsi="Arial"/>
                <w:sz w:val="18"/>
                <w:szCs w:val="18"/>
                <w:color w:val="auto"/>
              </w:rPr>
              <w:t>Current</w:t>
            </w:r>
          </w:p>
        </w:tc>
        <w:tc>
          <w:tcPr>
            <w:tcW w:w="280" w:type="dxa"/>
            <w:vAlign w:val="bottom"/>
          </w:tcPr>
          <w:p>
            <w:pPr>
              <w:spacing w:after="0"/>
              <w:rPr>
                <w:sz w:val="21"/>
                <w:szCs w:val="21"/>
                <w:color w:val="auto"/>
              </w:rPr>
            </w:pPr>
          </w:p>
        </w:tc>
        <w:tc>
          <w:tcPr>
            <w:tcW w:w="1140" w:type="dxa"/>
            <w:vAlign w:val="bottom"/>
          </w:tcPr>
          <w:p>
            <w:pPr>
              <w:jc w:val="right"/>
              <w:spacing w:after="0"/>
              <w:rPr>
                <w:sz w:val="20"/>
                <w:szCs w:val="20"/>
                <w:color w:val="auto"/>
              </w:rPr>
            </w:pPr>
            <w:r>
              <w:rPr>
                <w:rFonts w:ascii="Arial" w:cs="Arial" w:eastAsia="Arial" w:hAnsi="Arial"/>
                <w:sz w:val="18"/>
                <w:szCs w:val="18"/>
                <w:color w:val="auto"/>
              </w:rPr>
              <w:t>832</w:t>
            </w: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1,257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jc w:val="right"/>
              <w:spacing w:after="0"/>
              <w:rPr>
                <w:sz w:val="20"/>
                <w:szCs w:val="20"/>
                <w:color w:val="auto"/>
              </w:rPr>
            </w:pPr>
            <w:r>
              <w:rPr>
                <w:rFonts w:ascii="Arial" w:cs="Arial" w:eastAsia="Arial" w:hAnsi="Arial"/>
                <w:sz w:val="18"/>
                <w:szCs w:val="18"/>
                <w:color w:val="auto"/>
              </w:rPr>
              <w:t>1,047</w:t>
            </w: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1,875</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380"/>
              <w:spacing w:after="0"/>
              <w:rPr>
                <w:sz w:val="20"/>
                <w:szCs w:val="20"/>
                <w:color w:val="auto"/>
              </w:rPr>
            </w:pPr>
            <w:r>
              <w:rPr>
                <w:rFonts w:ascii="Arial" w:cs="Arial" w:eastAsia="Arial" w:hAnsi="Arial"/>
                <w:sz w:val="18"/>
                <w:szCs w:val="18"/>
                <w:color w:val="auto"/>
              </w:rPr>
              <w:t>Deferred</w:t>
            </w:r>
          </w:p>
        </w:tc>
        <w:tc>
          <w:tcPr>
            <w:tcW w:w="280" w:type="dxa"/>
            <w:vAlign w:val="bottom"/>
            <w:shd w:val="clear" w:color="auto" w:fill="CFF0FC"/>
          </w:tcPr>
          <w:p>
            <w:pPr>
              <w:spacing w:after="0"/>
              <w:rPr>
                <w:sz w:val="22"/>
                <w:szCs w:val="22"/>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(5,056 )</w:t>
            </w: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620</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(3,480 )</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(10,674 )</w:t>
            </w: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Foreign - current</w:t>
            </w:r>
          </w:p>
        </w:tc>
        <w:tc>
          <w:tcPr>
            <w:tcW w:w="280" w:type="dxa"/>
            <w:vAlign w:val="bottom"/>
            <w:tcBorders>
              <w:bottom w:val="single" w:sz="8" w:color="auto"/>
            </w:tcBorders>
          </w:tcPr>
          <w:p>
            <w:pPr>
              <w:spacing w:after="0"/>
              <w:rPr>
                <w:sz w:val="21"/>
                <w:szCs w:val="21"/>
                <w:color w:val="auto"/>
              </w:rPr>
            </w:pPr>
          </w:p>
        </w:tc>
        <w:tc>
          <w:tcPr>
            <w:tcW w:w="11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w:t>
            </w:r>
          </w:p>
        </w:tc>
        <w:tc>
          <w:tcPr>
            <w:tcW w:w="28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44</w:t>
            </w:r>
          </w:p>
        </w:tc>
        <w:tc>
          <w:tcPr>
            <w:tcW w:w="26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11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7</w:t>
            </w:r>
          </w:p>
        </w:tc>
        <w:tc>
          <w:tcPr>
            <w:tcW w:w="260" w:type="dxa"/>
            <w:vAlign w:val="bottom"/>
          </w:tcPr>
          <w:p>
            <w:pPr>
              <w:spacing w:after="0"/>
              <w:rPr>
                <w:sz w:val="21"/>
                <w:szCs w:val="21"/>
                <w:color w:val="auto"/>
              </w:rPr>
            </w:pPr>
          </w:p>
        </w:tc>
        <w:tc>
          <w:tcPr>
            <w:tcW w:w="320" w:type="dxa"/>
            <w:vAlign w:val="bottom"/>
            <w:tcBorders>
              <w:bottom w:val="single" w:sz="8" w:color="auto"/>
            </w:tcBorders>
          </w:tcPr>
          <w:p>
            <w:pPr>
              <w:spacing w:after="0"/>
              <w:rPr>
                <w:sz w:val="21"/>
                <w:szCs w:val="21"/>
                <w:color w:val="auto"/>
              </w:rPr>
            </w:pPr>
          </w:p>
        </w:tc>
        <w:tc>
          <w:tcPr>
            <w:tcW w:w="10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80</w:t>
            </w:r>
          </w:p>
        </w:tc>
        <w:tc>
          <w:tcPr>
            <w:tcW w:w="100" w:type="dxa"/>
            <w:vAlign w:val="bottom"/>
          </w:tcPr>
          <w:p>
            <w:pPr>
              <w:spacing w:after="0"/>
              <w:rPr>
                <w:sz w:val="21"/>
                <w:szCs w:val="21"/>
                <w:color w:val="auto"/>
              </w:rPr>
            </w:pPr>
          </w:p>
        </w:tc>
      </w:tr>
      <w:tr>
        <w:trPr>
          <w:trHeight w:val="290"/>
        </w:trPr>
        <w:tc>
          <w:tcPr>
            <w:tcW w:w="4780" w:type="dxa"/>
            <w:vAlign w:val="bottom"/>
            <w:shd w:val="clear" w:color="auto" w:fill="CFF0FC"/>
          </w:tcPr>
          <w:p>
            <w:pPr>
              <w:spacing w:after="0"/>
              <w:rPr>
                <w:sz w:val="24"/>
                <w:szCs w:val="24"/>
                <w:color w:val="auto"/>
              </w:rPr>
            </w:pP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(60,442 )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(8,419 )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(55,840 )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(182,657 )</w:t>
            </w:r>
          </w:p>
        </w:tc>
      </w:tr>
      <w:tr>
        <w:trPr>
          <w:trHeight w:val="595"/>
        </w:trPr>
        <w:tc>
          <w:tcPr>
            <w:tcW w:w="4780" w:type="dxa"/>
            <w:vAlign w:val="bottom"/>
            <w:tcBorders>
              <w:top w:val="single" w:sz="8" w:color="CFF0FC"/>
            </w:tcBorders>
          </w:tcPr>
          <w:p>
            <w:pPr>
              <w:spacing w:after="0"/>
              <w:rPr>
                <w:sz w:val="24"/>
                <w:szCs w:val="24"/>
                <w:color w:val="auto"/>
              </w:rPr>
            </w:pPr>
          </w:p>
        </w:tc>
        <w:tc>
          <w:tcPr>
            <w:tcW w:w="280" w:type="dxa"/>
            <w:vAlign w:val="bottom"/>
            <w:tcBorders>
              <w:top w:val="single" w:sz="8" w:color="auto"/>
            </w:tcBorders>
          </w:tcPr>
          <w:p>
            <w:pPr>
              <w:spacing w:after="0"/>
              <w:rPr>
                <w:sz w:val="24"/>
                <w:szCs w:val="24"/>
                <w:color w:val="auto"/>
              </w:rPr>
            </w:pPr>
          </w:p>
        </w:tc>
        <w:tc>
          <w:tcPr>
            <w:tcW w:w="1140" w:type="dxa"/>
            <w:vAlign w:val="bottom"/>
            <w:tcBorders>
              <w:top w:val="single" w:sz="8" w:color="auto"/>
            </w:tcBorders>
          </w:tcPr>
          <w:p>
            <w:pPr>
              <w:jc w:val="right"/>
              <w:ind w:right="393"/>
              <w:spacing w:after="0"/>
              <w:rPr>
                <w:sz w:val="20"/>
                <w:szCs w:val="20"/>
                <w:color w:val="auto"/>
              </w:rPr>
            </w:pPr>
            <w:r>
              <w:rPr>
                <w:rFonts w:ascii="Arial" w:cs="Arial" w:eastAsia="Arial" w:hAnsi="Arial"/>
                <w:sz w:val="18"/>
                <w:szCs w:val="18"/>
                <w:color w:val="auto"/>
              </w:rPr>
              <w:t>12</w:t>
            </w:r>
          </w:p>
        </w:tc>
        <w:tc>
          <w:tcPr>
            <w:tcW w:w="28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7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14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-2165350</wp:posOffset>
            </wp:positionV>
            <wp:extent cx="180340" cy="5715"/>
            <wp:wrapNone/>
            <wp:docPr id="210" name="Picture 2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0"/>
                    <pic:cNvPicPr>
                      <a:picLocks noChangeAspect="1" noChangeArrowheads="1"/>
                    </pic:cNvPicPr>
                  </pic:nvPicPr>
                  <pic:blipFill>
                    <a:blip r:embed="rId217">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-2165350</wp:posOffset>
            </wp:positionV>
            <wp:extent cx="162560" cy="5715"/>
            <wp:wrapNone/>
            <wp:docPr id="211" name="Picture 2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1"/>
                    <pic:cNvPicPr>
                      <a:picLocks noChangeAspect="1" noChangeArrowheads="1"/>
                    </pic:cNvPicPr>
                  </pic:nvPicPr>
                  <pic:blipFill>
                    <a:blip r:embed="rId218">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-2165350</wp:posOffset>
            </wp:positionV>
            <wp:extent cx="162560" cy="5715"/>
            <wp:wrapNone/>
            <wp:docPr id="212" name="Picture 2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2"/>
                    <pic:cNvPicPr>
                      <a:picLocks noChangeAspect="1" noChangeArrowheads="1"/>
                    </pic:cNvPicPr>
                  </pic:nvPicPr>
                  <pic:blipFill>
                    <a:blip r:embed="rId219">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-2165350</wp:posOffset>
            </wp:positionV>
            <wp:extent cx="68580" cy="5715"/>
            <wp:wrapNone/>
            <wp:docPr id="213" name="Picture 2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3"/>
                    <pic:cNvPicPr>
                      <a:picLocks noChangeAspect="1" noChangeArrowheads="1"/>
                    </pic:cNvPicPr>
                  </pic:nvPicPr>
                  <pic:blipFill>
                    <a:blip r:embed="rId22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-496570</wp:posOffset>
            </wp:positionV>
            <wp:extent cx="180340" cy="8890"/>
            <wp:wrapNone/>
            <wp:docPr id="214" name="Picture 2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4"/>
                    <pic:cNvPicPr>
                      <a:picLocks noChangeAspect="1" noChangeArrowheads="1"/>
                    </pic:cNvPicPr>
                  </pic:nvPicPr>
                  <pic:blipFill>
                    <a:blip r:embed="rId221">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-479425</wp:posOffset>
            </wp:positionV>
            <wp:extent cx="180340" cy="8890"/>
            <wp:wrapNone/>
            <wp:docPr id="215" name="Picture 2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5"/>
                    <pic:cNvPicPr>
                      <a:picLocks noChangeAspect="1" noChangeArrowheads="1"/>
                    </pic:cNvPicPr>
                  </pic:nvPicPr>
                  <pic:blipFill>
                    <a:blip r:embed="rId222">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-496570</wp:posOffset>
            </wp:positionV>
            <wp:extent cx="162560" cy="8890"/>
            <wp:wrapNone/>
            <wp:docPr id="216" name="Picture 2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6"/>
                    <pic:cNvPicPr>
                      <a:picLocks noChangeAspect="1" noChangeArrowheads="1"/>
                    </pic:cNvPicPr>
                  </pic:nvPicPr>
                  <pic:blipFill>
                    <a:blip r:embed="rId223">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-479425</wp:posOffset>
            </wp:positionV>
            <wp:extent cx="162560" cy="8890"/>
            <wp:wrapNone/>
            <wp:docPr id="217" name="Picture 2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7"/>
                    <pic:cNvPicPr>
                      <a:picLocks noChangeAspect="1" noChangeArrowheads="1"/>
                    </pic:cNvPicPr>
                  </pic:nvPicPr>
                  <pic:blipFill>
                    <a:blip r:embed="rId224">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-496570</wp:posOffset>
            </wp:positionV>
            <wp:extent cx="162560" cy="8890"/>
            <wp:wrapNone/>
            <wp:docPr id="218" name="Picture 2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8"/>
                    <pic:cNvPicPr>
                      <a:picLocks noChangeAspect="1" noChangeArrowheads="1"/>
                    </pic:cNvPicPr>
                  </pic:nvPicPr>
                  <pic:blipFill>
                    <a:blip r:embed="rId225">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-479425</wp:posOffset>
            </wp:positionV>
            <wp:extent cx="162560" cy="8890"/>
            <wp:wrapNone/>
            <wp:docPr id="219" name="Picture 2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19"/>
                    <pic:cNvPicPr>
                      <a:picLocks noChangeAspect="1" noChangeArrowheads="1"/>
                    </pic:cNvPicPr>
                  </pic:nvPicPr>
                  <pic:blipFill>
                    <a:blip r:embed="rId226">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20" name="Picture 2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0"/>
                    <pic:cNvPicPr>
                      <a:picLocks noChangeAspect="1" noChangeArrowheads="1"/>
                    </pic:cNvPicPr>
                  </pic:nvPicPr>
                  <pic:blipFill>
                    <a:blip r:embed="rId22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890"/>
            <wp:wrapNone/>
            <wp:docPr id="221" name="Picture 2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1"/>
                    <pic:cNvPicPr>
                      <a:picLocks noChangeAspect="1" noChangeArrowheads="1"/>
                    </pic:cNvPicPr>
                  </pic:nvPicPr>
                  <pic:blipFill>
                    <a:blip r:embed="rId228">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22" name="Picture 2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2"/>
                    <pic:cNvPicPr>
                      <a:picLocks noChangeAspect="1" noChangeArrowheads="1"/>
                    </pic:cNvPicPr>
                  </pic:nvPicPr>
                  <pic:blipFill>
                    <a:blip r:embed="rId22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23" name="Picture 2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3"/>
                    <pic:cNvPicPr>
                      <a:picLocks noChangeAspect="1" noChangeArrowheads="1"/>
                    </pic:cNvPicPr>
                  </pic:nvPicPr>
                  <pic:blipFill>
                    <a:blip r:embed="rId23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3" w:name="page14"/>
    <w:bookmarkEnd w:id="13"/>
    <w:p>
      <w:pPr>
        <w:spacing w:after="0"/>
        <w:tabs>
          <w:tab w:leader="none" w:pos="460" w:val="left"/>
        </w:tabs>
        <w:rPr>
          <w:sz w:val="20"/>
          <w:szCs w:val="20"/>
          <w:color w:val="auto"/>
        </w:rPr>
      </w:pPr>
      <w:r>
        <w:rPr>
          <w:rFonts w:ascii="Arial" w:cs="Arial" w:eastAsia="Arial" w:hAnsi="Arial"/>
          <w:sz w:val="18"/>
          <w:szCs w:val="18"/>
          <w:b w:val="1"/>
          <w:bCs w:val="1"/>
          <w:color w:val="auto"/>
        </w:rPr>
        <w:t>(10)</w:t>
      </w:r>
      <w:r>
        <w:rPr>
          <w:sz w:val="20"/>
          <w:szCs w:val="20"/>
          <w:color w:val="auto"/>
        </w:rPr>
        <w:tab/>
      </w:r>
      <w:r>
        <w:rPr>
          <w:rFonts w:ascii="Arial" w:cs="Arial" w:eastAsia="Arial" w:hAnsi="Arial"/>
          <w:sz w:val="16"/>
          <w:szCs w:val="16"/>
          <w:b w:val="1"/>
          <w:bCs w:val="1"/>
          <w:color w:val="auto"/>
        </w:rPr>
        <w:t>Earnings Per Share</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presents the components of basic and diluted earnings (loss) per share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3060" w:type="dxa"/>
            <w:vAlign w:val="bottom"/>
            <w:gridSpan w:val="5"/>
          </w:tcPr>
          <w:p>
            <w:pPr>
              <w:jc w:val="right"/>
              <w:ind w:right="680"/>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c>
          <w:tcPr>
            <w:tcW w:w="0" w:type="dxa"/>
            <w:vAlign w:val="bottom"/>
          </w:tcPr>
          <w:p>
            <w:pPr>
              <w:spacing w:after="0"/>
              <w:rPr>
                <w:sz w:val="1"/>
                <w:szCs w:val="1"/>
                <w:color w:val="auto"/>
              </w:rPr>
            </w:pPr>
          </w:p>
        </w:tc>
      </w:tr>
      <w:tr>
        <w:trPr>
          <w:trHeight w:val="196"/>
        </w:trPr>
        <w:tc>
          <w:tcPr>
            <w:tcW w:w="4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1"/>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1"/>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attributable to Kirby</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(264,730 )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27,489</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(257,915 )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(294,750 )</w:t>
            </w: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28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(57 )</w:t>
            </w:r>
          </w:p>
        </w:tc>
        <w:tc>
          <w:tcPr>
            <w:tcW w:w="26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42"/>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w w:val="99"/>
              </w:rPr>
              <w:t>Earnings (loss) available to Kirby common stockholders –</w:t>
            </w:r>
          </w:p>
        </w:tc>
        <w:tc>
          <w:tcPr>
            <w:tcW w:w="280" w:type="dxa"/>
            <w:vAlign w:val="bottom"/>
            <w:tcBorders>
              <w:top w:val="single" w:sz="8" w:color="auto"/>
            </w:tcBorders>
            <w:shd w:val="clear" w:color="auto" w:fill="CFF0FC"/>
          </w:tcPr>
          <w:p>
            <w:pPr>
              <w:spacing w:after="0"/>
              <w:rPr>
                <w:sz w:val="21"/>
                <w:szCs w:val="21"/>
                <w:color w:val="auto"/>
              </w:rPr>
            </w:pPr>
          </w:p>
        </w:tc>
        <w:tc>
          <w:tcPr>
            <w:tcW w:w="1140" w:type="dxa"/>
            <w:vAlign w:val="bottom"/>
            <w:tcBorders>
              <w:top w:val="single" w:sz="8" w:color="auto"/>
            </w:tcBorders>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tcBorders>
              <w:top w:val="single" w:sz="8" w:color="auto"/>
            </w:tcBorders>
            <w:shd w:val="clear" w:color="auto" w:fill="CFF0FC"/>
          </w:tcPr>
          <w:p>
            <w:pPr>
              <w:spacing w:after="0"/>
              <w:rPr>
                <w:sz w:val="21"/>
                <w:szCs w:val="21"/>
                <w:color w:val="auto"/>
              </w:rPr>
            </w:pPr>
          </w:p>
        </w:tc>
        <w:tc>
          <w:tcPr>
            <w:tcW w:w="1120" w:type="dxa"/>
            <w:vAlign w:val="bottom"/>
            <w:tcBorders>
              <w:top w:val="single" w:sz="8" w:color="auto"/>
            </w:tcBorders>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tcBorders>
              <w:top w:val="single" w:sz="8" w:color="auto"/>
            </w:tcBorders>
            <w:shd w:val="clear" w:color="auto" w:fill="CFF0FC"/>
          </w:tcPr>
          <w:p>
            <w:pPr>
              <w:spacing w:after="0"/>
              <w:rPr>
                <w:sz w:val="21"/>
                <w:szCs w:val="21"/>
                <w:color w:val="auto"/>
              </w:rPr>
            </w:pPr>
          </w:p>
        </w:tc>
        <w:tc>
          <w:tcPr>
            <w:tcW w:w="1060" w:type="dxa"/>
            <w:vAlign w:val="bottom"/>
            <w:tcBorders>
              <w:top w:val="single" w:sz="8" w:color="auto"/>
            </w:tcBorders>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shd w:val="clear" w:color="auto" w:fill="CFF0FC"/>
          </w:tcPr>
          <w:p>
            <w:pPr>
              <w:spacing w:after="0"/>
              <w:rPr>
                <w:sz w:val="21"/>
                <w:szCs w:val="21"/>
                <w:color w:val="auto"/>
              </w:rPr>
            </w:pP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(264,730 )</w:t>
            </w: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27,432</w:t>
            </w: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(257,915 )</w:t>
            </w:r>
          </w:p>
        </w:tc>
        <w:tc>
          <w:tcPr>
            <w:tcW w:w="320" w:type="dxa"/>
            <w:vAlign w:val="bottom"/>
            <w:shd w:val="clear" w:color="auto" w:fill="CFF0FC"/>
          </w:tcPr>
          <w:p>
            <w:pPr>
              <w:spacing w:after="0"/>
              <w:rPr>
                <w:sz w:val="21"/>
                <w:szCs w:val="21"/>
                <w:color w:val="auto"/>
              </w:rPr>
            </w:pP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(294,750 )</w:t>
            </w: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Undistributed earnings allocated to restricted shares</w:t>
            </w:r>
          </w:p>
        </w:tc>
        <w:tc>
          <w:tcPr>
            <w:tcW w:w="28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57</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57"/>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Undistributed earnings reallocated to restricted shares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(57 )</w:t>
            </w:r>
          </w:p>
        </w:tc>
        <w:tc>
          <w:tcPr>
            <w:tcW w:w="260" w:type="dxa"/>
            <w:vAlign w:val="bottom"/>
            <w:shd w:val="clear" w:color="auto" w:fill="CFF0FC"/>
          </w:tcPr>
          <w:p>
            <w:pPr>
              <w:spacing w:after="0"/>
              <w:rPr>
                <w:sz w:val="22"/>
                <w:szCs w:val="22"/>
                <w:color w:val="auto"/>
              </w:rPr>
            </w:pPr>
          </w:p>
        </w:tc>
        <w:tc>
          <w:tcPr>
            <w:tcW w:w="138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shd w:val="clear" w:color="auto" w:fill="CFF0FC"/>
          </w:tcPr>
          <w:p>
            <w:pPr>
              <w:spacing w:after="0"/>
              <w:rPr>
                <w:sz w:val="22"/>
                <w:szCs w:val="22"/>
                <w:color w:val="auto"/>
              </w:rPr>
            </w:pPr>
          </w:p>
        </w:tc>
        <w:tc>
          <w:tcPr>
            <w:tcW w:w="116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0"/>
        </w:trPr>
        <w:tc>
          <w:tcPr>
            <w:tcW w:w="4780" w:type="dxa"/>
            <w:vAlign w:val="bottom"/>
            <w:shd w:val="clear" w:color="auto" w:fill="CFF0FC"/>
          </w:tcPr>
          <w:p>
            <w:pPr>
              <w:spacing w:after="0" w:line="20" w:lineRule="exact"/>
              <w:rPr>
                <w:sz w:val="1"/>
                <w:szCs w:val="1"/>
                <w:color w:val="auto"/>
              </w:rPr>
            </w:pPr>
          </w:p>
        </w:tc>
        <w:tc>
          <w:tcPr>
            <w:tcW w:w="280" w:type="dxa"/>
            <w:vAlign w:val="bottom"/>
            <w:shd w:val="clear" w:color="auto" w:fill="000000"/>
          </w:tcPr>
          <w:p>
            <w:pPr>
              <w:spacing w:after="0" w:line="20" w:lineRule="exact"/>
              <w:rPr>
                <w:sz w:val="1"/>
                <w:szCs w:val="1"/>
                <w:color w:val="auto"/>
              </w:rPr>
            </w:pPr>
          </w:p>
        </w:tc>
        <w:tc>
          <w:tcPr>
            <w:tcW w:w="1140" w:type="dxa"/>
            <w:vAlign w:val="bottom"/>
            <w:shd w:val="clear" w:color="auto" w:fill="000000"/>
          </w:tcPr>
          <w:p>
            <w:pPr>
              <w:spacing w:after="0" w:line="20" w:lineRule="exact"/>
              <w:rPr>
                <w:sz w:val="1"/>
                <w:szCs w:val="1"/>
                <w:color w:val="auto"/>
              </w:rPr>
            </w:pPr>
          </w:p>
        </w:tc>
        <w:tc>
          <w:tcPr>
            <w:tcW w:w="28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60" w:type="dxa"/>
            <w:vAlign w:val="bottom"/>
            <w:shd w:val="clear" w:color="auto" w:fill="CFF0FC"/>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42"/>
        </w:trPr>
        <w:tc>
          <w:tcPr>
            <w:tcW w:w="4780" w:type="dxa"/>
            <w:vAlign w:val="bottom"/>
          </w:tcPr>
          <w:p>
            <w:pPr>
              <w:ind w:left="200"/>
              <w:spacing w:after="0"/>
              <w:rPr>
                <w:sz w:val="20"/>
                <w:szCs w:val="20"/>
                <w:color w:val="auto"/>
              </w:rPr>
            </w:pPr>
            <w:r>
              <w:rPr>
                <w:rFonts w:ascii="Arial" w:cs="Arial" w:eastAsia="Arial" w:hAnsi="Arial"/>
                <w:sz w:val="18"/>
                <w:szCs w:val="18"/>
                <w:color w:val="auto"/>
                <w:w w:val="99"/>
              </w:rPr>
              <w:t>Earnings (loss) available to Kirby common stockholders –</w:t>
            </w:r>
          </w:p>
        </w:tc>
        <w:tc>
          <w:tcPr>
            <w:tcW w:w="280" w:type="dxa"/>
            <w:vAlign w:val="bottom"/>
            <w:vMerge w:val="restart"/>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vMerge w:val="restart"/>
          </w:tcPr>
          <w:p>
            <w:pPr>
              <w:jc w:val="right"/>
              <w:ind w:right="220"/>
              <w:spacing w:after="0"/>
              <w:rPr>
                <w:sz w:val="20"/>
                <w:szCs w:val="20"/>
                <w:color w:val="auto"/>
              </w:rPr>
            </w:pPr>
            <w:r>
              <w:rPr>
                <w:rFonts w:ascii="Arial" w:cs="Arial" w:eastAsia="Arial" w:hAnsi="Arial"/>
                <w:sz w:val="18"/>
                <w:szCs w:val="18"/>
                <w:color w:val="auto"/>
              </w:rPr>
              <w:t>(264,730 )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vMerge w:val="restart"/>
          </w:tcPr>
          <w:p>
            <w:pPr>
              <w:jc w:val="right"/>
              <w:spacing w:after="0"/>
              <w:rPr>
                <w:sz w:val="20"/>
                <w:szCs w:val="20"/>
                <w:color w:val="auto"/>
              </w:rPr>
            </w:pPr>
            <w:r>
              <w:rPr>
                <w:rFonts w:ascii="Arial" w:cs="Arial" w:eastAsia="Arial" w:hAnsi="Arial"/>
                <w:sz w:val="18"/>
                <w:szCs w:val="18"/>
                <w:color w:val="auto"/>
              </w:rPr>
              <w:t>27,432</w:t>
            </w:r>
          </w:p>
        </w:tc>
        <w:tc>
          <w:tcPr>
            <w:tcW w:w="260" w:type="dxa"/>
            <w:vAlign w:val="bottom"/>
          </w:tcPr>
          <w:p>
            <w:pPr>
              <w:spacing w:after="0"/>
              <w:rPr>
                <w:sz w:val="21"/>
                <w:szCs w:val="21"/>
                <w:color w:val="auto"/>
              </w:rPr>
            </w:pPr>
          </w:p>
        </w:tc>
        <w:tc>
          <w:tcPr>
            <w:tcW w:w="260" w:type="dxa"/>
            <w:vAlign w:val="bottom"/>
            <w:vMerge w:val="restart"/>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vMerge w:val="restart"/>
          </w:tcPr>
          <w:p>
            <w:pPr>
              <w:jc w:val="right"/>
              <w:ind w:right="180"/>
              <w:spacing w:after="0"/>
              <w:rPr>
                <w:sz w:val="20"/>
                <w:szCs w:val="20"/>
                <w:color w:val="auto"/>
              </w:rPr>
            </w:pPr>
            <w:r>
              <w:rPr>
                <w:rFonts w:ascii="Arial" w:cs="Arial" w:eastAsia="Arial" w:hAnsi="Arial"/>
                <w:sz w:val="18"/>
                <w:szCs w:val="18"/>
                <w:color w:val="auto"/>
              </w:rPr>
              <w:t>(257,915 )</w:t>
            </w:r>
          </w:p>
        </w:tc>
        <w:tc>
          <w:tcPr>
            <w:tcW w:w="320" w:type="dxa"/>
            <w:vAlign w:val="bottom"/>
            <w:vMerge w:val="restart"/>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vMerge w:val="restart"/>
          </w:tcPr>
          <w:p>
            <w:pPr>
              <w:jc w:val="right"/>
              <w:ind w:right="40"/>
              <w:spacing w:after="0"/>
              <w:rPr>
                <w:sz w:val="20"/>
                <w:szCs w:val="20"/>
                <w:color w:val="auto"/>
              </w:rPr>
            </w:pPr>
            <w:r>
              <w:rPr>
                <w:rFonts w:ascii="Arial" w:cs="Arial" w:eastAsia="Arial" w:hAnsi="Arial"/>
                <w:sz w:val="18"/>
                <w:szCs w:val="18"/>
                <w:color w:val="auto"/>
              </w:rPr>
              <w:t>(294,750 )</w:t>
            </w:r>
          </w:p>
        </w:tc>
        <w:tc>
          <w:tcPr>
            <w:tcW w:w="0" w:type="dxa"/>
            <w:vAlign w:val="bottom"/>
          </w:tcPr>
          <w:p>
            <w:pPr>
              <w:spacing w:after="0"/>
              <w:rPr>
                <w:sz w:val="1"/>
                <w:szCs w:val="1"/>
                <w:color w:val="auto"/>
              </w:rPr>
            </w:pPr>
          </w:p>
        </w:tc>
      </w:tr>
      <w:tr>
        <w:trPr>
          <w:trHeight w:val="203"/>
        </w:trPr>
        <w:tc>
          <w:tcPr>
            <w:tcW w:w="4780" w:type="dxa"/>
            <w:vAlign w:val="bottom"/>
          </w:tcPr>
          <w:p>
            <w:pPr>
              <w:ind w:left="200"/>
              <w:spacing w:after="0" w:line="203" w:lineRule="exact"/>
              <w:rPr>
                <w:sz w:val="20"/>
                <w:szCs w:val="20"/>
                <w:color w:val="auto"/>
              </w:rPr>
            </w:pPr>
            <w:r>
              <w:rPr>
                <w:rFonts w:ascii="Arial" w:cs="Arial" w:eastAsia="Arial" w:hAnsi="Arial"/>
                <w:sz w:val="18"/>
                <w:szCs w:val="18"/>
                <w:color w:val="auto"/>
              </w:rPr>
              <w:t>diluted</w:t>
            </w:r>
          </w:p>
        </w:tc>
        <w:tc>
          <w:tcPr>
            <w:tcW w:w="280" w:type="dxa"/>
            <w:vAlign w:val="bottom"/>
            <w:vMerge w:val="continue"/>
          </w:tcPr>
          <w:p>
            <w:pPr>
              <w:spacing w:after="0"/>
              <w:rPr>
                <w:sz w:val="17"/>
                <w:szCs w:val="17"/>
                <w:color w:val="auto"/>
              </w:rPr>
            </w:pPr>
          </w:p>
        </w:tc>
        <w:tc>
          <w:tcPr>
            <w:tcW w:w="142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060" w:type="dxa"/>
            <w:vAlign w:val="bottom"/>
            <w:vMerge w:val="continue"/>
          </w:tcPr>
          <w:p>
            <w:pPr>
              <w:spacing w:after="0"/>
              <w:rPr>
                <w:sz w:val="17"/>
                <w:szCs w:val="17"/>
                <w:color w:val="auto"/>
              </w:rPr>
            </w:pPr>
          </w:p>
        </w:tc>
        <w:tc>
          <w:tcPr>
            <w:tcW w:w="260" w:type="dxa"/>
            <w:vAlign w:val="bottom"/>
          </w:tcPr>
          <w:p>
            <w:pPr>
              <w:spacing w:after="0"/>
              <w:rPr>
                <w:sz w:val="17"/>
                <w:szCs w:val="17"/>
                <w:color w:val="auto"/>
              </w:rPr>
            </w:pPr>
          </w:p>
        </w:tc>
        <w:tc>
          <w:tcPr>
            <w:tcW w:w="260" w:type="dxa"/>
            <w:vAlign w:val="bottom"/>
            <w:vMerge w:val="continue"/>
          </w:tcPr>
          <w:p>
            <w:pPr>
              <w:spacing w:after="0"/>
              <w:rPr>
                <w:sz w:val="17"/>
                <w:szCs w:val="17"/>
                <w:color w:val="auto"/>
              </w:rPr>
            </w:pPr>
          </w:p>
        </w:tc>
        <w:tc>
          <w:tcPr>
            <w:tcW w:w="1380" w:type="dxa"/>
            <w:vAlign w:val="bottom"/>
            <w:gridSpan w:val="2"/>
            <w:vMerge w:val="continue"/>
          </w:tcPr>
          <w:p>
            <w:pPr>
              <w:spacing w:after="0"/>
              <w:rPr>
                <w:sz w:val="17"/>
                <w:szCs w:val="17"/>
                <w:color w:val="auto"/>
              </w:rPr>
            </w:pPr>
          </w:p>
        </w:tc>
        <w:tc>
          <w:tcPr>
            <w:tcW w:w="320" w:type="dxa"/>
            <w:vAlign w:val="bottom"/>
            <w:vMerge w:val="continue"/>
          </w:tcPr>
          <w:p>
            <w:pPr>
              <w:spacing w:after="0"/>
              <w:rPr>
                <w:sz w:val="17"/>
                <w:szCs w:val="17"/>
                <w:color w:val="auto"/>
              </w:rPr>
            </w:pPr>
          </w:p>
        </w:tc>
        <w:tc>
          <w:tcPr>
            <w:tcW w:w="1160" w:type="dxa"/>
            <w:vAlign w:val="bottom"/>
            <w:gridSpan w:val="2"/>
            <w:vMerge w:val="continue"/>
          </w:tcPr>
          <w:p>
            <w:pPr>
              <w:spacing w:after="0"/>
              <w:rPr>
                <w:sz w:val="17"/>
                <w:szCs w:val="17"/>
                <w:color w:val="auto"/>
              </w:rPr>
            </w:pP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37"/>
        </w:trPr>
        <w:tc>
          <w:tcPr>
            <w:tcW w:w="478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11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260" w:type="dxa"/>
            <w:vAlign w:val="bottom"/>
            <w:shd w:val="clear" w:color="auto" w:fill="CFF0FC"/>
          </w:tcPr>
          <w:p>
            <w:pPr>
              <w:spacing w:after="0"/>
              <w:rPr>
                <w:sz w:val="20"/>
                <w:szCs w:val="20"/>
                <w:color w:val="auto"/>
              </w:rPr>
            </w:pPr>
          </w:p>
        </w:tc>
        <w:tc>
          <w:tcPr>
            <w:tcW w:w="320" w:type="dxa"/>
            <w:vAlign w:val="bottom"/>
            <w:shd w:val="clear" w:color="auto" w:fill="CFF0FC"/>
          </w:tcPr>
          <w:p>
            <w:pPr>
              <w:spacing w:after="0"/>
              <w:rPr>
                <w:sz w:val="20"/>
                <w:szCs w:val="20"/>
                <w:color w:val="auto"/>
              </w:rPr>
            </w:pPr>
          </w:p>
        </w:tc>
        <w:tc>
          <w:tcPr>
            <w:tcW w:w="1060" w:type="dxa"/>
            <w:vAlign w:val="bottom"/>
            <w:shd w:val="clear" w:color="auto" w:fill="CFF0FC"/>
          </w:tcPr>
          <w:p>
            <w:pPr>
              <w:spacing w:after="0"/>
              <w:rPr>
                <w:sz w:val="20"/>
                <w:szCs w:val="20"/>
                <w:color w:val="auto"/>
              </w:rPr>
            </w:pPr>
          </w:p>
        </w:tc>
        <w:tc>
          <w:tcPr>
            <w:tcW w:w="100" w:type="dxa"/>
            <w:vAlign w:val="bottom"/>
            <w:shd w:val="clear" w:color="auto" w:fill="CFF0FC"/>
          </w:tcPr>
          <w:p>
            <w:pPr>
              <w:spacing w:after="0"/>
              <w:rPr>
                <w:sz w:val="20"/>
                <w:szCs w:val="20"/>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Shares outstanding:</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Weighted average common stock issued and outstanding</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60,109</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60,038</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60,095</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60,015</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Weighted average unvested restricted stock</w:t>
            </w:r>
          </w:p>
        </w:tc>
        <w:tc>
          <w:tcPr>
            <w:tcW w:w="280" w:type="dxa"/>
            <w:vAlign w:val="bottom"/>
          </w:tcPr>
          <w:p>
            <w:pPr>
              <w:spacing w:after="0"/>
              <w:rPr>
                <w:sz w:val="21"/>
                <w:szCs w:val="21"/>
                <w:color w:val="auto"/>
              </w:rPr>
            </w:pP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(47 )</w:t>
            </w:r>
          </w:p>
        </w:tc>
        <w:tc>
          <w:tcPr>
            <w:tcW w:w="32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(123 )</w:t>
            </w:r>
          </w:p>
        </w:tc>
        <w:tc>
          <w:tcPr>
            <w:tcW w:w="260" w:type="dxa"/>
            <w:vAlign w:val="bottom"/>
          </w:tcPr>
          <w:p>
            <w:pPr>
              <w:spacing w:after="0"/>
              <w:rPr>
                <w:sz w:val="21"/>
                <w:szCs w:val="21"/>
                <w:color w:val="auto"/>
              </w:rPr>
            </w:pP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(51 )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(112 )</w:t>
            </w:r>
          </w:p>
        </w:tc>
        <w:tc>
          <w:tcPr>
            <w:tcW w:w="0" w:type="dxa"/>
            <w:vAlign w:val="bottom"/>
          </w:tcPr>
          <w:p>
            <w:pPr>
              <w:spacing w:after="0"/>
              <w:rPr>
                <w:sz w:val="1"/>
                <w:szCs w:val="1"/>
                <w:color w:val="auto"/>
              </w:rPr>
            </w:pPr>
          </w:p>
        </w:tc>
      </w:tr>
      <w:tr>
        <w:trPr>
          <w:trHeight w:val="257"/>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Weighted average common stock outstanding – basic</w:t>
            </w:r>
          </w:p>
        </w:tc>
        <w:tc>
          <w:tcPr>
            <w:tcW w:w="280" w:type="dxa"/>
            <w:vAlign w:val="bottom"/>
            <w:tcBorders>
              <w:top w:val="single" w:sz="8" w:color="auto"/>
            </w:tcBorders>
            <w:shd w:val="clear" w:color="auto" w:fill="CFF0FC"/>
          </w:tcPr>
          <w:p>
            <w:pPr>
              <w:spacing w:after="0"/>
              <w:rPr>
                <w:sz w:val="22"/>
                <w:szCs w:val="22"/>
                <w:color w:val="auto"/>
              </w:rPr>
            </w:pPr>
          </w:p>
        </w:tc>
        <w:tc>
          <w:tcPr>
            <w:tcW w:w="114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60,062</w:t>
            </w:r>
          </w:p>
        </w:tc>
        <w:tc>
          <w:tcPr>
            <w:tcW w:w="28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59,915</w:t>
            </w:r>
          </w:p>
        </w:tc>
        <w:tc>
          <w:tcPr>
            <w:tcW w:w="260" w:type="dxa"/>
            <w:vAlign w:val="bottom"/>
            <w:shd w:val="clear" w:color="auto" w:fill="CFF0FC"/>
          </w:tcPr>
          <w:p>
            <w:pPr>
              <w:spacing w:after="0"/>
              <w:rPr>
                <w:sz w:val="22"/>
                <w:szCs w:val="22"/>
                <w:color w:val="auto"/>
              </w:rPr>
            </w:pPr>
          </w:p>
        </w:tc>
        <w:tc>
          <w:tcPr>
            <w:tcW w:w="260" w:type="dxa"/>
            <w:vAlign w:val="bottom"/>
            <w:tcBorders>
              <w:top w:val="single" w:sz="8" w:color="auto"/>
            </w:tcBorders>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60,044</w:t>
            </w:r>
          </w:p>
        </w:tc>
        <w:tc>
          <w:tcPr>
            <w:tcW w:w="260" w:type="dxa"/>
            <w:vAlign w:val="bottom"/>
            <w:shd w:val="clear" w:color="auto" w:fill="CFF0FC"/>
          </w:tcPr>
          <w:p>
            <w:pPr>
              <w:spacing w:after="0"/>
              <w:rPr>
                <w:sz w:val="22"/>
                <w:szCs w:val="22"/>
                <w:color w:val="auto"/>
              </w:rPr>
            </w:pPr>
          </w:p>
        </w:tc>
        <w:tc>
          <w:tcPr>
            <w:tcW w:w="320" w:type="dxa"/>
            <w:vAlign w:val="bottom"/>
            <w:tcBorders>
              <w:top w:val="single" w:sz="8" w:color="auto"/>
            </w:tcBorders>
            <w:shd w:val="clear" w:color="auto" w:fill="CFF0FC"/>
          </w:tcPr>
          <w:p>
            <w:pPr>
              <w:spacing w:after="0"/>
              <w:rPr>
                <w:sz w:val="22"/>
                <w:szCs w:val="22"/>
                <w:color w:val="auto"/>
              </w:rPr>
            </w:pPr>
          </w:p>
        </w:tc>
        <w:tc>
          <w:tcPr>
            <w:tcW w:w="1060" w:type="dxa"/>
            <w:vAlign w:val="bottom"/>
            <w:tcBorders>
              <w:top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59,903</w:t>
            </w:r>
          </w:p>
        </w:tc>
        <w:tc>
          <w:tcPr>
            <w:tcW w:w="100" w:type="dxa"/>
            <w:vAlign w:val="bottom"/>
            <w:shd w:val="clear" w:color="auto" w:fill="CFF0FC"/>
          </w:tcPr>
          <w:p>
            <w:pPr>
              <w:spacing w:after="0"/>
              <w:rPr>
                <w:sz w:val="22"/>
                <w:szCs w:val="22"/>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Dilutive effect of stock options and restricted stock units</w:t>
            </w:r>
          </w:p>
        </w:tc>
        <w:tc>
          <w:tcPr>
            <w:tcW w:w="280" w:type="dxa"/>
            <w:vAlign w:val="bottom"/>
          </w:tcPr>
          <w:p>
            <w:pPr>
              <w:spacing w:after="0"/>
              <w:rPr>
                <w:sz w:val="21"/>
                <w:szCs w:val="21"/>
                <w:color w:val="auto"/>
              </w:rPr>
            </w:pPr>
          </w:p>
        </w:tc>
        <w:tc>
          <w:tcPr>
            <w:tcW w:w="1420" w:type="dxa"/>
            <w:vAlign w:val="bottom"/>
            <w:gridSpan w:val="2"/>
          </w:tcPr>
          <w:p>
            <w:pPr>
              <w:jc w:val="right"/>
              <w:ind w:right="30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060" w:type="dxa"/>
            <w:vAlign w:val="bottom"/>
          </w:tcPr>
          <w:p>
            <w:pPr>
              <w:jc w:val="right"/>
              <w:spacing w:after="0"/>
              <w:rPr>
                <w:sz w:val="20"/>
                <w:szCs w:val="20"/>
                <w:color w:val="auto"/>
              </w:rPr>
            </w:pPr>
            <w:r>
              <w:rPr>
                <w:rFonts w:ascii="Arial" w:cs="Arial" w:eastAsia="Arial" w:hAnsi="Arial"/>
                <w:sz w:val="18"/>
                <w:szCs w:val="18"/>
                <w:color w:val="auto"/>
              </w:rPr>
              <w:t>16</w:t>
            </w: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20" w:type="dxa"/>
            <w:vAlign w:val="bottom"/>
          </w:tcPr>
          <w:p>
            <w:pPr>
              <w:spacing w:after="0"/>
              <w:rPr>
                <w:sz w:val="21"/>
                <w:szCs w:val="21"/>
                <w:color w:val="auto"/>
              </w:rPr>
            </w:pP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c>
          <w:tcPr>
            <w:tcW w:w="0" w:type="dxa"/>
            <w:vAlign w:val="bottom"/>
          </w:tcPr>
          <w:p>
            <w:pPr>
              <w:spacing w:after="0"/>
              <w:rPr>
                <w:sz w:val="1"/>
                <w:szCs w:val="1"/>
                <w:color w:val="auto"/>
              </w:rPr>
            </w:pPr>
          </w:p>
        </w:tc>
      </w:tr>
      <w:tr>
        <w:trPr>
          <w:trHeight w:val="290"/>
        </w:trPr>
        <w:tc>
          <w:tcPr>
            <w:tcW w:w="478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Weighted average common stock outstanding – diluted</w:t>
            </w:r>
          </w:p>
        </w:tc>
        <w:tc>
          <w:tcPr>
            <w:tcW w:w="280" w:type="dxa"/>
            <w:vAlign w:val="bottom"/>
            <w:tcBorders>
              <w:top w:val="single" w:sz="8" w:color="auto"/>
              <w:bottom w:val="single" w:sz="8" w:color="auto"/>
            </w:tcBorders>
            <w:shd w:val="clear" w:color="auto" w:fill="CFF0FC"/>
          </w:tcPr>
          <w:p>
            <w:pPr>
              <w:spacing w:after="0"/>
              <w:rPr>
                <w:sz w:val="24"/>
                <w:szCs w:val="24"/>
                <w:color w:val="auto"/>
              </w:rPr>
            </w:pPr>
          </w:p>
        </w:tc>
        <w:tc>
          <w:tcPr>
            <w:tcW w:w="114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60,062</w:t>
            </w:r>
          </w:p>
        </w:tc>
        <w:tc>
          <w:tcPr>
            <w:tcW w:w="28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59,931</w:t>
            </w:r>
          </w:p>
        </w:tc>
        <w:tc>
          <w:tcPr>
            <w:tcW w:w="26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top w:val="single" w:sz="8" w:color="auto"/>
              <w:bottom w:val="single" w:sz="8" w:color="auto"/>
            </w:tcBorders>
            <w:shd w:val="clear" w:color="auto" w:fill="CFF0FC"/>
          </w:tcPr>
          <w:p>
            <w:pPr>
              <w:spacing w:after="0"/>
              <w:rPr>
                <w:sz w:val="24"/>
                <w:szCs w:val="24"/>
                <w:color w:val="auto"/>
              </w:rPr>
            </w:pPr>
          </w:p>
        </w:tc>
        <w:tc>
          <w:tcPr>
            <w:tcW w:w="112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60,044</w:t>
            </w:r>
          </w:p>
        </w:tc>
        <w:tc>
          <w:tcPr>
            <w:tcW w:w="260" w:type="dxa"/>
            <w:vAlign w:val="bottom"/>
            <w:tcBorders>
              <w:bottom w:val="single" w:sz="8" w:color="CFF0FC"/>
            </w:tcBorders>
            <w:shd w:val="clear" w:color="auto" w:fill="CFF0FC"/>
          </w:tcPr>
          <w:p>
            <w:pPr>
              <w:spacing w:after="0"/>
              <w:rPr>
                <w:sz w:val="24"/>
                <w:szCs w:val="24"/>
                <w:color w:val="auto"/>
              </w:rPr>
            </w:pPr>
          </w:p>
        </w:tc>
        <w:tc>
          <w:tcPr>
            <w:tcW w:w="320" w:type="dxa"/>
            <w:vAlign w:val="bottom"/>
            <w:tcBorders>
              <w:top w:val="single" w:sz="8" w:color="auto"/>
              <w:bottom w:val="single" w:sz="8" w:color="auto"/>
            </w:tcBorders>
            <w:shd w:val="clear" w:color="auto" w:fill="CFF0FC"/>
          </w:tcPr>
          <w:p>
            <w:pPr>
              <w:spacing w:after="0"/>
              <w:rPr>
                <w:sz w:val="24"/>
                <w:szCs w:val="24"/>
                <w:color w:val="auto"/>
              </w:rPr>
            </w:pPr>
          </w:p>
        </w:tc>
        <w:tc>
          <w:tcPr>
            <w:tcW w:w="1060" w:type="dxa"/>
            <w:vAlign w:val="bottom"/>
            <w:tcBorders>
              <w:top w:val="single" w:sz="8" w:color="auto"/>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59,903</w:t>
            </w:r>
          </w:p>
        </w:tc>
        <w:tc>
          <w:tcPr>
            <w:tcW w:w="100" w:type="dxa"/>
            <w:vAlign w:val="bottom"/>
            <w:tcBorders>
              <w:bottom w:val="single" w:sz="8" w:color="CFF0FC"/>
            </w:tcBorders>
            <w:shd w:val="clear" w:color="auto" w:fill="CFF0FC"/>
          </w:tcPr>
          <w:p>
            <w:pPr>
              <w:spacing w:after="0"/>
              <w:rPr>
                <w:sz w:val="24"/>
                <w:szCs w:val="24"/>
                <w:color w:val="auto"/>
              </w:rPr>
            </w:pPr>
          </w:p>
        </w:tc>
        <w:tc>
          <w:tcPr>
            <w:tcW w:w="0" w:type="dxa"/>
            <w:vAlign w:val="bottom"/>
          </w:tcPr>
          <w:p>
            <w:pPr>
              <w:spacing w:after="0"/>
              <w:rPr>
                <w:sz w:val="1"/>
                <w:szCs w:val="1"/>
                <w:color w:val="auto"/>
              </w:rPr>
            </w:pPr>
          </w:p>
        </w:tc>
      </w:tr>
      <w:tr>
        <w:trPr>
          <w:trHeight w:val="243"/>
        </w:trPr>
        <w:tc>
          <w:tcPr>
            <w:tcW w:w="47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10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42"/>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attributable to Kirby common</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c>
          <w:tcPr>
            <w:tcW w:w="0" w:type="dxa"/>
            <w:vAlign w:val="bottom"/>
          </w:tcPr>
          <w:p>
            <w:pPr>
              <w:spacing w:after="0"/>
              <w:rPr>
                <w:sz w:val="1"/>
                <w:szCs w:val="1"/>
                <w:color w:val="auto"/>
              </w:rPr>
            </w:pPr>
          </w:p>
        </w:tc>
      </w:tr>
      <w:tr>
        <w:trPr>
          <w:trHeight w:val="250"/>
        </w:trPr>
        <w:tc>
          <w:tcPr>
            <w:tcW w:w="4780" w:type="dxa"/>
            <w:vAlign w:val="bottom"/>
          </w:tcPr>
          <w:p>
            <w:pPr>
              <w:ind w:left="200"/>
              <w:spacing w:after="0"/>
              <w:rPr>
                <w:sz w:val="20"/>
                <w:szCs w:val="20"/>
                <w:color w:val="auto"/>
              </w:rPr>
            </w:pPr>
            <w:r>
              <w:rPr>
                <w:rFonts w:ascii="Arial" w:cs="Arial" w:eastAsia="Arial" w:hAnsi="Arial"/>
                <w:sz w:val="18"/>
                <w:szCs w:val="18"/>
                <w:color w:val="auto"/>
              </w:rPr>
              <w:t>Basic</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(4.41 )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0.46</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(4.30 )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0"/>
        </w:trPr>
        <w:tc>
          <w:tcPr>
            <w:tcW w:w="4780" w:type="dxa"/>
            <w:vAlign w:val="bottom"/>
          </w:tcPr>
          <w:p>
            <w:pPr>
              <w:spacing w:after="0" w:line="20" w:lineRule="exact"/>
              <w:rPr>
                <w:sz w:val="1"/>
                <w:szCs w:val="1"/>
                <w:color w:val="auto"/>
              </w:rPr>
            </w:pPr>
          </w:p>
        </w:tc>
        <w:tc>
          <w:tcPr>
            <w:tcW w:w="280" w:type="dxa"/>
            <w:vAlign w:val="bottom"/>
            <w:tcBorders>
              <w:top w:val="single" w:sz="8" w:color="auto"/>
              <w:bottom w:val="single" w:sz="8" w:color="auto"/>
            </w:tcBorders>
          </w:tcPr>
          <w:p>
            <w:pPr>
              <w:spacing w:after="0" w:line="20" w:lineRule="exact"/>
              <w:rPr>
                <w:sz w:val="1"/>
                <w:szCs w:val="1"/>
                <w:color w:val="auto"/>
              </w:rPr>
            </w:pPr>
          </w:p>
        </w:tc>
        <w:tc>
          <w:tcPr>
            <w:tcW w:w="11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1120" w:type="dxa"/>
            <w:vAlign w:val="bottom"/>
            <w:tcBorders>
              <w:top w:val="single" w:sz="8" w:color="auto"/>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320" w:type="dxa"/>
            <w:vAlign w:val="bottom"/>
            <w:tcBorders>
              <w:top w:val="single" w:sz="8" w:color="auto"/>
              <w:bottom w:val="single" w:sz="8" w:color="auto"/>
            </w:tcBorders>
          </w:tcPr>
          <w:p>
            <w:pPr>
              <w:spacing w:after="0" w:line="20" w:lineRule="exact"/>
              <w:rPr>
                <w:sz w:val="1"/>
                <w:szCs w:val="1"/>
                <w:color w:val="auto"/>
              </w:rPr>
            </w:pPr>
          </w:p>
        </w:tc>
        <w:tc>
          <w:tcPr>
            <w:tcW w:w="106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r>
        <w:trPr>
          <w:trHeight w:val="257"/>
        </w:trPr>
        <w:tc>
          <w:tcPr>
            <w:tcW w:w="478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Diluted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(4.92 )</w:t>
            </w:r>
          </w:p>
        </w:tc>
        <w:tc>
          <w:tcPr>
            <w:tcW w:w="0" w:type="dxa"/>
            <w:vAlign w:val="bottom"/>
          </w:tcPr>
          <w:p>
            <w:pPr>
              <w:spacing w:after="0"/>
              <w:rPr>
                <w:sz w:val="1"/>
                <w:szCs w:val="1"/>
                <w:color w:val="auto"/>
              </w:rPr>
            </w:pPr>
          </w:p>
        </w:tc>
      </w:tr>
      <w:tr>
        <w:trPr>
          <w:trHeight w:val="20"/>
        </w:trPr>
        <w:tc>
          <w:tcPr>
            <w:tcW w:w="4780" w:type="dxa"/>
            <w:vAlign w:val="bottom"/>
            <w:tcBorders>
              <w:top w:val="single" w:sz="8" w:color="CFF0FC"/>
            </w:tcBorders>
            <w:shd w:val="clear" w:color="auto" w:fill="CFF0FC"/>
          </w:tcPr>
          <w:p>
            <w:pPr>
              <w:spacing w:after="0" w:line="20" w:lineRule="exact"/>
              <w:rPr>
                <w:sz w:val="1"/>
                <w:szCs w:val="1"/>
                <w:color w:val="auto"/>
              </w:rPr>
            </w:pPr>
          </w:p>
        </w:tc>
        <w:tc>
          <w:tcPr>
            <w:tcW w:w="280" w:type="dxa"/>
            <w:vAlign w:val="bottom"/>
            <w:tcBorders>
              <w:top w:val="single" w:sz="8" w:color="auto"/>
            </w:tcBorders>
            <w:shd w:val="clear" w:color="auto" w:fill="000000"/>
          </w:tcPr>
          <w:p>
            <w:pPr>
              <w:spacing w:after="0" w:line="20" w:lineRule="exact"/>
              <w:rPr>
                <w:sz w:val="1"/>
                <w:szCs w:val="1"/>
                <w:color w:val="auto"/>
              </w:rPr>
            </w:pPr>
          </w:p>
        </w:tc>
        <w:tc>
          <w:tcPr>
            <w:tcW w:w="1140" w:type="dxa"/>
            <w:vAlign w:val="bottom"/>
            <w:tcBorders>
              <w:top w:val="single" w:sz="8" w:color="auto"/>
            </w:tcBorders>
            <w:shd w:val="clear" w:color="auto" w:fill="000000"/>
          </w:tcPr>
          <w:p>
            <w:pPr>
              <w:spacing w:after="0" w:line="20" w:lineRule="exact"/>
              <w:rPr>
                <w:sz w:val="1"/>
                <w:szCs w:val="1"/>
                <w:color w:val="auto"/>
              </w:rPr>
            </w:pPr>
          </w:p>
        </w:tc>
        <w:tc>
          <w:tcPr>
            <w:tcW w:w="28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112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320" w:type="dxa"/>
            <w:vAlign w:val="bottom"/>
            <w:tcBorders>
              <w:top w:val="single" w:sz="8" w:color="auto"/>
            </w:tcBorders>
            <w:shd w:val="clear" w:color="auto" w:fill="000000"/>
          </w:tcPr>
          <w:p>
            <w:pPr>
              <w:spacing w:after="0" w:line="20" w:lineRule="exact"/>
              <w:rPr>
                <w:sz w:val="1"/>
                <w:szCs w:val="1"/>
                <w:color w:val="auto"/>
              </w:rPr>
            </w:pPr>
          </w:p>
        </w:tc>
        <w:tc>
          <w:tcPr>
            <w:tcW w:w="10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-2345055</wp:posOffset>
            </wp:positionV>
            <wp:extent cx="180340" cy="5715"/>
            <wp:wrapNone/>
            <wp:docPr id="224" name="Picture 2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4"/>
                    <pic:cNvPicPr>
                      <a:picLocks noChangeAspect="1" noChangeArrowheads="1"/>
                    </pic:cNvPicPr>
                  </pic:nvPicPr>
                  <pic:blipFill>
                    <a:blip r:embed="rId231">
                      <a:extLst>
                        <a:ext uri="{28A0092B-C50C-407E-A947-70E740481C1C}"/>
                      </a:extLst>
                    </a:blip>
                    <a:srcRect/>
                    <a:stretch>
                      <a:fillRect/>
                    </a:stretch>
                  </pic:blipFill>
                  <pic:spPr bwMode="auto">
                    <a:xfrm>
                      <a:off x="0" y="0"/>
                      <a:ext cx="180340" cy="571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-2345055</wp:posOffset>
            </wp:positionV>
            <wp:extent cx="162560" cy="5715"/>
            <wp:wrapNone/>
            <wp:docPr id="225" name="Picture 2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5"/>
                    <pic:cNvPicPr>
                      <a:picLocks noChangeAspect="1" noChangeArrowheads="1"/>
                    </pic:cNvPicPr>
                  </pic:nvPicPr>
                  <pic:blipFill>
                    <a:blip r:embed="rId232">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-2345055</wp:posOffset>
            </wp:positionV>
            <wp:extent cx="162560" cy="5715"/>
            <wp:wrapNone/>
            <wp:docPr id="226" name="Picture 2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6"/>
                    <pic:cNvPicPr>
                      <a:picLocks noChangeAspect="1" noChangeArrowheads="1"/>
                    </pic:cNvPicPr>
                  </pic:nvPicPr>
                  <pic:blipFill>
                    <a:blip r:embed="rId233">
                      <a:extLst>
                        <a:ext uri="{28A0092B-C50C-407E-A947-70E740481C1C}"/>
                      </a:extLst>
                    </a:blip>
                    <a:srcRect/>
                    <a:stretch>
                      <a:fillRect/>
                    </a:stretch>
                  </pic:blipFill>
                  <pic:spPr bwMode="auto">
                    <a:xfrm>
                      <a:off x="0" y="0"/>
                      <a:ext cx="16256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-2345055</wp:posOffset>
            </wp:positionV>
            <wp:extent cx="68580" cy="5715"/>
            <wp:wrapNone/>
            <wp:docPr id="227" name="Picture 2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7"/>
                    <pic:cNvPicPr>
                      <a:picLocks noChangeAspect="1" noChangeArrowheads="1"/>
                    </pic:cNvPicPr>
                  </pic:nvPicPr>
                  <pic:blipFill>
                    <a:blip r:embed="rId234">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-873760</wp:posOffset>
            </wp:positionV>
            <wp:extent cx="180340" cy="8890"/>
            <wp:wrapNone/>
            <wp:docPr id="228" name="Picture 2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8"/>
                    <pic:cNvPicPr>
                      <a:picLocks noChangeAspect="1" noChangeArrowheads="1"/>
                    </pic:cNvPicPr>
                  </pic:nvPicPr>
                  <pic:blipFill>
                    <a:blip r:embed="rId235">
                      <a:extLst>
                        <a:ext uri="{28A0092B-C50C-407E-A947-70E740481C1C}"/>
                      </a:extLst>
                    </a:blip>
                    <a:srcRect/>
                    <a:stretch>
                      <a:fillRect/>
                    </a:stretch>
                  </pic:blipFill>
                  <pic:spPr bwMode="auto">
                    <a:xfrm>
                      <a:off x="0" y="0"/>
                      <a:ext cx="180340" cy="8890"/>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-856615</wp:posOffset>
            </wp:positionV>
            <wp:extent cx="180340" cy="8255"/>
            <wp:wrapNone/>
            <wp:docPr id="229" name="Picture 2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29"/>
                    <pic:cNvPicPr>
                      <a:picLocks noChangeAspect="1" noChangeArrowheads="1"/>
                    </pic:cNvPicPr>
                  </pic:nvPicPr>
                  <pic:blipFill>
                    <a:blip r:embed="rId236">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-873760</wp:posOffset>
            </wp:positionV>
            <wp:extent cx="162560" cy="8890"/>
            <wp:wrapNone/>
            <wp:docPr id="230" name="Picture 2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0"/>
                    <pic:cNvPicPr>
                      <a:picLocks noChangeAspect="1" noChangeArrowheads="1"/>
                    </pic:cNvPicPr>
                  </pic:nvPicPr>
                  <pic:blipFill>
                    <a:blip r:embed="rId237">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-856615</wp:posOffset>
            </wp:positionV>
            <wp:extent cx="162560" cy="8255"/>
            <wp:wrapNone/>
            <wp:docPr id="231" name="Picture 2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1"/>
                    <pic:cNvPicPr>
                      <a:picLocks noChangeAspect="1" noChangeArrowheads="1"/>
                    </pic:cNvPicPr>
                  </pic:nvPicPr>
                  <pic:blipFill>
                    <a:blip r:embed="rId23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-873760</wp:posOffset>
            </wp:positionV>
            <wp:extent cx="162560" cy="8890"/>
            <wp:wrapNone/>
            <wp:docPr id="232" name="Picture 2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2"/>
                    <pic:cNvPicPr>
                      <a:picLocks noChangeAspect="1" noChangeArrowheads="1"/>
                    </pic:cNvPicPr>
                  </pic:nvPicPr>
                  <pic:blipFill>
                    <a:blip r:embed="rId239">
                      <a:extLst>
                        <a:ext uri="{28A0092B-C50C-407E-A947-70E740481C1C}"/>
                      </a:extLst>
                    </a:blip>
                    <a:srcRect/>
                    <a:stretch>
                      <a:fillRect/>
                    </a:stretch>
                  </pic:blipFill>
                  <pic:spPr bwMode="auto">
                    <a:xfrm>
                      <a:off x="0" y="0"/>
                      <a:ext cx="162560" cy="8890"/>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-856615</wp:posOffset>
            </wp:positionV>
            <wp:extent cx="162560" cy="8255"/>
            <wp:wrapNone/>
            <wp:docPr id="233" name="Picture 2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3"/>
                    <pic:cNvPicPr>
                      <a:picLocks noChangeAspect="1" noChangeArrowheads="1"/>
                    </pic:cNvPicPr>
                  </pic:nvPicPr>
                  <pic:blipFill>
                    <a:blip r:embed="rId240">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-873760</wp:posOffset>
            </wp:positionV>
            <wp:extent cx="68580" cy="8890"/>
            <wp:wrapNone/>
            <wp:docPr id="234" name="Picture 2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4"/>
                    <pic:cNvPicPr>
                      <a:picLocks noChangeAspect="1" noChangeArrowheads="1"/>
                    </pic:cNvPicPr>
                  </pic:nvPicPr>
                  <pic:blipFill>
                    <a:blip r:embed="rId241">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-856615</wp:posOffset>
            </wp:positionV>
            <wp:extent cx="68580" cy="8255"/>
            <wp:wrapNone/>
            <wp:docPr id="235" name="Picture 2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5"/>
                    <pic:cNvPicPr>
                      <a:picLocks noChangeAspect="1" noChangeArrowheads="1"/>
                    </pic:cNvPicPr>
                  </pic:nvPicPr>
                  <pic:blipFill>
                    <a:blip r:embed="rId24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-24765</wp:posOffset>
            </wp:positionV>
            <wp:extent cx="180340" cy="8255"/>
            <wp:wrapNone/>
            <wp:docPr id="236" name="Picture 2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6"/>
                    <pic:cNvPicPr>
                      <a:picLocks noChangeAspect="1" noChangeArrowheads="1"/>
                    </pic:cNvPicPr>
                  </pic:nvPicPr>
                  <pic:blipFill>
                    <a:blip r:embed="rId243">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3931285</wp:posOffset>
            </wp:positionH>
            <wp:positionV relativeFrom="paragraph">
              <wp:posOffset>-7620</wp:posOffset>
            </wp:positionV>
            <wp:extent cx="180340" cy="8255"/>
            <wp:wrapNone/>
            <wp:docPr id="237" name="Picture 2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7"/>
                    <pic:cNvPicPr>
                      <a:picLocks noChangeAspect="1" noChangeArrowheads="1"/>
                    </pic:cNvPicPr>
                  </pic:nvPicPr>
                  <pic:blipFill>
                    <a:blip r:embed="rId244">
                      <a:extLst>
                        <a:ext uri="{28A0092B-C50C-407E-A947-70E740481C1C}"/>
                      </a:extLst>
                    </a:blip>
                    <a:srcRect/>
                    <a:stretch>
                      <a:fillRect/>
                    </a:stretch>
                  </pic:blipFill>
                  <pic:spPr bwMode="auto">
                    <a:xfrm>
                      <a:off x="0" y="0"/>
                      <a:ext cx="18034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-24765</wp:posOffset>
            </wp:positionV>
            <wp:extent cx="162560" cy="8255"/>
            <wp:wrapNone/>
            <wp:docPr id="238" name="Picture 2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8"/>
                    <pic:cNvPicPr>
                      <a:picLocks noChangeAspect="1" noChangeArrowheads="1"/>
                    </pic:cNvPicPr>
                  </pic:nvPicPr>
                  <pic:blipFill>
                    <a:blip r:embed="rId245">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4994275</wp:posOffset>
            </wp:positionH>
            <wp:positionV relativeFrom="paragraph">
              <wp:posOffset>-7620</wp:posOffset>
            </wp:positionV>
            <wp:extent cx="162560" cy="8255"/>
            <wp:wrapNone/>
            <wp:docPr id="239" name="Picture 2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39"/>
                    <pic:cNvPicPr>
                      <a:picLocks noChangeAspect="1" noChangeArrowheads="1"/>
                    </pic:cNvPicPr>
                  </pic:nvPicPr>
                  <pic:blipFill>
                    <a:blip r:embed="rId24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-24765</wp:posOffset>
            </wp:positionV>
            <wp:extent cx="162560" cy="8255"/>
            <wp:wrapNone/>
            <wp:docPr id="240" name="Picture 2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0"/>
                    <pic:cNvPicPr>
                      <a:picLocks noChangeAspect="1" noChangeArrowheads="1"/>
                    </pic:cNvPicPr>
                  </pic:nvPicPr>
                  <pic:blipFill>
                    <a:blip r:embed="rId24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6031230</wp:posOffset>
            </wp:positionH>
            <wp:positionV relativeFrom="paragraph">
              <wp:posOffset>-7620</wp:posOffset>
            </wp:positionV>
            <wp:extent cx="162560" cy="8255"/>
            <wp:wrapNone/>
            <wp:docPr id="241" name="Picture 2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1"/>
                    <pic:cNvPicPr>
                      <a:picLocks noChangeAspect="1" noChangeArrowheads="1"/>
                    </pic:cNvPicPr>
                  </pic:nvPicPr>
                  <pic:blipFill>
                    <a:blip r:embed="rId248">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-24765</wp:posOffset>
            </wp:positionV>
            <wp:extent cx="68580" cy="8255"/>
            <wp:wrapNone/>
            <wp:docPr id="242" name="Picture 2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2"/>
                    <pic:cNvPicPr>
                      <a:picLocks noChangeAspect="1" noChangeArrowheads="1"/>
                    </pic:cNvPicPr>
                  </pic:nvPicPr>
                  <pic:blipFill>
                    <a:blip r:embed="rId249">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43" name="Picture 2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3"/>
                    <pic:cNvPicPr>
                      <a:picLocks noChangeAspect="1" noChangeArrowheads="1"/>
                    </pic:cNvPicPr>
                  </pic:nvPicPr>
                  <pic:blipFill>
                    <a:blip r:embed="rId250">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0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Certain outstanding options to purchase approximately 627,000 and 681,000 shares of common stock were excluded in the computation of diluted earnings per share as of September 30, 2021 and 2020, respectively, as such stock options would have been antidilutive. Certain outstanding RSUs to convert to 565,000 and 162,000 shares of common stock were also excluded in the computation of diluted earnings per share as of September 30, 2021 and 2020, respectively, as such RSUs would have been antidilutive.</w:t>
      </w:r>
    </w:p>
    <w:p>
      <w:pPr>
        <w:spacing w:after="0" w:line="195" w:lineRule="exact"/>
        <w:rPr>
          <w:sz w:val="20"/>
          <w:szCs w:val="20"/>
          <w:color w:val="auto"/>
        </w:rPr>
      </w:pPr>
    </w:p>
    <w:tbl>
      <w:tblPr>
        <w:tblLayout w:type="fixed"/>
        <w:tblInd w:w="0" w:type="dxa"/>
        <w:tblCellMar>
          <w:top w:w="0" w:type="dxa"/>
          <w:left w:w="0" w:type="dxa"/>
          <w:bottom w:w="0" w:type="dxa"/>
          <w:right w:w="0" w:type="dxa"/>
        </w:tblCellMar>
      </w:tblPr>
      <w:tr>
        <w:trPr>
          <w:trHeight w:val="234"/>
        </w:trPr>
        <w:tc>
          <w:tcPr>
            <w:tcW w:w="420" w:type="dxa"/>
            <w:vAlign w:val="bottom"/>
          </w:tcPr>
          <w:p>
            <w:pPr>
              <w:spacing w:after="0"/>
              <w:rPr>
                <w:sz w:val="20"/>
                <w:szCs w:val="20"/>
                <w:color w:val="auto"/>
              </w:rPr>
            </w:pPr>
            <w:r>
              <w:rPr>
                <w:rFonts w:ascii="Arial" w:cs="Arial" w:eastAsia="Arial" w:hAnsi="Arial"/>
                <w:sz w:val="18"/>
                <w:szCs w:val="18"/>
                <w:b w:val="1"/>
                <w:bCs w:val="1"/>
                <w:color w:val="auto"/>
              </w:rPr>
              <w:t>(11)</w:t>
            </w:r>
          </w:p>
        </w:tc>
        <w:tc>
          <w:tcPr>
            <w:tcW w:w="7640" w:type="dxa"/>
            <w:vAlign w:val="bottom"/>
          </w:tcPr>
          <w:p>
            <w:pPr>
              <w:ind w:left="60"/>
              <w:spacing w:after="0"/>
              <w:rPr>
                <w:sz w:val="20"/>
                <w:szCs w:val="20"/>
                <w:color w:val="auto"/>
              </w:rPr>
            </w:pPr>
            <w:r>
              <w:rPr>
                <w:rFonts w:ascii="Arial" w:cs="Arial" w:eastAsia="Arial" w:hAnsi="Arial"/>
                <w:sz w:val="18"/>
                <w:szCs w:val="18"/>
                <w:b w:val="1"/>
                <w:bCs w:val="1"/>
                <w:color w:val="auto"/>
              </w:rPr>
              <w:t>Inventories</w:t>
            </w:r>
          </w:p>
        </w:tc>
        <w:tc>
          <w:tcPr>
            <w:tcW w:w="200" w:type="dxa"/>
            <w:vAlign w:val="bottom"/>
          </w:tcPr>
          <w:p>
            <w:pPr>
              <w:spacing w:after="0"/>
              <w:rPr>
                <w:sz w:val="20"/>
                <w:szCs w:val="20"/>
                <w:color w:val="auto"/>
              </w:rPr>
            </w:pPr>
          </w:p>
        </w:tc>
        <w:tc>
          <w:tcPr>
            <w:tcW w:w="1220" w:type="dxa"/>
            <w:vAlign w:val="bottom"/>
          </w:tcPr>
          <w:p>
            <w:pPr>
              <w:spacing w:after="0"/>
              <w:rPr>
                <w:sz w:val="20"/>
                <w:szCs w:val="20"/>
                <w:color w:val="auto"/>
              </w:rPr>
            </w:pPr>
          </w:p>
        </w:tc>
        <w:tc>
          <w:tcPr>
            <w:tcW w:w="260" w:type="dxa"/>
            <w:vAlign w:val="bottom"/>
          </w:tcPr>
          <w:p>
            <w:pPr>
              <w:spacing w:after="0"/>
              <w:rPr>
                <w:sz w:val="20"/>
                <w:szCs w:val="20"/>
                <w:color w:val="auto"/>
              </w:rPr>
            </w:pPr>
          </w:p>
        </w:tc>
        <w:tc>
          <w:tcPr>
            <w:tcW w:w="200" w:type="dxa"/>
            <w:vAlign w:val="bottom"/>
          </w:tcPr>
          <w:p>
            <w:pPr>
              <w:spacing w:after="0"/>
              <w:rPr>
                <w:sz w:val="20"/>
                <w:szCs w:val="20"/>
                <w:color w:val="auto"/>
              </w:rPr>
            </w:pPr>
          </w:p>
        </w:tc>
        <w:tc>
          <w:tcPr>
            <w:tcW w:w="1200" w:type="dxa"/>
            <w:vAlign w:val="bottom"/>
          </w:tcPr>
          <w:p>
            <w:pPr>
              <w:spacing w:after="0"/>
              <w:rPr>
                <w:sz w:val="20"/>
                <w:szCs w:val="20"/>
                <w:color w:val="auto"/>
              </w:rPr>
            </w:pPr>
          </w:p>
        </w:tc>
        <w:tc>
          <w:tcPr>
            <w:tcW w:w="100" w:type="dxa"/>
            <w:vAlign w:val="bottom"/>
          </w:tcPr>
          <w:p>
            <w:pPr>
              <w:spacing w:after="0"/>
              <w:rPr>
                <w:sz w:val="20"/>
                <w:szCs w:val="20"/>
                <w:color w:val="auto"/>
              </w:rPr>
            </w:pPr>
          </w:p>
        </w:tc>
      </w:tr>
      <w:tr>
        <w:trPr>
          <w:trHeight w:val="459"/>
        </w:trPr>
        <w:tc>
          <w:tcPr>
            <w:tcW w:w="420" w:type="dxa"/>
            <w:vAlign w:val="bottom"/>
          </w:tcPr>
          <w:p>
            <w:pPr>
              <w:spacing w:after="0"/>
              <w:rPr>
                <w:sz w:val="24"/>
                <w:szCs w:val="24"/>
                <w:color w:val="auto"/>
              </w:rPr>
            </w:pPr>
          </w:p>
        </w:tc>
        <w:tc>
          <w:tcPr>
            <w:tcW w:w="7640" w:type="dxa"/>
            <w:vAlign w:val="bottom"/>
          </w:tcPr>
          <w:p>
            <w:pPr>
              <w:ind w:left="140"/>
              <w:spacing w:after="0"/>
              <w:rPr>
                <w:sz w:val="20"/>
                <w:szCs w:val="20"/>
                <w:color w:val="auto"/>
              </w:rPr>
            </w:pPr>
            <w:r>
              <w:rPr>
                <w:rFonts w:ascii="Arial" w:cs="Arial" w:eastAsia="Arial" w:hAnsi="Arial"/>
                <w:sz w:val="18"/>
                <w:szCs w:val="18"/>
                <w:color w:val="auto"/>
              </w:rPr>
              <w:t>The following table presents the details of inventories – net (in thousands):</w:t>
            </w:r>
          </w:p>
        </w:tc>
        <w:tc>
          <w:tcPr>
            <w:tcW w:w="200" w:type="dxa"/>
            <w:vAlign w:val="bottom"/>
          </w:tcPr>
          <w:p>
            <w:pPr>
              <w:spacing w:after="0"/>
              <w:rPr>
                <w:sz w:val="24"/>
                <w:szCs w:val="24"/>
                <w:color w:val="auto"/>
              </w:rPr>
            </w:pPr>
          </w:p>
        </w:tc>
        <w:tc>
          <w:tcPr>
            <w:tcW w:w="1220" w:type="dxa"/>
            <w:vAlign w:val="bottom"/>
          </w:tcPr>
          <w:p>
            <w:pPr>
              <w:spacing w:after="0"/>
              <w:rPr>
                <w:sz w:val="24"/>
                <w:szCs w:val="24"/>
                <w:color w:val="auto"/>
              </w:rPr>
            </w:pP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409"/>
        </w:trPr>
        <w:tc>
          <w:tcPr>
            <w:tcW w:w="420" w:type="dxa"/>
            <w:vAlign w:val="bottom"/>
          </w:tcPr>
          <w:p>
            <w:pPr>
              <w:spacing w:after="0"/>
              <w:rPr>
                <w:sz w:val="24"/>
                <w:szCs w:val="24"/>
                <w:color w:val="auto"/>
              </w:rPr>
            </w:pPr>
          </w:p>
        </w:tc>
        <w:tc>
          <w:tcPr>
            <w:tcW w:w="764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20" w:type="dxa"/>
            <w:vAlign w:val="bottom"/>
          </w:tcPr>
          <w:p>
            <w:pPr>
              <w:jc w:val="right"/>
              <w:ind w:right="177"/>
              <w:spacing w:after="0"/>
              <w:rPr>
                <w:sz w:val="20"/>
                <w:szCs w:val="20"/>
                <w:color w:val="auto"/>
              </w:rPr>
            </w:pPr>
            <w:r>
              <w:rPr>
                <w:rFonts w:ascii="Arial" w:cs="Arial" w:eastAsia="Arial" w:hAnsi="Arial"/>
                <w:sz w:val="14"/>
                <w:szCs w:val="14"/>
                <w:b w:val="1"/>
                <w:bCs w:val="1"/>
                <w:color w:val="auto"/>
                <w:w w:val="98"/>
              </w:rPr>
              <w:t>September 30,</w:t>
            </w:r>
          </w:p>
        </w:tc>
        <w:tc>
          <w:tcPr>
            <w:tcW w:w="26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200" w:type="dxa"/>
            <w:vAlign w:val="bottom"/>
          </w:tcPr>
          <w:p>
            <w:pPr>
              <w:jc w:val="right"/>
              <w:ind w:right="197"/>
              <w:spacing w:after="0"/>
              <w:rPr>
                <w:sz w:val="20"/>
                <w:szCs w:val="20"/>
                <w:color w:val="auto"/>
              </w:rPr>
            </w:pPr>
            <w:r>
              <w:rPr>
                <w:rFonts w:ascii="Arial" w:cs="Arial" w:eastAsia="Arial" w:hAnsi="Arial"/>
                <w:sz w:val="14"/>
                <w:szCs w:val="14"/>
                <w:b w:val="1"/>
                <w:bCs w:val="1"/>
                <w:color w:val="auto"/>
                <w:w w:val="98"/>
              </w:rPr>
              <w:t>December 31,</w:t>
            </w:r>
          </w:p>
        </w:tc>
        <w:tc>
          <w:tcPr>
            <w:tcW w:w="100" w:type="dxa"/>
            <w:vAlign w:val="bottom"/>
          </w:tcPr>
          <w:p>
            <w:pPr>
              <w:spacing w:after="0"/>
              <w:rPr>
                <w:sz w:val="24"/>
                <w:szCs w:val="24"/>
                <w:color w:val="auto"/>
              </w:rPr>
            </w:pPr>
          </w:p>
        </w:tc>
      </w:tr>
      <w:tr>
        <w:trPr>
          <w:trHeight w:val="192"/>
        </w:trPr>
        <w:tc>
          <w:tcPr>
            <w:tcW w:w="420" w:type="dxa"/>
            <w:vAlign w:val="bottom"/>
          </w:tcPr>
          <w:p>
            <w:pPr>
              <w:spacing w:after="0"/>
              <w:rPr>
                <w:sz w:val="16"/>
                <w:szCs w:val="16"/>
                <w:color w:val="auto"/>
              </w:rPr>
            </w:pPr>
          </w:p>
        </w:tc>
        <w:tc>
          <w:tcPr>
            <w:tcW w:w="764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806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Finished goods</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253,963</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255,491</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gridSpan w:val="2"/>
          </w:tcPr>
          <w:p>
            <w:pPr>
              <w:ind w:left="20"/>
              <w:spacing w:after="0"/>
              <w:rPr>
                <w:sz w:val="20"/>
                <w:szCs w:val="20"/>
                <w:color w:val="auto"/>
              </w:rPr>
            </w:pPr>
            <w:r>
              <w:rPr>
                <w:rFonts w:ascii="Arial" w:cs="Arial" w:eastAsia="Arial" w:hAnsi="Arial"/>
                <w:sz w:val="18"/>
                <w:szCs w:val="18"/>
                <w:color w:val="auto"/>
              </w:rPr>
              <w:t>Work in process</w:t>
            </w:r>
          </w:p>
        </w:tc>
        <w:tc>
          <w:tcPr>
            <w:tcW w:w="200" w:type="dxa"/>
            <w:vAlign w:val="bottom"/>
            <w:tcBorders>
              <w:bottom w:val="single" w:sz="8" w:color="auto"/>
            </w:tcBorders>
          </w:tcPr>
          <w:p>
            <w:pPr>
              <w:spacing w:after="0"/>
              <w:rPr>
                <w:sz w:val="21"/>
                <w:szCs w:val="21"/>
                <w:color w:val="auto"/>
              </w:rPr>
            </w:pPr>
          </w:p>
        </w:tc>
        <w:tc>
          <w:tcPr>
            <w:tcW w:w="12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54,857</w:t>
            </w:r>
          </w:p>
        </w:tc>
        <w:tc>
          <w:tcPr>
            <w:tcW w:w="2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54,184</w:t>
            </w:r>
          </w:p>
        </w:tc>
        <w:tc>
          <w:tcPr>
            <w:tcW w:w="100" w:type="dxa"/>
            <w:vAlign w:val="bottom"/>
          </w:tcPr>
          <w:p>
            <w:pPr>
              <w:spacing w:after="0"/>
              <w:rPr>
                <w:sz w:val="21"/>
                <w:szCs w:val="21"/>
                <w:color w:val="auto"/>
              </w:rPr>
            </w:pPr>
          </w:p>
        </w:tc>
      </w:tr>
      <w:tr>
        <w:trPr>
          <w:trHeight w:val="290"/>
        </w:trPr>
        <w:tc>
          <w:tcPr>
            <w:tcW w:w="420" w:type="dxa"/>
            <w:vAlign w:val="bottom"/>
            <w:shd w:val="clear" w:color="auto" w:fill="CFF0FC"/>
          </w:tcPr>
          <w:p>
            <w:pPr>
              <w:spacing w:after="0"/>
              <w:rPr>
                <w:sz w:val="24"/>
                <w:szCs w:val="24"/>
                <w:color w:val="auto"/>
              </w:rPr>
            </w:pPr>
          </w:p>
        </w:tc>
        <w:tc>
          <w:tcPr>
            <w:tcW w:w="7640" w:type="dxa"/>
            <w:vAlign w:val="bottom"/>
            <w:shd w:val="clear" w:color="auto" w:fill="CFF0FC"/>
          </w:tcPr>
          <w:p>
            <w:pPr>
              <w:spacing w:after="0"/>
              <w:rPr>
                <w:sz w:val="24"/>
                <w:szCs w:val="24"/>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308,820</w:t>
            </w:r>
          </w:p>
        </w:tc>
        <w:tc>
          <w:tcPr>
            <w:tcW w:w="460" w:type="dxa"/>
            <w:vAlign w:val="bottom"/>
            <w:gridSpan w:val="2"/>
            <w:shd w:val="clear" w:color="auto" w:fill="CFF0FC"/>
          </w:tcPr>
          <w:p>
            <w:pPr>
              <w:jc w:val="right"/>
              <w:ind w:right="10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309,675</w:t>
            </w:r>
          </w:p>
        </w:tc>
        <w:tc>
          <w:tcPr>
            <w:tcW w:w="100" w:type="dxa"/>
            <w:vAlign w:val="bottom"/>
            <w:shd w:val="clear" w:color="auto" w:fill="CFF0FC"/>
          </w:tcPr>
          <w:p>
            <w:pPr>
              <w:spacing w:after="0"/>
              <w:rPr>
                <w:sz w:val="24"/>
                <w:szCs w:val="24"/>
                <w:color w:val="auto"/>
              </w:rPr>
            </w:pPr>
          </w:p>
        </w:tc>
      </w:tr>
      <w:tr>
        <w:trPr>
          <w:trHeight w:val="446"/>
        </w:trPr>
        <w:tc>
          <w:tcPr>
            <w:tcW w:w="420" w:type="dxa"/>
            <w:vAlign w:val="bottom"/>
            <w:tcBorders>
              <w:top w:val="single" w:sz="8" w:color="CFF0FC"/>
            </w:tcBorders>
          </w:tcPr>
          <w:p>
            <w:pPr>
              <w:jc w:val="right"/>
              <w:spacing w:after="0"/>
              <w:rPr>
                <w:sz w:val="20"/>
                <w:szCs w:val="20"/>
                <w:color w:val="auto"/>
              </w:rPr>
            </w:pPr>
            <w:r>
              <w:rPr>
                <w:rFonts w:ascii="Arial" w:cs="Arial" w:eastAsia="Arial" w:hAnsi="Arial"/>
                <w:sz w:val="18"/>
                <w:szCs w:val="18"/>
                <w:b w:val="1"/>
                <w:bCs w:val="1"/>
                <w:color w:val="auto"/>
              </w:rPr>
              <w:t>(12)</w:t>
            </w:r>
          </w:p>
        </w:tc>
        <w:tc>
          <w:tcPr>
            <w:tcW w:w="7640" w:type="dxa"/>
            <w:vAlign w:val="bottom"/>
            <w:tcBorders>
              <w:top w:val="single" w:sz="8" w:color="CFF0FC"/>
            </w:tcBorders>
          </w:tcPr>
          <w:p>
            <w:pPr>
              <w:ind w:left="120"/>
              <w:spacing w:after="0"/>
              <w:rPr>
                <w:sz w:val="20"/>
                <w:szCs w:val="20"/>
                <w:color w:val="auto"/>
              </w:rPr>
            </w:pPr>
            <w:r>
              <w:rPr>
                <w:rFonts w:ascii="Arial" w:cs="Arial" w:eastAsia="Arial" w:hAnsi="Arial"/>
                <w:sz w:val="18"/>
                <w:szCs w:val="18"/>
                <w:b w:val="1"/>
                <w:bCs w:val="1"/>
                <w:color w:val="auto"/>
              </w:rPr>
              <w:t>Retirement Plans</w:t>
            </w:r>
          </w:p>
        </w:tc>
        <w:tc>
          <w:tcPr>
            <w:tcW w:w="200" w:type="dxa"/>
            <w:vAlign w:val="bottom"/>
            <w:tcBorders>
              <w:top w:val="single" w:sz="8" w:color="auto"/>
            </w:tcBorders>
          </w:tcPr>
          <w:p>
            <w:pPr>
              <w:spacing w:after="0"/>
              <w:rPr>
                <w:sz w:val="24"/>
                <w:szCs w:val="24"/>
                <w:color w:val="auto"/>
              </w:rPr>
            </w:pPr>
          </w:p>
        </w:tc>
        <w:tc>
          <w:tcPr>
            <w:tcW w:w="122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00" w:type="dxa"/>
            <w:vAlign w:val="bottom"/>
            <w:tcBorders>
              <w:top w:val="single" w:sz="8" w:color="auto"/>
            </w:tcBorders>
          </w:tcPr>
          <w:p>
            <w:pPr>
              <w:spacing w:after="0"/>
              <w:rPr>
                <w:sz w:val="24"/>
                <w:szCs w:val="24"/>
                <w:color w:val="auto"/>
              </w:rPr>
            </w:pPr>
          </w:p>
        </w:tc>
        <w:tc>
          <w:tcPr>
            <w:tcW w:w="120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-316865</wp:posOffset>
            </wp:positionV>
            <wp:extent cx="163195" cy="8890"/>
            <wp:wrapNone/>
            <wp:docPr id="244" name="Picture 2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4"/>
                    <pic:cNvPicPr>
                      <a:picLocks noChangeAspect="1" noChangeArrowheads="1"/>
                    </pic:cNvPicPr>
                  </pic:nvPicPr>
                  <pic:blipFill>
                    <a:blip r:embed="rId251">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-299720</wp:posOffset>
            </wp:positionV>
            <wp:extent cx="163195" cy="8890"/>
            <wp:wrapNone/>
            <wp:docPr id="245" name="Picture 2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5"/>
                    <pic:cNvPicPr>
                      <a:picLocks noChangeAspect="1" noChangeArrowheads="1"/>
                    </pic:cNvPicPr>
                  </pic:nvPicPr>
                  <pic:blipFill>
                    <a:blip r:embed="rId252">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-316865</wp:posOffset>
            </wp:positionV>
            <wp:extent cx="68580" cy="8890"/>
            <wp:wrapNone/>
            <wp:docPr id="246" name="Picture 2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6"/>
                    <pic:cNvPicPr>
                      <a:picLocks noChangeAspect="1" noChangeArrowheads="1"/>
                    </pic:cNvPicPr>
                  </pic:nvPicPr>
                  <pic:blipFill>
                    <a:blip r:embed="rId25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-299720</wp:posOffset>
            </wp:positionV>
            <wp:extent cx="68580" cy="8890"/>
            <wp:wrapNone/>
            <wp:docPr id="247" name="Picture 2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7"/>
                    <pic:cNvPicPr>
                      <a:picLocks noChangeAspect="1" noChangeArrowheads="1"/>
                    </pic:cNvPicPr>
                  </pic:nvPicPr>
                  <pic:blipFill>
                    <a:blip r:embed="rId254">
                      <a:extLst>
                        <a:ext uri="{28A0092B-C50C-407E-A947-70E740481C1C}"/>
                      </a:extLst>
                    </a:blip>
                    <a:srcRect/>
                    <a:stretch>
                      <a:fillRect/>
                    </a:stretch>
                  </pic:blipFill>
                  <pic:spPr bwMode="auto">
                    <a:xfrm>
                      <a:off x="0" y="0"/>
                      <a:ext cx="68580" cy="8890"/>
                    </a:xfrm>
                    <a:prstGeom prst="rect">
                      <a:avLst/>
                    </a:prstGeom>
                    <a:noFill/>
                  </pic:spPr>
                </pic:pic>
              </a:graphicData>
            </a:graphic>
          </wp:anchor>
        </w:drawing>
      </w:r>
    </w:p>
    <w:p>
      <w:pPr>
        <w:spacing w:after="0" w:line="209"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Company sponsors a defined benefit plan for certain of its inland vessel personnel and shore based tankermen. The plan benefits are based on an employee’s years of service and compensation. The plan assets consist primarily of equity and fixed income securities.</w:t>
      </w:r>
    </w:p>
    <w:p>
      <w:pPr>
        <w:spacing w:after="0" w:line="183"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On April 12, 2017, the Company amended its pension plan to cease all benefit accruals for periods after May 31, 2017 for certain participants. Participants grandfathered and not impacted were those, as of the close of business on May 31, 2017, who either (a) had completed 15 years of pension service or (b) had attained age 50 and completed 10 years of pension service. Participants non-grandfathered are eligible to receive discretionary 401(k) plan contributions.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48" name="Picture 2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8"/>
                    <pic:cNvPicPr>
                      <a:picLocks noChangeAspect="1" noChangeArrowheads="1"/>
                    </pic:cNvPicPr>
                  </pic:nvPicPr>
                  <pic:blipFill>
                    <a:blip r:embed="rId25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4" w:name="page15"/>
    <w:bookmarkEnd w:id="14"/>
    <w:p>
      <w:pPr>
        <w:jc w:val="both"/>
        <w:ind w:firstLine="569"/>
        <w:spacing w:after="0" w:line="272" w:lineRule="auto"/>
        <w:rPr>
          <w:sz w:val="20"/>
          <w:szCs w:val="20"/>
          <w:color w:val="auto"/>
        </w:rPr>
      </w:pPr>
      <w:r>
        <w:rPr>
          <w:rFonts w:ascii="Arial" w:cs="Arial" w:eastAsia="Arial" w:hAnsi="Arial"/>
          <w:sz w:val="18"/>
          <w:szCs w:val="18"/>
          <w:color w:val="auto"/>
        </w:rPr>
        <w:t>The Company’s pension plan funding strategy is to make annual contributions in amounts equal to or greater than amounts necessary to meet minimum government funding requirements. The plan’s benefit obligations are based on a variety of demographic and economic assumptions, and the pension plan assets’ returns are subject to various risks, including market and interest rate risk, making an accurate prediction of the pension plan contribution difficult. Based on current pension plan assets and market conditions, the Company does not expect to make a contribution to the Kirby pension plan during 2021.</w:t>
      </w:r>
    </w:p>
    <w:p>
      <w:pPr>
        <w:spacing w:after="0" w:line="204" w:lineRule="exact"/>
        <w:rPr>
          <w:sz w:val="20"/>
          <w:szCs w:val="20"/>
          <w:color w:val="auto"/>
        </w:rPr>
      </w:pPr>
    </w:p>
    <w:p>
      <w:pPr>
        <w:jc w:val="both"/>
        <w:ind w:firstLine="562"/>
        <w:spacing w:after="0" w:line="319" w:lineRule="auto"/>
        <w:rPr>
          <w:sz w:val="20"/>
          <w:szCs w:val="20"/>
          <w:color w:val="auto"/>
        </w:rPr>
      </w:pPr>
      <w:r>
        <w:rPr>
          <w:rFonts w:ascii="Arial" w:cs="Arial" w:eastAsia="Arial" w:hAnsi="Arial"/>
          <w:sz w:val="16"/>
          <w:szCs w:val="16"/>
          <w:color w:val="auto"/>
        </w:rPr>
        <w:t>On February 14, 2018, with the acquisition of Higman Marine, Inc. and its affiliated companies (“Higman”), the Company assumed Higman’s pension plan for its inland vessel personnel and office staff. On March 27, 2018, the Company amended the Higman pension plan to close it to all new entrants and cease all benefit accruals for periods after May 15, 2018 for all participants. The Company made a contribution of $479,000 to the Higman pension plan during the nine months ended September 30, 2021. The Company does not expect to make any additional contributions during 2021.</w:t>
      </w:r>
    </w:p>
    <w:p>
      <w:pPr>
        <w:spacing w:after="0" w:line="169"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The Company sponsors an unfunded defined benefit health care plan that provides limited postretirement medical benefits to employees who meet minimum age and service requirements, and to eligible dependents. The plan limits cost increases in the Company’s contribution to 4% per year. The plan is contributory, with retiree contributions adjusted annually. The plan eliminated coverage for future retirees as of December 31, 2011. The Company also has an unfunded defined benefit supplemental executive retirement plan (“SERP”) that was assumed in an acquisition in 1999. That plan ceased to accrue additional benefits effective January 1, 2000.</w:t>
      </w:r>
    </w:p>
    <w:p>
      <w:pPr>
        <w:spacing w:after="0" w:line="204"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defined benefit plans were as follows (in thousands):</w:t>
      </w:r>
    </w:p>
    <w:p>
      <w:pPr>
        <w:spacing w:after="0" w:line="257" w:lineRule="exact"/>
        <w:rPr>
          <w:sz w:val="20"/>
          <w:szCs w:val="20"/>
          <w:color w:val="auto"/>
        </w:rPr>
      </w:pPr>
    </w:p>
    <w:p>
      <w:pPr>
        <w:ind w:left="7460"/>
        <w:spacing w:after="0"/>
        <w:rPr>
          <w:sz w:val="20"/>
          <w:szCs w:val="20"/>
          <w:color w:val="auto"/>
        </w:rPr>
      </w:pPr>
      <w:r>
        <w:rPr>
          <w:rFonts w:ascii="Arial" w:cs="Arial" w:eastAsia="Arial" w:hAnsi="Arial"/>
          <w:sz w:val="14"/>
          <w:szCs w:val="14"/>
          <w:b w:val="1"/>
          <w:bCs w:val="1"/>
          <w:color w:val="auto"/>
        </w:rPr>
        <w:t>Pension Benefits</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23495</wp:posOffset>
            </wp:positionV>
            <wp:extent cx="4011930" cy="8255"/>
            <wp:wrapNone/>
            <wp:docPr id="249" name="Picture 2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49"/>
                    <pic:cNvPicPr>
                      <a:picLocks noChangeAspect="1" noChangeArrowheads="1"/>
                    </pic:cNvPicPr>
                  </pic:nvPicPr>
                  <pic:blipFill>
                    <a:blip r:embed="rId256">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pacing w:after="0" w:line="35" w:lineRule="exact"/>
        <w:rPr>
          <w:sz w:val="20"/>
          <w:szCs w:val="20"/>
          <w:color w:val="auto"/>
        </w:rPr>
      </w:pPr>
    </w:p>
    <w:p>
      <w:pPr>
        <w:ind w:left="5920"/>
        <w:spacing w:after="0"/>
        <w:tabs>
          <w:tab w:leader="none" w:pos="9440" w:val="left"/>
        </w:tabs>
        <w:rPr>
          <w:sz w:val="20"/>
          <w:szCs w:val="20"/>
          <w:color w:val="auto"/>
        </w:rPr>
      </w:pPr>
      <w:r>
        <w:rPr>
          <w:rFonts w:ascii="Arial" w:cs="Arial" w:eastAsia="Arial" w:hAnsi="Arial"/>
          <w:sz w:val="14"/>
          <w:szCs w:val="14"/>
          <w:b w:val="1"/>
          <w:bCs w:val="1"/>
          <w:color w:val="auto"/>
        </w:rPr>
        <w:t>Pension Plans</w:t>
      </w:r>
      <w:r>
        <w:rPr>
          <w:sz w:val="20"/>
          <w:szCs w:val="20"/>
          <w:color w:val="auto"/>
        </w:rPr>
        <w:tab/>
      </w:r>
      <w:r>
        <w:rPr>
          <w:rFonts w:ascii="Arial" w:cs="Arial" w:eastAsia="Arial" w:hAnsi="Arial"/>
          <w:sz w:val="13"/>
          <w:szCs w:val="13"/>
          <w:b w:val="1"/>
          <w:bCs w:val="1"/>
          <w:color w:val="auto"/>
        </w:rPr>
        <w:t>SERP</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23495</wp:posOffset>
            </wp:positionV>
            <wp:extent cx="4011930" cy="8255"/>
            <wp:wrapNone/>
            <wp:docPr id="250" name="Picture 2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0"/>
                    <pic:cNvPicPr>
                      <a:picLocks noChangeAspect="1" noChangeArrowheads="1"/>
                    </pic:cNvPicPr>
                  </pic:nvPicPr>
                  <pic:blipFill>
                    <a:blip r:embed="rId257">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p>
      <w:pPr>
        <w:spacing w:after="0" w:line="55" w:lineRule="exact"/>
        <w:rPr>
          <w:sz w:val="20"/>
          <w:szCs w:val="20"/>
          <w:color w:val="auto"/>
        </w:rPr>
      </w:pPr>
    </w:p>
    <w:p>
      <w:pPr>
        <w:jc w:val="center"/>
        <w:ind w:left="490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31115</wp:posOffset>
            </wp:positionV>
            <wp:extent cx="1954530" cy="8890"/>
            <wp:wrapNone/>
            <wp:docPr id="251" name="Picture 2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1"/>
                    <pic:cNvPicPr>
                      <a:picLocks noChangeAspect="1" noChangeArrowheads="1"/>
                    </pic:cNvPicPr>
                  </pic:nvPicPr>
                  <pic:blipFill>
                    <a:blip r:embed="rId258">
                      <a:extLst>
                        <a:ext uri="{28A0092B-C50C-407E-A947-70E740481C1C}"/>
                      </a:extLst>
                    </a:blip>
                    <a:srcRect/>
                    <a:stretch>
                      <a:fillRect/>
                    </a:stretch>
                  </pic:blipFill>
                  <pic:spPr bwMode="auto">
                    <a:xfrm>
                      <a:off x="0" y="0"/>
                      <a:ext cx="1954530" cy="8890"/>
                    </a:xfrm>
                    <a:prstGeom prst="rect">
                      <a:avLst/>
                    </a:prstGeom>
                    <a:noFill/>
                  </pic:spPr>
                </pic:pic>
              </a:graphicData>
            </a:graphic>
          </wp:anchor>
        </w:drawing>
      </w:r>
    </w:p>
    <w:p>
      <w:pPr>
        <w:spacing w:after="0" w:line="47" w:lineRule="exact"/>
        <w:rPr>
          <w:sz w:val="20"/>
          <w:szCs w:val="20"/>
          <w:color w:val="auto"/>
        </w:rPr>
      </w:pPr>
    </w:p>
    <w:p>
      <w:pPr>
        <w:ind w:left="5380"/>
        <w:spacing w:after="0"/>
        <w:tabs>
          <w:tab w:leader="none" w:pos="70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35" w:lineRule="exact"/>
        <w:rPr>
          <w:sz w:val="20"/>
          <w:szCs w:val="20"/>
          <w:color w:val="auto"/>
        </w:rPr>
      </w:pPr>
    </w:p>
    <w:p>
      <w:pPr>
        <w:jc w:val="center"/>
        <w:ind w:right="480"/>
        <w:spacing w:after="0"/>
        <w:rPr>
          <w:sz w:val="20"/>
          <w:szCs w:val="20"/>
          <w:color w:val="auto"/>
        </w:rPr>
      </w:pPr>
      <w:r>
        <w:rPr>
          <w:rFonts w:ascii="Arial" w:cs="Arial" w:eastAsia="Arial" w:hAnsi="Arial"/>
          <w:sz w:val="13"/>
          <w:szCs w:val="13"/>
          <w:b w:val="1"/>
          <w:bCs w:val="1"/>
          <w:color w:val="auto"/>
        </w:rPr>
        <w:t>Three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-235585</wp:posOffset>
            </wp:positionH>
            <wp:positionV relativeFrom="paragraph">
              <wp:posOffset>31115</wp:posOffset>
            </wp:positionV>
            <wp:extent cx="1894205" cy="8890"/>
            <wp:wrapNone/>
            <wp:docPr id="252" name="Picture 2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2"/>
                    <pic:cNvPicPr>
                      <a:picLocks noChangeAspect="1" noChangeArrowheads="1"/>
                    </pic:cNvPicPr>
                  </pic:nvPicPr>
                  <pic:blipFill>
                    <a:blip r:embed="rId259">
                      <a:extLst>
                        <a:ext uri="{28A0092B-C50C-407E-A947-70E740481C1C}"/>
                      </a:extLst>
                    </a:blip>
                    <a:srcRect/>
                    <a:stretch>
                      <a:fillRect/>
                    </a:stretch>
                  </pic:blipFill>
                  <pic:spPr bwMode="auto">
                    <a:xfrm>
                      <a:off x="0" y="0"/>
                      <a:ext cx="1894205" cy="8890"/>
                    </a:xfrm>
                    <a:prstGeom prst="rect">
                      <a:avLst/>
                    </a:prstGeom>
                    <a:noFill/>
                  </pic:spPr>
                </pic:pic>
              </a:graphicData>
            </a:graphic>
          </wp:anchor>
        </w:drawing>
      </w:r>
    </w:p>
    <w:p>
      <w:pPr>
        <w:spacing w:after="0" w:line="47" w:lineRule="exact"/>
        <w:rPr>
          <w:sz w:val="20"/>
          <w:szCs w:val="20"/>
          <w:color w:val="auto"/>
        </w:rPr>
      </w:pPr>
    </w:p>
    <w:p>
      <w:pPr>
        <w:ind w:left="160"/>
        <w:spacing w:after="0"/>
        <w:tabs>
          <w:tab w:leader="none" w:pos="176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800" w:space="720"/>
            <w:col w:w="272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500" w:type="dxa"/>
            <w:vAlign w:val="bottom"/>
            <w:tcBorders>
              <w:top w:val="single" w:sz="8" w:color="auto"/>
            </w:tcBorders>
            <w:shd w:val="clear" w:color="auto" w:fill="CFF0FC"/>
          </w:tcPr>
          <w:p>
            <w:pPr>
              <w:spacing w:after="0"/>
              <w:rPr>
                <w:sz w:val="22"/>
                <w:szCs w:val="22"/>
                <w:color w:val="auto"/>
              </w:rPr>
            </w:pPr>
          </w:p>
        </w:tc>
        <w:tc>
          <w:tcPr>
            <w:tcW w:w="90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600" w:type="dxa"/>
            <w:vAlign w:val="bottom"/>
            <w:tcBorders>
              <w:top w:val="single" w:sz="8" w:color="auto"/>
            </w:tcBorders>
            <w:shd w:val="clear" w:color="auto" w:fill="CFF0FC"/>
          </w:tcPr>
          <w:p>
            <w:pPr>
              <w:spacing w:after="0"/>
              <w:rPr>
                <w:sz w:val="22"/>
                <w:szCs w:val="22"/>
                <w:color w:val="auto"/>
              </w:rPr>
            </w:pPr>
          </w:p>
        </w:tc>
        <w:tc>
          <w:tcPr>
            <w:tcW w:w="80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760" w:type="dxa"/>
            <w:vAlign w:val="bottom"/>
            <w:tcBorders>
              <w:top w:val="single" w:sz="8" w:color="auto"/>
            </w:tcBorders>
            <w:shd w:val="clear" w:color="auto" w:fill="CFF0FC"/>
          </w:tcPr>
          <w:p>
            <w:pPr>
              <w:spacing w:after="0"/>
              <w:rPr>
                <w:sz w:val="22"/>
                <w:szCs w:val="22"/>
                <w:color w:val="auto"/>
              </w:rPr>
            </w:pPr>
          </w:p>
        </w:tc>
        <w:tc>
          <w:tcPr>
            <w:tcW w:w="62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50"/>
        </w:trPr>
        <w:tc>
          <w:tcPr>
            <w:tcW w:w="48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500" w:type="dxa"/>
            <w:vAlign w:val="bottom"/>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1,991</w:t>
            </w:r>
          </w:p>
        </w:tc>
        <w:tc>
          <w:tcPr>
            <w:tcW w:w="280" w:type="dxa"/>
            <w:vAlign w:val="bottom"/>
          </w:tcPr>
          <w:p>
            <w:pPr>
              <w:spacing w:after="0"/>
              <w:rPr>
                <w:sz w:val="21"/>
                <w:szCs w:val="21"/>
                <w:color w:val="auto"/>
              </w:rPr>
            </w:pPr>
          </w:p>
        </w:tc>
        <w:tc>
          <w:tcPr>
            <w:tcW w:w="600" w:type="dxa"/>
            <w:vAlign w:val="bottom"/>
          </w:tcPr>
          <w:p>
            <w:pPr>
              <w:jc w:val="right"/>
              <w:ind w:right="410"/>
              <w:spacing w:after="0"/>
              <w:rPr>
                <w:sz w:val="20"/>
                <w:szCs w:val="20"/>
                <w:color w:val="auto"/>
              </w:rPr>
            </w:pPr>
            <w:r>
              <w:rPr>
                <w:rFonts w:ascii="Arial" w:cs="Arial" w:eastAsia="Arial" w:hAnsi="Arial"/>
                <w:sz w:val="18"/>
                <w:szCs w:val="18"/>
                <w:color w:val="auto"/>
                <w:w w:val="79"/>
              </w:rPr>
              <w:t>$</w:t>
            </w:r>
          </w:p>
        </w:tc>
        <w:tc>
          <w:tcPr>
            <w:tcW w:w="800" w:type="dxa"/>
            <w:vAlign w:val="bottom"/>
          </w:tcPr>
          <w:p>
            <w:pPr>
              <w:jc w:val="right"/>
              <w:spacing w:after="0"/>
              <w:rPr>
                <w:sz w:val="20"/>
                <w:szCs w:val="20"/>
                <w:color w:val="auto"/>
              </w:rPr>
            </w:pPr>
            <w:r>
              <w:rPr>
                <w:rFonts w:ascii="Arial" w:cs="Arial" w:eastAsia="Arial" w:hAnsi="Arial"/>
                <w:sz w:val="18"/>
                <w:szCs w:val="18"/>
                <w:color w:val="auto"/>
              </w:rPr>
              <w:t>1,917</w:t>
            </w:r>
          </w:p>
        </w:tc>
        <w:tc>
          <w:tcPr>
            <w:tcW w:w="240" w:type="dxa"/>
            <w:vAlign w:val="bottom"/>
          </w:tcPr>
          <w:p>
            <w:pPr>
              <w:spacing w:after="0"/>
              <w:rPr>
                <w:sz w:val="21"/>
                <w:szCs w:val="21"/>
                <w:color w:val="auto"/>
              </w:rPr>
            </w:pPr>
          </w:p>
        </w:tc>
        <w:tc>
          <w:tcPr>
            <w:tcW w:w="760" w:type="dxa"/>
            <w:vAlign w:val="bottom"/>
          </w:tcPr>
          <w:p>
            <w:pPr>
              <w:jc w:val="right"/>
              <w:ind w:right="550"/>
              <w:spacing w:after="0"/>
              <w:rPr>
                <w:sz w:val="20"/>
                <w:szCs w:val="20"/>
                <w:color w:val="auto"/>
              </w:rPr>
            </w:pPr>
            <w:r>
              <w:rPr>
                <w:rFonts w:ascii="Arial" w:cs="Arial" w:eastAsia="Arial" w:hAnsi="Arial"/>
                <w:sz w:val="18"/>
                <w:szCs w:val="18"/>
                <w:color w:val="auto"/>
                <w:w w:val="99"/>
              </w:rPr>
              <w:t>$</w:t>
            </w: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880" w:type="dxa"/>
            <w:vAlign w:val="bottom"/>
            <w:gridSpan w:val="2"/>
          </w:tcPr>
          <w:p>
            <w:pPr>
              <w:jc w:val="right"/>
              <w:ind w:right="430"/>
              <w:spacing w:after="0"/>
              <w:rPr>
                <w:sz w:val="20"/>
                <w:szCs w:val="20"/>
                <w:color w:val="auto"/>
              </w:rPr>
            </w:pPr>
            <w:r>
              <w:rPr>
                <w:rFonts w:ascii="Arial" w:cs="Arial" w:eastAsia="Arial" w:hAnsi="Arial"/>
                <w:sz w:val="18"/>
                <w:szCs w:val="18"/>
                <w:color w:val="auto"/>
              </w:rPr>
              <w:t>$</w:t>
            </w: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500" w:type="dxa"/>
            <w:vAlign w:val="bottom"/>
            <w:shd w:val="clear" w:color="auto" w:fill="CFF0FC"/>
          </w:tcPr>
          <w:p>
            <w:pPr>
              <w:spacing w:after="0"/>
              <w:rPr>
                <w:sz w:val="22"/>
                <w:szCs w:val="22"/>
                <w:color w:val="auto"/>
              </w:rPr>
            </w:pP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3,560</w:t>
            </w:r>
          </w:p>
        </w:tc>
        <w:tc>
          <w:tcPr>
            <w:tcW w:w="280" w:type="dxa"/>
            <w:vAlign w:val="bottom"/>
            <w:shd w:val="clear" w:color="auto" w:fill="CFF0FC"/>
          </w:tcPr>
          <w:p>
            <w:pPr>
              <w:spacing w:after="0"/>
              <w:rPr>
                <w:sz w:val="22"/>
                <w:szCs w:val="22"/>
                <w:color w:val="auto"/>
              </w:rPr>
            </w:pPr>
          </w:p>
        </w:tc>
        <w:tc>
          <w:tcPr>
            <w:tcW w:w="60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3,919</w:t>
            </w:r>
          </w:p>
        </w:tc>
        <w:tc>
          <w:tcPr>
            <w:tcW w:w="24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6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100" w:type="dxa"/>
            <w:vAlign w:val="bottom"/>
            <w:shd w:val="clear" w:color="auto" w:fill="CFF0FC"/>
          </w:tcPr>
          <w:p>
            <w:pPr>
              <w:spacing w:after="0"/>
              <w:rPr>
                <w:sz w:val="22"/>
                <w:szCs w:val="22"/>
                <w:color w:val="auto"/>
              </w:rPr>
            </w:pPr>
          </w:p>
        </w:tc>
      </w:tr>
      <w:tr>
        <w:trPr>
          <w:trHeight w:val="250"/>
        </w:trPr>
        <w:tc>
          <w:tcPr>
            <w:tcW w:w="48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500" w:type="dxa"/>
            <w:vAlign w:val="bottom"/>
          </w:tcPr>
          <w:p>
            <w:pPr>
              <w:spacing w:after="0"/>
              <w:rPr>
                <w:sz w:val="21"/>
                <w:szCs w:val="21"/>
                <w:color w:val="auto"/>
              </w:rPr>
            </w:pPr>
          </w:p>
        </w:tc>
        <w:tc>
          <w:tcPr>
            <w:tcW w:w="1180" w:type="dxa"/>
            <w:vAlign w:val="bottom"/>
            <w:gridSpan w:val="2"/>
          </w:tcPr>
          <w:p>
            <w:pPr>
              <w:jc w:val="right"/>
              <w:ind w:right="200"/>
              <w:spacing w:after="0"/>
              <w:rPr>
                <w:sz w:val="20"/>
                <w:szCs w:val="20"/>
                <w:color w:val="auto"/>
              </w:rPr>
            </w:pPr>
            <w:r>
              <w:rPr>
                <w:rFonts w:ascii="Arial" w:cs="Arial" w:eastAsia="Arial" w:hAnsi="Arial"/>
                <w:sz w:val="18"/>
                <w:szCs w:val="18"/>
                <w:color w:val="auto"/>
              </w:rPr>
              <w:t>(6,566 )</w:t>
            </w:r>
          </w:p>
        </w:tc>
        <w:tc>
          <w:tcPr>
            <w:tcW w:w="600" w:type="dxa"/>
            <w:vAlign w:val="bottom"/>
          </w:tcPr>
          <w:p>
            <w:pPr>
              <w:spacing w:after="0"/>
              <w:rPr>
                <w:sz w:val="21"/>
                <w:szCs w:val="21"/>
                <w:color w:val="auto"/>
              </w:rPr>
            </w:pPr>
          </w:p>
        </w:tc>
        <w:tc>
          <w:tcPr>
            <w:tcW w:w="1040" w:type="dxa"/>
            <w:vAlign w:val="bottom"/>
            <w:gridSpan w:val="2"/>
          </w:tcPr>
          <w:p>
            <w:pPr>
              <w:jc w:val="right"/>
              <w:ind w:right="180"/>
              <w:spacing w:after="0"/>
              <w:rPr>
                <w:sz w:val="20"/>
                <w:szCs w:val="20"/>
                <w:color w:val="auto"/>
              </w:rPr>
            </w:pPr>
            <w:r>
              <w:rPr>
                <w:rFonts w:ascii="Arial" w:cs="Arial" w:eastAsia="Arial" w:hAnsi="Arial"/>
                <w:sz w:val="18"/>
                <w:szCs w:val="18"/>
                <w:color w:val="auto"/>
              </w:rPr>
              <w:t>(5,960 )</w:t>
            </w:r>
          </w:p>
        </w:tc>
        <w:tc>
          <w:tcPr>
            <w:tcW w:w="760" w:type="dxa"/>
            <w:vAlign w:val="bottom"/>
          </w:tcPr>
          <w:p>
            <w:pPr>
              <w:spacing w:after="0"/>
              <w:rPr>
                <w:sz w:val="21"/>
                <w:szCs w:val="21"/>
                <w:color w:val="auto"/>
              </w:rPr>
            </w:pPr>
          </w:p>
        </w:tc>
        <w:tc>
          <w:tcPr>
            <w:tcW w:w="620" w:type="dxa"/>
            <w:vAlign w:val="bottom"/>
          </w:tcPr>
          <w:p>
            <w:pPr>
              <w:jc w:val="right"/>
              <w:spacing w:after="0"/>
              <w:rPr>
                <w:sz w:val="20"/>
                <w:szCs w:val="20"/>
                <w:color w:val="auto"/>
              </w:rPr>
            </w:pPr>
            <w:r>
              <w:rPr>
                <w:rFonts w:ascii="Arial" w:cs="Arial" w:eastAsia="Arial" w:hAnsi="Arial"/>
                <w:sz w:val="18"/>
                <w:szCs w:val="18"/>
                <w:color w:val="auto"/>
              </w:rPr>
              <w:t>—</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actuarial loss</w:t>
            </w:r>
          </w:p>
        </w:tc>
        <w:tc>
          <w:tcPr>
            <w:tcW w:w="500" w:type="dxa"/>
            <w:vAlign w:val="bottom"/>
            <w:tcBorders>
              <w:bottom w:val="single" w:sz="8" w:color="auto"/>
            </w:tcBorders>
            <w:shd w:val="clear" w:color="auto" w:fill="CFF0FC"/>
          </w:tcPr>
          <w:p>
            <w:pPr>
              <w:spacing w:after="0"/>
              <w:rPr>
                <w:sz w:val="22"/>
                <w:szCs w:val="22"/>
                <w:color w:val="auto"/>
              </w:rPr>
            </w:pPr>
          </w:p>
        </w:tc>
        <w:tc>
          <w:tcPr>
            <w:tcW w:w="9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1,412</w:t>
            </w:r>
          </w:p>
        </w:tc>
        <w:tc>
          <w:tcPr>
            <w:tcW w:w="280" w:type="dxa"/>
            <w:vAlign w:val="bottom"/>
            <w:tcBorders>
              <w:bottom w:val="single" w:sz="8" w:color="CFF0FC"/>
            </w:tcBorders>
            <w:shd w:val="clear" w:color="auto" w:fill="CFF0FC"/>
          </w:tcPr>
          <w:p>
            <w:pPr>
              <w:spacing w:after="0"/>
              <w:rPr>
                <w:sz w:val="22"/>
                <w:szCs w:val="22"/>
                <w:color w:val="auto"/>
              </w:rPr>
            </w:pPr>
          </w:p>
        </w:tc>
        <w:tc>
          <w:tcPr>
            <w:tcW w:w="60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994</w:t>
            </w:r>
          </w:p>
        </w:tc>
        <w:tc>
          <w:tcPr>
            <w:tcW w:w="240" w:type="dxa"/>
            <w:vAlign w:val="bottom"/>
            <w:tcBorders>
              <w:bottom w:val="single" w:sz="8" w:color="CFF0FC"/>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spacing w:after="0"/>
              <w:rPr>
                <w:sz w:val="22"/>
                <w:szCs w:val="22"/>
                <w:color w:val="auto"/>
              </w:rPr>
            </w:pPr>
          </w:p>
        </w:tc>
        <w:tc>
          <w:tcPr>
            <w:tcW w:w="6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10</w:t>
            </w:r>
          </w:p>
        </w:tc>
        <w:tc>
          <w:tcPr>
            <w:tcW w:w="2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8</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500" w:type="dxa"/>
            <w:vAlign w:val="bottom"/>
            <w:tcBorders>
              <w:bottom w:val="single" w:sz="8" w:color="auto"/>
            </w:tcBorders>
          </w:tcPr>
          <w:p>
            <w:pPr>
              <w:jc w:val="right"/>
              <w:ind w:right="310"/>
              <w:spacing w:after="0"/>
              <w:rPr>
                <w:sz w:val="20"/>
                <w:szCs w:val="20"/>
                <w:color w:val="auto"/>
              </w:rPr>
            </w:pPr>
            <w:r>
              <w:rPr>
                <w:rFonts w:ascii="Arial" w:cs="Arial" w:eastAsia="Arial" w:hAnsi="Arial"/>
                <w:sz w:val="18"/>
                <w:szCs w:val="18"/>
                <w:color w:val="auto"/>
                <w:w w:val="79"/>
              </w:rPr>
              <w:t>$</w:t>
            </w:r>
          </w:p>
        </w:tc>
        <w:tc>
          <w:tcPr>
            <w:tcW w:w="9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397</w:t>
            </w:r>
          </w:p>
        </w:tc>
        <w:tc>
          <w:tcPr>
            <w:tcW w:w="280" w:type="dxa"/>
            <w:vAlign w:val="bottom"/>
          </w:tcPr>
          <w:p>
            <w:pPr>
              <w:spacing w:after="0"/>
              <w:rPr>
                <w:sz w:val="21"/>
                <w:szCs w:val="21"/>
                <w:color w:val="auto"/>
              </w:rPr>
            </w:pPr>
          </w:p>
        </w:tc>
        <w:tc>
          <w:tcPr>
            <w:tcW w:w="600" w:type="dxa"/>
            <w:vAlign w:val="bottom"/>
            <w:tcBorders>
              <w:bottom w:val="single" w:sz="8" w:color="auto"/>
            </w:tcBorders>
          </w:tcPr>
          <w:p>
            <w:pPr>
              <w:jc w:val="right"/>
              <w:ind w:right="41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870</w:t>
            </w:r>
          </w:p>
        </w:tc>
        <w:tc>
          <w:tcPr>
            <w:tcW w:w="240" w:type="dxa"/>
            <w:vAlign w:val="bottom"/>
          </w:tcPr>
          <w:p>
            <w:pPr>
              <w:spacing w:after="0"/>
              <w:rPr>
                <w:sz w:val="21"/>
                <w:szCs w:val="21"/>
                <w:color w:val="auto"/>
              </w:rPr>
            </w:pPr>
          </w:p>
        </w:tc>
        <w:tc>
          <w:tcPr>
            <w:tcW w:w="760" w:type="dxa"/>
            <w:vAlign w:val="bottom"/>
            <w:tcBorders>
              <w:bottom w:val="single" w:sz="8" w:color="auto"/>
            </w:tcBorders>
          </w:tcPr>
          <w:p>
            <w:pPr>
              <w:jc w:val="right"/>
              <w:ind w:right="550"/>
              <w:spacing w:after="0"/>
              <w:rPr>
                <w:sz w:val="20"/>
                <w:szCs w:val="20"/>
                <w:color w:val="auto"/>
              </w:rPr>
            </w:pPr>
            <w:r>
              <w:rPr>
                <w:rFonts w:ascii="Arial" w:cs="Arial" w:eastAsia="Arial" w:hAnsi="Arial"/>
                <w:sz w:val="18"/>
                <w:szCs w:val="18"/>
                <w:color w:val="auto"/>
                <w:w w:val="99"/>
              </w:rPr>
              <w:t>$</w:t>
            </w:r>
          </w:p>
        </w:tc>
        <w:tc>
          <w:tcPr>
            <w:tcW w:w="6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240" w:type="dxa"/>
            <w:vAlign w:val="bottom"/>
          </w:tcPr>
          <w:p>
            <w:pPr>
              <w:spacing w:after="0"/>
              <w:rPr>
                <w:sz w:val="21"/>
                <w:szCs w:val="21"/>
                <w:color w:val="auto"/>
              </w:rPr>
            </w:pPr>
          </w:p>
        </w:tc>
        <w:tc>
          <w:tcPr>
            <w:tcW w:w="640" w:type="dxa"/>
            <w:vAlign w:val="bottom"/>
            <w:tcBorders>
              <w:bottom w:val="single" w:sz="8" w:color="auto"/>
            </w:tcBorders>
          </w:tcPr>
          <w:p>
            <w:pPr>
              <w:jc w:val="right"/>
              <w:ind w:right="430"/>
              <w:spacing w:after="0"/>
              <w:rPr>
                <w:sz w:val="20"/>
                <w:szCs w:val="20"/>
                <w:color w:val="auto"/>
              </w:rPr>
            </w:pPr>
            <w:r>
              <w:rPr>
                <w:rFonts w:ascii="Arial" w:cs="Arial" w:eastAsia="Arial" w:hAnsi="Arial"/>
                <w:sz w:val="18"/>
                <w:szCs w:val="18"/>
                <w:color w:val="auto"/>
                <w:w w:val="99"/>
              </w:rPr>
              <w:t>$</w:t>
            </w: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18</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500" w:type="dxa"/>
            <w:vAlign w:val="bottom"/>
            <w:tcBorders>
              <w:bottom w:val="single" w:sz="8" w:color="auto"/>
            </w:tcBorders>
          </w:tcPr>
          <w:p>
            <w:pPr>
              <w:spacing w:after="0" w:line="20" w:lineRule="exact"/>
              <w:rPr>
                <w:sz w:val="1"/>
                <w:szCs w:val="1"/>
                <w:color w:val="auto"/>
              </w:rPr>
            </w:pPr>
          </w:p>
        </w:tc>
        <w:tc>
          <w:tcPr>
            <w:tcW w:w="90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600" w:type="dxa"/>
            <w:vAlign w:val="bottom"/>
            <w:tcBorders>
              <w:bottom w:val="single" w:sz="8" w:color="auto"/>
            </w:tcBorders>
          </w:tcPr>
          <w:p>
            <w:pPr>
              <w:spacing w:after="0" w:line="20" w:lineRule="exact"/>
              <w:rPr>
                <w:sz w:val="1"/>
                <w:szCs w:val="1"/>
                <w:color w:val="auto"/>
              </w:rPr>
            </w:pPr>
          </w:p>
        </w:tc>
        <w:tc>
          <w:tcPr>
            <w:tcW w:w="80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760" w:type="dxa"/>
            <w:vAlign w:val="bottom"/>
            <w:tcBorders>
              <w:bottom w:val="single" w:sz="8" w:color="auto"/>
            </w:tcBorders>
          </w:tcPr>
          <w:p>
            <w:pPr>
              <w:spacing w:after="0" w:line="20" w:lineRule="exact"/>
              <w:rPr>
                <w:sz w:val="1"/>
                <w:szCs w:val="1"/>
                <w:color w:val="auto"/>
              </w:rPr>
            </w:pPr>
          </w:p>
        </w:tc>
        <w:tc>
          <w:tcPr>
            <w:tcW w:w="620" w:type="dxa"/>
            <w:vAlign w:val="bottom"/>
            <w:tcBorders>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bottom w:val="single" w:sz="8" w:color="auto"/>
            </w:tcBorders>
          </w:tcPr>
          <w:p>
            <w:pPr>
              <w:spacing w:after="0" w:line="20" w:lineRule="exact"/>
              <w:rPr>
                <w:sz w:val="1"/>
                <w:szCs w:val="1"/>
                <w:color w:val="auto"/>
              </w:rPr>
            </w:pPr>
          </w:p>
        </w:tc>
        <w:tc>
          <w:tcPr>
            <w:tcW w:w="7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413"/>
        </w:trPr>
        <w:tc>
          <w:tcPr>
            <w:tcW w:w="4820" w:type="dxa"/>
            <w:vAlign w:val="bottom"/>
          </w:tcPr>
          <w:p>
            <w:pPr>
              <w:spacing w:after="0"/>
              <w:rPr>
                <w:sz w:val="24"/>
                <w:szCs w:val="24"/>
                <w:color w:val="auto"/>
              </w:rPr>
            </w:pPr>
          </w:p>
        </w:tc>
        <w:tc>
          <w:tcPr>
            <w:tcW w:w="500" w:type="dxa"/>
            <w:vAlign w:val="bottom"/>
            <w:tcBorders>
              <w:bottom w:val="single" w:sz="8" w:color="auto"/>
            </w:tcBorders>
          </w:tcPr>
          <w:p>
            <w:pPr>
              <w:spacing w:after="0"/>
              <w:rPr>
                <w:sz w:val="24"/>
                <w:szCs w:val="24"/>
                <w:color w:val="auto"/>
              </w:rPr>
            </w:pPr>
          </w:p>
        </w:tc>
        <w:tc>
          <w:tcPr>
            <w:tcW w:w="900" w:type="dxa"/>
            <w:vAlign w:val="bottom"/>
            <w:tcBorders>
              <w:bottom w:val="single" w:sz="8" w:color="auto"/>
            </w:tcBorders>
          </w:tcPr>
          <w:p>
            <w:pPr>
              <w:spacing w:after="0"/>
              <w:rPr>
                <w:sz w:val="24"/>
                <w:szCs w:val="24"/>
                <w:color w:val="auto"/>
              </w:rPr>
            </w:pPr>
          </w:p>
        </w:tc>
        <w:tc>
          <w:tcPr>
            <w:tcW w:w="280" w:type="dxa"/>
            <w:vAlign w:val="bottom"/>
            <w:tcBorders>
              <w:bottom w:val="single" w:sz="8" w:color="auto"/>
            </w:tcBorders>
          </w:tcPr>
          <w:p>
            <w:pPr>
              <w:spacing w:after="0"/>
              <w:rPr>
                <w:sz w:val="24"/>
                <w:szCs w:val="24"/>
                <w:color w:val="auto"/>
              </w:rPr>
            </w:pPr>
          </w:p>
        </w:tc>
        <w:tc>
          <w:tcPr>
            <w:tcW w:w="600" w:type="dxa"/>
            <w:vAlign w:val="bottom"/>
            <w:tcBorders>
              <w:bottom w:val="single" w:sz="8" w:color="auto"/>
            </w:tcBorders>
          </w:tcPr>
          <w:p>
            <w:pPr>
              <w:spacing w:after="0"/>
              <w:rPr>
                <w:sz w:val="24"/>
                <w:szCs w:val="24"/>
                <w:color w:val="auto"/>
              </w:rPr>
            </w:pPr>
          </w:p>
        </w:tc>
        <w:tc>
          <w:tcPr>
            <w:tcW w:w="1800" w:type="dxa"/>
            <w:vAlign w:val="bottom"/>
            <w:tcBorders>
              <w:bottom w:val="single" w:sz="8" w:color="auto"/>
            </w:tcBorders>
            <w:gridSpan w:val="3"/>
          </w:tcPr>
          <w:p>
            <w:pPr>
              <w:jc w:val="right"/>
              <w:ind w:right="330"/>
              <w:spacing w:after="0"/>
              <w:rPr>
                <w:sz w:val="20"/>
                <w:szCs w:val="20"/>
                <w:color w:val="auto"/>
              </w:rPr>
            </w:pPr>
            <w:r>
              <w:rPr>
                <w:rFonts w:ascii="Arial" w:cs="Arial" w:eastAsia="Arial" w:hAnsi="Arial"/>
                <w:sz w:val="14"/>
                <w:szCs w:val="14"/>
                <w:b w:val="1"/>
                <w:bCs w:val="1"/>
                <w:color w:val="auto"/>
              </w:rPr>
              <w:t>Pension Benefits</w:t>
            </w:r>
          </w:p>
        </w:tc>
        <w:tc>
          <w:tcPr>
            <w:tcW w:w="62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640" w:type="dxa"/>
            <w:vAlign w:val="bottom"/>
            <w:tcBorders>
              <w:bottom w:val="single" w:sz="8" w:color="auto"/>
            </w:tcBorders>
          </w:tcPr>
          <w:p>
            <w:pPr>
              <w:spacing w:after="0"/>
              <w:rPr>
                <w:sz w:val="24"/>
                <w:szCs w:val="24"/>
                <w:color w:val="auto"/>
              </w:rPr>
            </w:pPr>
          </w:p>
        </w:tc>
        <w:tc>
          <w:tcPr>
            <w:tcW w:w="74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0"/>
        </w:trPr>
        <w:tc>
          <w:tcPr>
            <w:tcW w:w="4820" w:type="dxa"/>
            <w:vAlign w:val="bottom"/>
          </w:tcPr>
          <w:p>
            <w:pPr>
              <w:spacing w:after="0"/>
              <w:rPr>
                <w:sz w:val="16"/>
                <w:szCs w:val="16"/>
                <w:color w:val="auto"/>
              </w:rPr>
            </w:pPr>
          </w:p>
        </w:tc>
        <w:tc>
          <w:tcPr>
            <w:tcW w:w="500" w:type="dxa"/>
            <w:vAlign w:val="bottom"/>
          </w:tcPr>
          <w:p>
            <w:pPr>
              <w:spacing w:after="0"/>
              <w:rPr>
                <w:sz w:val="16"/>
                <w:szCs w:val="16"/>
                <w:color w:val="auto"/>
              </w:rPr>
            </w:pPr>
          </w:p>
        </w:tc>
        <w:tc>
          <w:tcPr>
            <w:tcW w:w="1780" w:type="dxa"/>
            <w:vAlign w:val="bottom"/>
            <w:gridSpan w:val="3"/>
          </w:tcPr>
          <w:p>
            <w:pPr>
              <w:jc w:val="right"/>
              <w:ind w:right="230"/>
              <w:spacing w:after="0"/>
              <w:rPr>
                <w:sz w:val="20"/>
                <w:szCs w:val="20"/>
                <w:color w:val="auto"/>
              </w:rPr>
            </w:pPr>
            <w:r>
              <w:rPr>
                <w:rFonts w:ascii="Arial" w:cs="Arial" w:eastAsia="Arial" w:hAnsi="Arial"/>
                <w:sz w:val="14"/>
                <w:szCs w:val="14"/>
                <w:b w:val="1"/>
                <w:bCs w:val="1"/>
                <w:color w:val="auto"/>
              </w:rPr>
              <w:t>Pension Plans</w:t>
            </w:r>
          </w:p>
        </w:tc>
        <w:tc>
          <w:tcPr>
            <w:tcW w:w="8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760" w:type="dxa"/>
            <w:vAlign w:val="bottom"/>
          </w:tcPr>
          <w:p>
            <w:pPr>
              <w:spacing w:after="0"/>
              <w:rPr>
                <w:sz w:val="16"/>
                <w:szCs w:val="16"/>
                <w:color w:val="auto"/>
              </w:rPr>
            </w:pPr>
          </w:p>
        </w:tc>
        <w:tc>
          <w:tcPr>
            <w:tcW w:w="1500" w:type="dxa"/>
            <w:vAlign w:val="bottom"/>
            <w:gridSpan w:val="3"/>
          </w:tcPr>
          <w:p>
            <w:pPr>
              <w:jc w:val="right"/>
              <w:ind w:right="490"/>
              <w:spacing w:after="0"/>
              <w:rPr>
                <w:sz w:val="20"/>
                <w:szCs w:val="20"/>
                <w:color w:val="auto"/>
              </w:rPr>
            </w:pPr>
            <w:r>
              <w:rPr>
                <w:rFonts w:ascii="Arial" w:cs="Arial" w:eastAsia="Arial" w:hAnsi="Arial"/>
                <w:sz w:val="14"/>
                <w:szCs w:val="14"/>
                <w:b w:val="1"/>
                <w:bCs w:val="1"/>
                <w:color w:val="auto"/>
              </w:rPr>
              <w:t>SERP</w:t>
            </w:r>
          </w:p>
        </w:tc>
        <w:tc>
          <w:tcPr>
            <w:tcW w:w="740" w:type="dxa"/>
            <w:vAlign w:val="bottom"/>
          </w:tcPr>
          <w:p>
            <w:pPr>
              <w:spacing w:after="0"/>
              <w:rPr>
                <w:sz w:val="16"/>
                <w:szCs w:val="16"/>
                <w:color w:val="auto"/>
              </w:rPr>
            </w:pPr>
          </w:p>
        </w:tc>
        <w:tc>
          <w:tcPr>
            <w:tcW w:w="100" w:type="dxa"/>
            <w:vAlign w:val="bottom"/>
          </w:tcPr>
          <w:p>
            <w:pPr>
              <w:spacing w:after="0"/>
              <w:rPr>
                <w:sz w:val="16"/>
                <w:szCs w:val="16"/>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-597535</wp:posOffset>
            </wp:positionV>
            <wp:extent cx="179705" cy="5715"/>
            <wp:wrapNone/>
            <wp:docPr id="253" name="Picture 2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3"/>
                    <pic:cNvPicPr>
                      <a:picLocks noChangeAspect="1" noChangeArrowheads="1"/>
                    </pic:cNvPicPr>
                  </pic:nvPicPr>
                  <pic:blipFill>
                    <a:blip r:embed="rId260">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-597535</wp:posOffset>
            </wp:positionV>
            <wp:extent cx="163195" cy="5715"/>
            <wp:wrapNone/>
            <wp:docPr id="254" name="Picture 2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4"/>
                    <pic:cNvPicPr>
                      <a:picLocks noChangeAspect="1" noChangeArrowheads="1"/>
                    </pic:cNvPicPr>
                  </pic:nvPicPr>
                  <pic:blipFill>
                    <a:blip r:embed="rId26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-597535</wp:posOffset>
            </wp:positionV>
            <wp:extent cx="163195" cy="5715"/>
            <wp:wrapNone/>
            <wp:docPr id="255" name="Picture 2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5"/>
                    <pic:cNvPicPr>
                      <a:picLocks noChangeAspect="1" noChangeArrowheads="1"/>
                    </pic:cNvPicPr>
                  </pic:nvPicPr>
                  <pic:blipFill>
                    <a:blip r:embed="rId262">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-597535</wp:posOffset>
            </wp:positionV>
            <wp:extent cx="68580" cy="5715"/>
            <wp:wrapNone/>
            <wp:docPr id="256" name="Picture 2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6"/>
                    <pic:cNvPicPr>
                      <a:picLocks noChangeAspect="1" noChangeArrowheads="1"/>
                    </pic:cNvPicPr>
                  </pic:nvPicPr>
                  <pic:blipFill>
                    <a:blip r:embed="rId263">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3056890</wp:posOffset>
            </wp:positionH>
            <wp:positionV relativeFrom="paragraph">
              <wp:posOffset>7620</wp:posOffset>
            </wp:positionV>
            <wp:extent cx="4011930" cy="8255"/>
            <wp:wrapNone/>
            <wp:docPr id="257" name="Picture 2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7"/>
                    <pic:cNvPicPr>
                      <a:picLocks noChangeAspect="1" noChangeArrowheads="1"/>
                    </pic:cNvPicPr>
                  </pic:nvPicPr>
                  <pic:blipFill>
                    <a:blip r:embed="rId264">
                      <a:extLst>
                        <a:ext uri="{28A0092B-C50C-407E-A947-70E740481C1C}"/>
                      </a:extLst>
                    </a:blip>
                    <a:srcRect/>
                    <a:stretch>
                      <a:fillRect/>
                    </a:stretch>
                  </pic:blipFill>
                  <pic:spPr bwMode="auto">
                    <a:xfrm>
                      <a:off x="0" y="0"/>
                      <a:ext cx="4011930" cy="825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p>
      <w:pPr>
        <w:spacing w:after="0" w:line="30" w:lineRule="exact"/>
        <w:rPr>
          <w:sz w:val="20"/>
          <w:szCs w:val="20"/>
          <w:color w:val="auto"/>
        </w:rPr>
      </w:pPr>
    </w:p>
    <w:p>
      <w:pPr>
        <w:jc w:val="center"/>
        <w:ind w:left="486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3056890</wp:posOffset>
            </wp:positionH>
            <wp:positionV relativeFrom="paragraph">
              <wp:posOffset>31115</wp:posOffset>
            </wp:positionV>
            <wp:extent cx="1954530" cy="8255"/>
            <wp:wrapNone/>
            <wp:docPr id="258" name="Picture 2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8"/>
                    <pic:cNvPicPr>
                      <a:picLocks noChangeAspect="1" noChangeArrowheads="1"/>
                    </pic:cNvPicPr>
                  </pic:nvPicPr>
                  <pic:blipFill>
                    <a:blip r:embed="rId265">
                      <a:extLst>
                        <a:ext uri="{28A0092B-C50C-407E-A947-70E740481C1C}"/>
                      </a:extLst>
                    </a:blip>
                    <a:srcRect/>
                    <a:stretch>
                      <a:fillRect/>
                    </a:stretch>
                  </pic:blipFill>
                  <pic:spPr bwMode="auto">
                    <a:xfrm>
                      <a:off x="0" y="0"/>
                      <a:ext cx="1954530" cy="8255"/>
                    </a:xfrm>
                    <a:prstGeom prst="rect">
                      <a:avLst/>
                    </a:prstGeom>
                    <a:noFill/>
                  </pic:spPr>
                </pic:pic>
              </a:graphicData>
            </a:graphic>
          </wp:anchor>
        </w:drawing>
      </w:r>
    </w:p>
    <w:p>
      <w:pPr>
        <w:spacing w:after="0" w:line="47" w:lineRule="exact"/>
        <w:rPr>
          <w:sz w:val="20"/>
          <w:szCs w:val="20"/>
          <w:color w:val="auto"/>
        </w:rPr>
      </w:pPr>
    </w:p>
    <w:p>
      <w:pPr>
        <w:ind w:left="5380"/>
        <w:spacing w:after="0"/>
        <w:tabs>
          <w:tab w:leader="none" w:pos="704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0" w:lineRule="exact"/>
        <w:rPr>
          <w:sz w:val="20"/>
          <w:szCs w:val="20"/>
          <w:color w:val="auto"/>
        </w:rPr>
      </w:pPr>
      <w:r>
        <w:rPr>
          <w:sz w:val="20"/>
          <w:szCs w:val="20"/>
          <w:color w:val="auto"/>
        </w:rPr>
        <w:br w:type="column"/>
      </w:r>
    </w:p>
    <w:p>
      <w:pPr>
        <w:spacing w:after="0" w:line="10" w:lineRule="exact"/>
        <w:rPr>
          <w:sz w:val="20"/>
          <w:szCs w:val="20"/>
          <w:color w:val="auto"/>
        </w:rPr>
      </w:pPr>
    </w:p>
    <w:p>
      <w:pPr>
        <w:jc w:val="center"/>
        <w:ind w:right="520"/>
        <w:spacing w:after="0"/>
        <w:rPr>
          <w:sz w:val="20"/>
          <w:szCs w:val="20"/>
          <w:color w:val="auto"/>
        </w:rPr>
      </w:pPr>
      <w:r>
        <w:rPr>
          <w:rFonts w:ascii="Arial" w:cs="Arial" w:eastAsia="Arial" w:hAnsi="Arial"/>
          <w:sz w:val="13"/>
          <w:szCs w:val="13"/>
          <w:b w:val="1"/>
          <w:bCs w:val="1"/>
          <w:color w:val="auto"/>
        </w:rPr>
        <w:t>Nine Months Ended 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-260985</wp:posOffset>
            </wp:positionH>
            <wp:positionV relativeFrom="paragraph">
              <wp:posOffset>31115</wp:posOffset>
            </wp:positionV>
            <wp:extent cx="1894205" cy="8255"/>
            <wp:wrapNone/>
            <wp:docPr id="259" name="Picture 2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59"/>
                    <pic:cNvPicPr>
                      <a:picLocks noChangeAspect="1" noChangeArrowheads="1"/>
                    </pic:cNvPicPr>
                  </pic:nvPicPr>
                  <pic:blipFill>
                    <a:blip r:embed="rId266">
                      <a:extLst>
                        <a:ext uri="{28A0092B-C50C-407E-A947-70E740481C1C}"/>
                      </a:extLst>
                    </a:blip>
                    <a:srcRect/>
                    <a:stretch>
                      <a:fillRect/>
                    </a:stretch>
                  </pic:blipFill>
                  <pic:spPr bwMode="auto">
                    <a:xfrm>
                      <a:off x="0" y="0"/>
                      <a:ext cx="1894205" cy="8255"/>
                    </a:xfrm>
                    <a:prstGeom prst="rect">
                      <a:avLst/>
                    </a:prstGeom>
                    <a:noFill/>
                  </pic:spPr>
                </pic:pic>
              </a:graphicData>
            </a:graphic>
          </wp:anchor>
        </w:drawing>
      </w:r>
    </w:p>
    <w:p>
      <w:pPr>
        <w:spacing w:after="0" w:line="47" w:lineRule="exact"/>
        <w:rPr>
          <w:sz w:val="20"/>
          <w:szCs w:val="20"/>
          <w:color w:val="auto"/>
        </w:rPr>
      </w:pPr>
    </w:p>
    <w:p>
      <w:pPr>
        <w:ind w:left="120"/>
        <w:spacing w:after="0"/>
        <w:tabs>
          <w:tab w:leader="none" w:pos="1720" w:val="left"/>
        </w:tabs>
        <w:rPr>
          <w:sz w:val="20"/>
          <w:szCs w:val="20"/>
          <w:color w:val="auto"/>
        </w:rPr>
      </w:pPr>
      <w:r>
        <w:rPr>
          <w:rFonts w:ascii="Arial" w:cs="Arial" w:eastAsia="Arial" w:hAnsi="Arial"/>
          <w:sz w:val="14"/>
          <w:szCs w:val="14"/>
          <w:b w:val="1"/>
          <w:bCs w:val="1"/>
          <w:color w:val="auto"/>
        </w:rPr>
        <w:t>2021</w:t>
      </w:r>
      <w:r>
        <w:rPr>
          <w:sz w:val="20"/>
          <w:szCs w:val="20"/>
          <w:color w:val="auto"/>
        </w:rPr>
        <w:tab/>
      </w:r>
      <w:r>
        <w:rPr>
          <w:rFonts w:ascii="Arial" w:cs="Arial" w:eastAsia="Arial" w:hAnsi="Arial"/>
          <w:sz w:val="14"/>
          <w:szCs w:val="14"/>
          <w:b w:val="1"/>
          <w:bCs w:val="1"/>
          <w:color w:val="auto"/>
        </w:rPr>
        <w:t>2020</w:t>
      </w:r>
    </w:p>
    <w:p>
      <w:pPr>
        <w:spacing w:after="0" w:line="25" w:lineRule="exact"/>
        <w:rPr>
          <w:sz w:val="20"/>
          <w:szCs w:val="20"/>
          <w:color w:val="auto"/>
        </w:rPr>
      </w:pPr>
    </w:p>
    <w:p>
      <w:pPr>
        <w:sectPr>
          <w:pgSz w:w="11900" w:h="16838" w:orient="portrait"/>
          <w:cols w:equalWidth="0" w:num="2">
            <w:col w:w="7840" w:space="720"/>
            <w:col w:w="2680"/>
          </w:cols>
          <w:pgMar w:left="320" w:top="368" w:right="339" w:bottom="1440" w:gutter="0" w:footer="0" w:header="0"/>
          <w:type w:val="continuous"/>
        </w:sectPr>
      </w:pPr>
    </w:p>
    <w:tbl>
      <w:tblPr>
        <w:tblLayout w:type="fixed"/>
        <w:tblInd w:w="0" w:type="dxa"/>
        <w:tblCellMar>
          <w:top w:w="0" w:type="dxa"/>
          <w:left w:w="0" w:type="dxa"/>
          <w:bottom w:w="0" w:type="dxa"/>
          <w:right w:w="0" w:type="dxa"/>
        </w:tblCellMar>
      </w:tblPr>
      <w:tr>
        <w:trPr>
          <w:trHeight w:val="262"/>
        </w:trPr>
        <w:tc>
          <w:tcPr>
            <w:tcW w:w="4820" w:type="dxa"/>
            <w:vAlign w:val="bottom"/>
            <w:tcBorders>
              <w:top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46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80" w:type="dxa"/>
            <w:vAlign w:val="bottom"/>
            <w:tcBorders>
              <w:top w:val="single" w:sz="8" w:color="CFF0FC"/>
            </w:tcBorders>
            <w:shd w:val="clear" w:color="auto" w:fill="CFF0FC"/>
          </w:tcPr>
          <w:p>
            <w:pPr>
              <w:spacing w:after="0"/>
              <w:rPr>
                <w:sz w:val="22"/>
                <w:szCs w:val="22"/>
                <w:color w:val="auto"/>
              </w:rPr>
            </w:pPr>
          </w:p>
        </w:tc>
        <w:tc>
          <w:tcPr>
            <w:tcW w:w="46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240" w:type="dxa"/>
            <w:vAlign w:val="bottom"/>
            <w:tcBorders>
              <w:top w:val="single" w:sz="8" w:color="CFF0FC"/>
            </w:tcBorders>
            <w:shd w:val="clear" w:color="auto" w:fill="CFF0FC"/>
          </w:tcPr>
          <w:p>
            <w:pPr>
              <w:spacing w:after="0"/>
              <w:rPr>
                <w:sz w:val="22"/>
                <w:szCs w:val="22"/>
                <w:color w:val="auto"/>
              </w:rPr>
            </w:pPr>
          </w:p>
        </w:tc>
        <w:tc>
          <w:tcPr>
            <w:tcW w:w="640" w:type="dxa"/>
            <w:vAlign w:val="bottom"/>
            <w:tcBorders>
              <w:top w:val="single" w:sz="8" w:color="auto"/>
            </w:tcBorders>
            <w:shd w:val="clear" w:color="auto" w:fill="CFF0FC"/>
          </w:tcPr>
          <w:p>
            <w:pPr>
              <w:spacing w:after="0"/>
              <w:rPr>
                <w:sz w:val="22"/>
                <w:szCs w:val="22"/>
                <w:color w:val="auto"/>
              </w:rPr>
            </w:pPr>
          </w:p>
        </w:tc>
        <w:tc>
          <w:tcPr>
            <w:tcW w:w="740" w:type="dxa"/>
            <w:vAlign w:val="bottom"/>
            <w:tcBorders>
              <w:top w:val="single" w:sz="8" w:color="auto"/>
            </w:tcBorders>
            <w:shd w:val="clear" w:color="auto" w:fill="CFF0FC"/>
          </w:tcPr>
          <w:p>
            <w:pPr>
              <w:spacing w:after="0"/>
              <w:rPr>
                <w:sz w:val="22"/>
                <w:szCs w:val="22"/>
                <w:color w:val="auto"/>
              </w:rPr>
            </w:pPr>
          </w:p>
        </w:tc>
        <w:tc>
          <w:tcPr>
            <w:tcW w:w="100" w:type="dxa"/>
            <w:vAlign w:val="bottom"/>
            <w:tcBorders>
              <w:top w:val="single" w:sz="8" w:color="CFF0FC"/>
            </w:tcBorders>
            <w:shd w:val="clear" w:color="auto" w:fill="CFF0FC"/>
          </w:tcPr>
          <w:p>
            <w:pPr>
              <w:spacing w:after="0"/>
              <w:rPr>
                <w:sz w:val="22"/>
                <w:szCs w:val="22"/>
                <w:color w:val="auto"/>
              </w:rPr>
            </w:pPr>
          </w:p>
        </w:tc>
      </w:tr>
      <w:tr>
        <w:trPr>
          <w:trHeight w:val="250"/>
        </w:trPr>
        <w:tc>
          <w:tcPr>
            <w:tcW w:w="48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5,971</w:t>
            </w:r>
          </w:p>
        </w:tc>
        <w:tc>
          <w:tcPr>
            <w:tcW w:w="28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5,753</w:t>
            </w:r>
          </w:p>
        </w:tc>
        <w:tc>
          <w:tcPr>
            <w:tcW w:w="24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10,679</w:t>
            </w:r>
          </w:p>
        </w:tc>
        <w:tc>
          <w:tcPr>
            <w:tcW w:w="280" w:type="dxa"/>
            <w:vAlign w:val="bottom"/>
            <w:shd w:val="clear" w:color="auto" w:fill="CFF0FC"/>
          </w:tcPr>
          <w:p>
            <w:pPr>
              <w:spacing w:after="0"/>
              <w:rPr>
                <w:sz w:val="22"/>
                <w:szCs w:val="22"/>
                <w:color w:val="auto"/>
              </w:rPr>
            </w:pPr>
          </w:p>
        </w:tc>
        <w:tc>
          <w:tcPr>
            <w:tcW w:w="460" w:type="dxa"/>
            <w:vAlign w:val="bottom"/>
            <w:shd w:val="clear" w:color="auto" w:fill="CFF0FC"/>
          </w:tcPr>
          <w:p>
            <w:pPr>
              <w:spacing w:after="0"/>
              <w:rPr>
                <w:sz w:val="22"/>
                <w:szCs w:val="22"/>
                <w:color w:val="auto"/>
              </w:rPr>
            </w:pPr>
          </w:p>
        </w:tc>
        <w:tc>
          <w:tcPr>
            <w:tcW w:w="9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11,758</w:t>
            </w: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9"/>
              </w:rPr>
              <w:t>23</w:t>
            </w:r>
          </w:p>
        </w:tc>
        <w:tc>
          <w:tcPr>
            <w:tcW w:w="240" w:type="dxa"/>
            <w:vAlign w:val="bottom"/>
            <w:shd w:val="clear" w:color="auto" w:fill="CFF0FC"/>
          </w:tcPr>
          <w:p>
            <w:pPr>
              <w:spacing w:after="0"/>
              <w:rPr>
                <w:sz w:val="22"/>
                <w:szCs w:val="22"/>
                <w:color w:val="auto"/>
              </w:rPr>
            </w:pPr>
          </w:p>
        </w:tc>
        <w:tc>
          <w:tcPr>
            <w:tcW w:w="640" w:type="dxa"/>
            <w:vAlign w:val="bottom"/>
            <w:shd w:val="clear" w:color="auto" w:fill="CFF0FC"/>
          </w:tcPr>
          <w:p>
            <w:pPr>
              <w:spacing w:after="0"/>
              <w:rPr>
                <w:sz w:val="22"/>
                <w:szCs w:val="22"/>
                <w:color w:val="auto"/>
              </w:rPr>
            </w:pPr>
          </w:p>
        </w:tc>
        <w:tc>
          <w:tcPr>
            <w:tcW w:w="740" w:type="dxa"/>
            <w:vAlign w:val="bottom"/>
            <w:shd w:val="clear" w:color="auto" w:fill="CFF0FC"/>
          </w:tcPr>
          <w:p>
            <w:pPr>
              <w:ind w:left="540"/>
              <w:spacing w:after="0"/>
              <w:rPr>
                <w:sz w:val="20"/>
                <w:szCs w:val="20"/>
                <w:color w:val="auto"/>
              </w:rPr>
            </w:pPr>
            <w:r>
              <w:rPr>
                <w:rFonts w:ascii="Arial" w:cs="Arial" w:eastAsia="Arial" w:hAnsi="Arial"/>
                <w:sz w:val="18"/>
                <w:szCs w:val="18"/>
                <w:color w:val="auto"/>
                <w:w w:val="89"/>
              </w:rPr>
              <w:t>30</w:t>
            </w:r>
          </w:p>
        </w:tc>
        <w:tc>
          <w:tcPr>
            <w:tcW w:w="100" w:type="dxa"/>
            <w:vAlign w:val="bottom"/>
            <w:shd w:val="clear" w:color="auto" w:fill="CFF0FC"/>
          </w:tcPr>
          <w:p>
            <w:pPr>
              <w:spacing w:after="0"/>
              <w:rPr>
                <w:sz w:val="22"/>
                <w:szCs w:val="22"/>
                <w:color w:val="auto"/>
              </w:rPr>
            </w:pPr>
          </w:p>
        </w:tc>
      </w:tr>
      <w:tr>
        <w:trPr>
          <w:trHeight w:val="250"/>
        </w:trPr>
        <w:tc>
          <w:tcPr>
            <w:tcW w:w="4820" w:type="dxa"/>
            <w:vAlign w:val="bottom"/>
          </w:tcPr>
          <w:p>
            <w:pPr>
              <w:ind w:left="200"/>
              <w:spacing w:after="0"/>
              <w:rPr>
                <w:sz w:val="20"/>
                <w:szCs w:val="20"/>
                <w:color w:val="auto"/>
              </w:rPr>
            </w:pPr>
            <w:r>
              <w:rPr>
                <w:rFonts w:ascii="Arial" w:cs="Arial" w:eastAsia="Arial" w:hAnsi="Arial"/>
                <w:sz w:val="18"/>
                <w:szCs w:val="18"/>
                <w:color w:val="auto"/>
              </w:rPr>
              <w:t>Expected return on plan assets</w:t>
            </w:r>
          </w:p>
        </w:tc>
        <w:tc>
          <w:tcPr>
            <w:tcW w:w="460" w:type="dxa"/>
            <w:vAlign w:val="bottom"/>
          </w:tcPr>
          <w:p>
            <w:pPr>
              <w:spacing w:after="0"/>
              <w:rPr>
                <w:sz w:val="21"/>
                <w:szCs w:val="21"/>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(19,699 )</w:t>
            </w:r>
          </w:p>
        </w:tc>
        <w:tc>
          <w:tcPr>
            <w:tcW w:w="460" w:type="dxa"/>
            <w:vAlign w:val="bottom"/>
          </w:tcPr>
          <w:p>
            <w:pPr>
              <w:spacing w:after="0"/>
              <w:rPr>
                <w:sz w:val="21"/>
                <w:szCs w:val="21"/>
                <w:color w:val="auto"/>
              </w:rPr>
            </w:pPr>
          </w:p>
        </w:tc>
        <w:tc>
          <w:tcPr>
            <w:tcW w:w="1180" w:type="dxa"/>
            <w:vAlign w:val="bottom"/>
            <w:gridSpan w:val="2"/>
          </w:tcPr>
          <w:p>
            <w:pPr>
              <w:jc w:val="right"/>
              <w:ind w:right="180"/>
              <w:spacing w:after="0"/>
              <w:rPr>
                <w:sz w:val="20"/>
                <w:szCs w:val="20"/>
                <w:color w:val="auto"/>
              </w:rPr>
            </w:pPr>
            <w:r>
              <w:rPr>
                <w:rFonts w:ascii="Arial" w:cs="Arial" w:eastAsia="Arial" w:hAnsi="Arial"/>
                <w:sz w:val="18"/>
                <w:szCs w:val="18"/>
                <w:color w:val="auto"/>
              </w:rPr>
              <w:t>(17,883 )</w:t>
            </w:r>
          </w:p>
        </w:tc>
        <w:tc>
          <w:tcPr>
            <w:tcW w:w="640" w:type="dxa"/>
            <w:vAlign w:val="bottom"/>
          </w:tcPr>
          <w:p>
            <w:pPr>
              <w:spacing w:after="0"/>
              <w:rPr>
                <w:sz w:val="21"/>
                <w:szCs w:val="21"/>
                <w:color w:val="auto"/>
              </w:rPr>
            </w:pPr>
          </w:p>
        </w:tc>
        <w:tc>
          <w:tcPr>
            <w:tcW w:w="740" w:type="dxa"/>
            <w:vAlign w:val="bottom"/>
          </w:tcPr>
          <w:p>
            <w:pPr>
              <w:ind w:left="540"/>
              <w:spacing w:after="0"/>
              <w:rPr>
                <w:sz w:val="20"/>
                <w:szCs w:val="20"/>
                <w:color w:val="auto"/>
              </w:rPr>
            </w:pPr>
            <w:r>
              <w:rPr>
                <w:rFonts w:ascii="Arial" w:cs="Arial" w:eastAsia="Arial" w:hAnsi="Arial"/>
                <w:sz w:val="18"/>
                <w:szCs w:val="18"/>
                <w:color w:val="auto"/>
                <w:w w:val="99"/>
              </w:rPr>
              <w:t>—</w:t>
            </w:r>
          </w:p>
        </w:tc>
        <w:tc>
          <w:tcPr>
            <w:tcW w:w="240" w:type="dxa"/>
            <w:vAlign w:val="bottom"/>
          </w:tcPr>
          <w:p>
            <w:pPr>
              <w:spacing w:after="0"/>
              <w:rPr>
                <w:sz w:val="21"/>
                <w:szCs w:val="21"/>
                <w:color w:val="auto"/>
              </w:rPr>
            </w:pPr>
          </w:p>
        </w:tc>
        <w:tc>
          <w:tcPr>
            <w:tcW w:w="640" w:type="dxa"/>
            <w:vAlign w:val="bottom"/>
          </w:tcPr>
          <w:p>
            <w:pPr>
              <w:spacing w:after="0"/>
              <w:rPr>
                <w:sz w:val="21"/>
                <w:szCs w:val="21"/>
                <w:color w:val="auto"/>
              </w:rPr>
            </w:pPr>
          </w:p>
        </w:tc>
        <w:tc>
          <w:tcPr>
            <w:tcW w:w="840" w:type="dxa"/>
            <w:vAlign w:val="bottom"/>
            <w:gridSpan w:val="2"/>
          </w:tcPr>
          <w:p>
            <w:pPr>
              <w:ind w:left="540"/>
              <w:spacing w:after="0"/>
              <w:rPr>
                <w:sz w:val="20"/>
                <w:szCs w:val="20"/>
                <w:color w:val="auto"/>
              </w:rPr>
            </w:pPr>
            <w:r>
              <w:rPr>
                <w:rFonts w:ascii="Arial" w:cs="Arial" w:eastAsia="Arial" w:hAnsi="Arial"/>
                <w:sz w:val="18"/>
                <w:szCs w:val="18"/>
                <w:color w:val="auto"/>
              </w:rPr>
              <w:t>—</w:t>
            </w:r>
          </w:p>
        </w:tc>
      </w:tr>
      <w:tr>
        <w:trPr>
          <w:trHeight w:val="257"/>
        </w:trPr>
        <w:tc>
          <w:tcPr>
            <w:tcW w:w="48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Amortization of actuarial loss</w:t>
            </w:r>
          </w:p>
        </w:tc>
        <w:tc>
          <w:tcPr>
            <w:tcW w:w="4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3,300</w:t>
            </w:r>
          </w:p>
        </w:tc>
        <w:tc>
          <w:tcPr>
            <w:tcW w:w="280" w:type="dxa"/>
            <w:vAlign w:val="bottom"/>
            <w:tcBorders>
              <w:bottom w:val="single" w:sz="8" w:color="CFF0FC"/>
            </w:tcBorders>
            <w:shd w:val="clear" w:color="auto" w:fill="CFF0FC"/>
          </w:tcPr>
          <w:p>
            <w:pPr>
              <w:spacing w:after="0"/>
              <w:rPr>
                <w:sz w:val="22"/>
                <w:szCs w:val="22"/>
                <w:color w:val="auto"/>
              </w:rPr>
            </w:pPr>
          </w:p>
        </w:tc>
        <w:tc>
          <w:tcPr>
            <w:tcW w:w="460" w:type="dxa"/>
            <w:vAlign w:val="bottom"/>
            <w:tcBorders>
              <w:bottom w:val="single" w:sz="8" w:color="auto"/>
            </w:tcBorders>
            <w:shd w:val="clear" w:color="auto" w:fill="CFF0FC"/>
          </w:tcPr>
          <w:p>
            <w:pPr>
              <w:spacing w:after="0"/>
              <w:rPr>
                <w:sz w:val="22"/>
                <w:szCs w:val="22"/>
                <w:color w:val="auto"/>
              </w:rPr>
            </w:pPr>
          </w:p>
        </w:tc>
        <w:tc>
          <w:tcPr>
            <w:tcW w:w="9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1,651</w:t>
            </w:r>
          </w:p>
        </w:tc>
        <w:tc>
          <w:tcPr>
            <w:tcW w:w="2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9"/>
              </w:rPr>
              <w:t>30</w:t>
            </w:r>
          </w:p>
        </w:tc>
        <w:tc>
          <w:tcPr>
            <w:tcW w:w="240" w:type="dxa"/>
            <w:vAlign w:val="bottom"/>
            <w:tcBorders>
              <w:bottom w:val="single" w:sz="8" w:color="CFF0FC"/>
            </w:tcBorders>
            <w:shd w:val="clear" w:color="auto" w:fill="CFF0FC"/>
          </w:tcPr>
          <w:p>
            <w:pPr>
              <w:spacing w:after="0"/>
              <w:rPr>
                <w:sz w:val="22"/>
                <w:szCs w:val="22"/>
                <w:color w:val="auto"/>
              </w:rPr>
            </w:pPr>
          </w:p>
        </w:tc>
        <w:tc>
          <w:tcPr>
            <w:tcW w:w="64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ind w:left="540"/>
              <w:spacing w:after="0"/>
              <w:rPr>
                <w:sz w:val="20"/>
                <w:szCs w:val="20"/>
                <w:color w:val="auto"/>
              </w:rPr>
            </w:pPr>
            <w:r>
              <w:rPr>
                <w:rFonts w:ascii="Arial" w:cs="Arial" w:eastAsia="Arial" w:hAnsi="Arial"/>
                <w:sz w:val="18"/>
                <w:szCs w:val="18"/>
                <w:color w:val="auto"/>
                <w:w w:val="89"/>
              </w:rPr>
              <w:t>26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4820" w:type="dxa"/>
            <w:vAlign w:val="bottom"/>
          </w:tcPr>
          <w:p>
            <w:pPr>
              <w:ind w:left="380"/>
              <w:spacing w:after="0"/>
              <w:rPr>
                <w:sz w:val="20"/>
                <w:szCs w:val="20"/>
                <w:color w:val="auto"/>
              </w:rPr>
            </w:pPr>
            <w:r>
              <w:rPr>
                <w:rFonts w:ascii="Arial" w:cs="Arial" w:eastAsia="Arial" w:hAnsi="Arial"/>
                <w:sz w:val="18"/>
                <w:szCs w:val="18"/>
                <w:color w:val="auto"/>
              </w:rPr>
              <w:t>Net periodic benefit cost</w:t>
            </w: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251</w:t>
            </w:r>
          </w:p>
        </w:tc>
        <w:tc>
          <w:tcPr>
            <w:tcW w:w="280" w:type="dxa"/>
            <w:vAlign w:val="bottom"/>
          </w:tcPr>
          <w:p>
            <w:pPr>
              <w:spacing w:after="0"/>
              <w:rPr>
                <w:sz w:val="21"/>
                <w:szCs w:val="21"/>
                <w:color w:val="auto"/>
              </w:rPr>
            </w:pPr>
          </w:p>
        </w:tc>
        <w:tc>
          <w:tcPr>
            <w:tcW w:w="460" w:type="dxa"/>
            <w:vAlign w:val="bottom"/>
          </w:tcPr>
          <w:p>
            <w:pPr>
              <w:jc w:val="right"/>
              <w:ind w:right="270"/>
              <w:spacing w:after="0"/>
              <w:rPr>
                <w:sz w:val="20"/>
                <w:szCs w:val="20"/>
                <w:color w:val="auto"/>
              </w:rPr>
            </w:pPr>
            <w:r>
              <w:rPr>
                <w:rFonts w:ascii="Arial" w:cs="Arial" w:eastAsia="Arial" w:hAnsi="Arial"/>
                <w:sz w:val="18"/>
                <w:szCs w:val="18"/>
                <w:color w:val="auto"/>
                <w:w w:val="79"/>
              </w:rPr>
              <w:t>$</w:t>
            </w:r>
          </w:p>
        </w:tc>
        <w:tc>
          <w:tcPr>
            <w:tcW w:w="940" w:type="dxa"/>
            <w:vAlign w:val="bottom"/>
          </w:tcPr>
          <w:p>
            <w:pPr>
              <w:jc w:val="right"/>
              <w:spacing w:after="0"/>
              <w:rPr>
                <w:sz w:val="20"/>
                <w:szCs w:val="20"/>
                <w:color w:val="auto"/>
              </w:rPr>
            </w:pPr>
            <w:r>
              <w:rPr>
                <w:rFonts w:ascii="Arial" w:cs="Arial" w:eastAsia="Arial" w:hAnsi="Arial"/>
                <w:sz w:val="18"/>
                <w:szCs w:val="18"/>
                <w:color w:val="auto"/>
              </w:rPr>
              <w:t>1,279</w:t>
            </w:r>
          </w:p>
        </w:tc>
        <w:tc>
          <w:tcPr>
            <w:tcW w:w="240" w:type="dxa"/>
            <w:vAlign w:val="bottom"/>
          </w:tcPr>
          <w:p>
            <w:pPr>
              <w:spacing w:after="0"/>
              <w:rPr>
                <w:sz w:val="21"/>
                <w:szCs w:val="21"/>
                <w:color w:val="auto"/>
              </w:rPr>
            </w:pPr>
          </w:p>
        </w:tc>
        <w:tc>
          <w:tcPr>
            <w:tcW w:w="640" w:type="dxa"/>
            <w:vAlign w:val="bottom"/>
          </w:tcPr>
          <w:p>
            <w:pPr>
              <w:jc w:val="right"/>
              <w:ind w:right="430"/>
              <w:spacing w:after="0"/>
              <w:rPr>
                <w:sz w:val="20"/>
                <w:szCs w:val="20"/>
                <w:color w:val="auto"/>
              </w:rPr>
            </w:pPr>
            <w:r>
              <w:rPr>
                <w:rFonts w:ascii="Arial" w:cs="Arial" w:eastAsia="Arial" w:hAnsi="Arial"/>
                <w:sz w:val="18"/>
                <w:szCs w:val="18"/>
                <w:color w:val="auto"/>
                <w:w w:val="99"/>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89"/>
              </w:rPr>
              <w:t>53</w:t>
            </w:r>
          </w:p>
        </w:tc>
        <w:tc>
          <w:tcPr>
            <w:tcW w:w="880" w:type="dxa"/>
            <w:vAlign w:val="bottom"/>
            <w:gridSpan w:val="2"/>
          </w:tcPr>
          <w:p>
            <w:pPr>
              <w:jc w:val="right"/>
              <w:ind w:right="520"/>
              <w:spacing w:after="0"/>
              <w:rPr>
                <w:sz w:val="20"/>
                <w:szCs w:val="20"/>
                <w:color w:val="auto"/>
              </w:rPr>
            </w:pPr>
            <w:r>
              <w:rPr>
                <w:rFonts w:ascii="Arial" w:cs="Arial" w:eastAsia="Arial" w:hAnsi="Arial"/>
                <w:sz w:val="18"/>
                <w:szCs w:val="18"/>
                <w:color w:val="auto"/>
              </w:rPr>
              <w:t>$</w:t>
            </w:r>
          </w:p>
        </w:tc>
        <w:tc>
          <w:tcPr>
            <w:tcW w:w="740" w:type="dxa"/>
            <w:vAlign w:val="bottom"/>
          </w:tcPr>
          <w:p>
            <w:pPr>
              <w:ind w:left="540"/>
              <w:spacing w:after="0"/>
              <w:rPr>
                <w:sz w:val="20"/>
                <w:szCs w:val="20"/>
                <w:color w:val="auto"/>
              </w:rPr>
            </w:pPr>
            <w:r>
              <w:rPr>
                <w:rFonts w:ascii="Arial" w:cs="Arial" w:eastAsia="Arial" w:hAnsi="Arial"/>
                <w:sz w:val="18"/>
                <w:szCs w:val="18"/>
                <w:color w:val="auto"/>
                <w:w w:val="89"/>
              </w:rPr>
              <w:t>56</w:t>
            </w:r>
          </w:p>
        </w:tc>
        <w:tc>
          <w:tcPr>
            <w:tcW w:w="100" w:type="dxa"/>
            <w:vAlign w:val="bottom"/>
          </w:tcPr>
          <w:p>
            <w:pPr>
              <w:spacing w:after="0"/>
              <w:rPr>
                <w:sz w:val="21"/>
                <w:szCs w:val="21"/>
                <w:color w:val="auto"/>
              </w:rPr>
            </w:pPr>
          </w:p>
        </w:tc>
      </w:tr>
      <w:tr>
        <w:trPr>
          <w:trHeight w:val="20"/>
        </w:trPr>
        <w:tc>
          <w:tcPr>
            <w:tcW w:w="482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460" w:type="dxa"/>
            <w:vAlign w:val="bottom"/>
            <w:tcBorders>
              <w:top w:val="single" w:sz="8" w:color="auto"/>
              <w:bottom w:val="single" w:sz="8" w:color="auto"/>
            </w:tcBorders>
          </w:tcPr>
          <w:p>
            <w:pPr>
              <w:spacing w:after="0" w:line="20" w:lineRule="exact"/>
              <w:rPr>
                <w:sz w:val="1"/>
                <w:szCs w:val="1"/>
                <w:color w:val="auto"/>
              </w:rPr>
            </w:pPr>
          </w:p>
        </w:tc>
        <w:tc>
          <w:tcPr>
            <w:tcW w:w="9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64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3948430</wp:posOffset>
            </wp:positionH>
            <wp:positionV relativeFrom="paragraph">
              <wp:posOffset>-193675</wp:posOffset>
            </wp:positionV>
            <wp:extent cx="179705" cy="5715"/>
            <wp:wrapNone/>
            <wp:docPr id="260" name="Picture 2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0"/>
                    <pic:cNvPicPr>
                      <a:picLocks noChangeAspect="1" noChangeArrowheads="1"/>
                    </pic:cNvPicPr>
                  </pic:nvPicPr>
                  <pic:blipFill>
                    <a:blip r:embed="rId267">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5011420</wp:posOffset>
            </wp:positionH>
            <wp:positionV relativeFrom="paragraph">
              <wp:posOffset>-193675</wp:posOffset>
            </wp:positionV>
            <wp:extent cx="163195" cy="5715"/>
            <wp:wrapNone/>
            <wp:docPr id="261" name="Picture 2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1"/>
                    <pic:cNvPicPr>
                      <a:picLocks noChangeAspect="1" noChangeArrowheads="1"/>
                    </pic:cNvPicPr>
                  </pic:nvPicPr>
                  <pic:blipFill>
                    <a:blip r:embed="rId268">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-193675</wp:posOffset>
            </wp:positionV>
            <wp:extent cx="163195" cy="5715"/>
            <wp:wrapNone/>
            <wp:docPr id="262" name="Picture 2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2"/>
                    <pic:cNvPicPr>
                      <a:picLocks noChangeAspect="1" noChangeArrowheads="1"/>
                    </pic:cNvPicPr>
                  </pic:nvPicPr>
                  <pic:blipFill>
                    <a:blip r:embed="rId26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263" name="Picture 2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3"/>
                    <pic:cNvPicPr>
                      <a:picLocks noChangeAspect="1" noChangeArrowheads="1"/>
                    </pic:cNvPicPr>
                  </pic:nvPicPr>
                  <pic:blipFill>
                    <a:blip r:embed="rId270">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components of net periodic benefit cost for the Company’s postretirement benefit plan were as follows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820" w:type="dxa"/>
            <w:vAlign w:val="bottom"/>
          </w:tcPr>
          <w:p>
            <w:pPr>
              <w:spacing w:after="0"/>
              <w:rPr>
                <w:sz w:val="16"/>
                <w:szCs w:val="16"/>
                <w:color w:val="auto"/>
              </w:rPr>
            </w:pPr>
          </w:p>
        </w:tc>
        <w:tc>
          <w:tcPr>
            <w:tcW w:w="960" w:type="dxa"/>
            <w:vAlign w:val="bottom"/>
            <w:tcBorders>
              <w:bottom w:val="single" w:sz="8" w:color="auto"/>
            </w:tcBorders>
          </w:tcPr>
          <w:p>
            <w:pPr>
              <w:spacing w:after="0"/>
              <w:rPr>
                <w:sz w:val="16"/>
                <w:szCs w:val="16"/>
                <w:color w:val="auto"/>
              </w:rPr>
            </w:pPr>
          </w:p>
        </w:tc>
        <w:tc>
          <w:tcPr>
            <w:tcW w:w="420" w:type="dxa"/>
            <w:vAlign w:val="bottom"/>
            <w:tcBorders>
              <w:bottom w:val="single" w:sz="8" w:color="auto"/>
            </w:tcBorders>
          </w:tcPr>
          <w:p>
            <w:pPr>
              <w:spacing w:after="0"/>
              <w:rPr>
                <w:sz w:val="16"/>
                <w:szCs w:val="16"/>
                <w:color w:val="auto"/>
              </w:rPr>
            </w:pPr>
          </w:p>
        </w:tc>
        <w:tc>
          <w:tcPr>
            <w:tcW w:w="280" w:type="dxa"/>
            <w:vAlign w:val="bottom"/>
            <w:tcBorders>
              <w:bottom w:val="single" w:sz="8" w:color="auto"/>
            </w:tcBorders>
          </w:tcPr>
          <w:p>
            <w:pPr>
              <w:spacing w:after="0"/>
              <w:rPr>
                <w:sz w:val="16"/>
                <w:szCs w:val="16"/>
                <w:color w:val="auto"/>
              </w:rPr>
            </w:pPr>
          </w:p>
        </w:tc>
        <w:tc>
          <w:tcPr>
            <w:tcW w:w="340" w:type="dxa"/>
            <w:vAlign w:val="bottom"/>
            <w:tcBorders>
              <w:bottom w:val="single" w:sz="8" w:color="auto"/>
            </w:tcBorders>
          </w:tcPr>
          <w:p>
            <w:pPr>
              <w:spacing w:after="0"/>
              <w:rPr>
                <w:sz w:val="16"/>
                <w:szCs w:val="16"/>
                <w:color w:val="auto"/>
              </w:rPr>
            </w:pPr>
          </w:p>
        </w:tc>
        <w:tc>
          <w:tcPr>
            <w:tcW w:w="2940" w:type="dxa"/>
            <w:vAlign w:val="bottom"/>
            <w:tcBorders>
              <w:bottom w:val="single" w:sz="8" w:color="auto"/>
            </w:tcBorders>
            <w:gridSpan w:val="5"/>
          </w:tcPr>
          <w:p>
            <w:pPr>
              <w:jc w:val="right"/>
              <w:ind w:right="860"/>
              <w:spacing w:after="0"/>
              <w:rPr>
                <w:sz w:val="20"/>
                <w:szCs w:val="20"/>
                <w:color w:val="auto"/>
              </w:rPr>
            </w:pPr>
            <w:r>
              <w:rPr>
                <w:rFonts w:ascii="Arial" w:cs="Arial" w:eastAsia="Arial" w:hAnsi="Arial"/>
                <w:sz w:val="14"/>
                <w:szCs w:val="14"/>
                <w:b w:val="1"/>
                <w:bCs w:val="1"/>
                <w:color w:val="auto"/>
              </w:rPr>
              <w:t>Other Postretirement Benefits</w:t>
            </w:r>
          </w:p>
        </w:tc>
        <w:tc>
          <w:tcPr>
            <w:tcW w:w="320" w:type="dxa"/>
            <w:vAlign w:val="bottom"/>
            <w:tcBorders>
              <w:bottom w:val="single" w:sz="8" w:color="auto"/>
            </w:tcBorders>
          </w:tcPr>
          <w:p>
            <w:pPr>
              <w:spacing w:after="0"/>
              <w:rPr>
                <w:sz w:val="16"/>
                <w:szCs w:val="16"/>
                <w:color w:val="auto"/>
              </w:rPr>
            </w:pPr>
          </w:p>
        </w:tc>
        <w:tc>
          <w:tcPr>
            <w:tcW w:w="10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4820" w:type="dxa"/>
            <w:vAlign w:val="bottom"/>
          </w:tcPr>
          <w:p>
            <w:pPr>
              <w:spacing w:after="0"/>
              <w:rPr>
                <w:sz w:val="17"/>
                <w:szCs w:val="17"/>
                <w:color w:val="auto"/>
              </w:rPr>
            </w:pPr>
          </w:p>
        </w:tc>
        <w:tc>
          <w:tcPr>
            <w:tcW w:w="960" w:type="dxa"/>
            <w:vAlign w:val="bottom"/>
            <w:tcBorders>
              <w:bottom w:val="single" w:sz="8" w:color="auto"/>
            </w:tcBorders>
          </w:tcPr>
          <w:p>
            <w:pPr>
              <w:spacing w:after="0"/>
              <w:rPr>
                <w:sz w:val="17"/>
                <w:szCs w:val="17"/>
                <w:color w:val="auto"/>
              </w:rPr>
            </w:pPr>
          </w:p>
        </w:tc>
        <w:tc>
          <w:tcPr>
            <w:tcW w:w="420" w:type="dxa"/>
            <w:vAlign w:val="bottom"/>
            <w:tcBorders>
              <w:bottom w:val="single" w:sz="8" w:color="auto"/>
            </w:tcBorders>
          </w:tcPr>
          <w:p>
            <w:pPr>
              <w:spacing w:after="0"/>
              <w:rPr>
                <w:sz w:val="17"/>
                <w:szCs w:val="17"/>
                <w:color w:val="auto"/>
              </w:rPr>
            </w:pPr>
          </w:p>
        </w:tc>
        <w:tc>
          <w:tcPr>
            <w:tcW w:w="280" w:type="dxa"/>
            <w:vAlign w:val="bottom"/>
            <w:tcBorders>
              <w:bottom w:val="single" w:sz="8" w:color="auto"/>
            </w:tcBorders>
          </w:tcPr>
          <w:p>
            <w:pPr>
              <w:spacing w:after="0"/>
              <w:rPr>
                <w:sz w:val="17"/>
                <w:szCs w:val="17"/>
                <w:color w:val="auto"/>
              </w:rPr>
            </w:pPr>
          </w:p>
        </w:tc>
        <w:tc>
          <w:tcPr>
            <w:tcW w:w="340" w:type="dxa"/>
            <w:vAlign w:val="bottom"/>
            <w:tcBorders>
              <w:bottom w:val="single" w:sz="8" w:color="auto"/>
            </w:tcBorders>
          </w:tcPr>
          <w:p>
            <w:pPr>
              <w:spacing w:after="0"/>
              <w:rPr>
                <w:sz w:val="17"/>
                <w:szCs w:val="17"/>
                <w:color w:val="auto"/>
              </w:rPr>
            </w:pPr>
          </w:p>
        </w:tc>
        <w:tc>
          <w:tcPr>
            <w:tcW w:w="2940" w:type="dxa"/>
            <w:vAlign w:val="bottom"/>
            <w:tcBorders>
              <w:bottom w:val="single" w:sz="8" w:color="auto"/>
            </w:tcBorders>
            <w:gridSpan w:val="5"/>
          </w:tcPr>
          <w:p>
            <w:pPr>
              <w:jc w:val="right"/>
              <w:ind w:right="920"/>
              <w:spacing w:after="0"/>
              <w:rPr>
                <w:sz w:val="20"/>
                <w:szCs w:val="20"/>
                <w:color w:val="auto"/>
              </w:rPr>
            </w:pPr>
            <w:r>
              <w:rPr>
                <w:rFonts w:ascii="Arial" w:cs="Arial" w:eastAsia="Arial" w:hAnsi="Arial"/>
                <w:sz w:val="14"/>
                <w:szCs w:val="14"/>
                <w:b w:val="1"/>
                <w:bCs w:val="1"/>
                <w:color w:val="auto"/>
              </w:rPr>
              <w:t>Postretirement Welfare Plan</w:t>
            </w:r>
          </w:p>
        </w:tc>
        <w:tc>
          <w:tcPr>
            <w:tcW w:w="320" w:type="dxa"/>
            <w:vAlign w:val="bottom"/>
            <w:tcBorders>
              <w:bottom w:val="single" w:sz="8" w:color="auto"/>
            </w:tcBorders>
          </w:tcPr>
          <w:p>
            <w:pPr>
              <w:spacing w:after="0"/>
              <w:rPr>
                <w:sz w:val="17"/>
                <w:szCs w:val="17"/>
                <w:color w:val="auto"/>
              </w:rPr>
            </w:pPr>
          </w:p>
        </w:tc>
        <w:tc>
          <w:tcPr>
            <w:tcW w:w="10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96"/>
        </w:trPr>
        <w:tc>
          <w:tcPr>
            <w:tcW w:w="4820" w:type="dxa"/>
            <w:vAlign w:val="bottom"/>
          </w:tcPr>
          <w:p>
            <w:pPr>
              <w:spacing w:after="0"/>
              <w:rPr>
                <w:sz w:val="17"/>
                <w:szCs w:val="17"/>
                <w:color w:val="auto"/>
              </w:rPr>
            </w:pPr>
          </w:p>
        </w:tc>
        <w:tc>
          <w:tcPr>
            <w:tcW w:w="3320" w:type="dxa"/>
            <w:vAlign w:val="bottom"/>
            <w:gridSpan w:val="6"/>
          </w:tcPr>
          <w:p>
            <w:pPr>
              <w:jc w:val="right"/>
              <w:ind w:right="680"/>
              <w:spacing w:after="0"/>
              <w:rPr>
                <w:sz w:val="20"/>
                <w:szCs w:val="20"/>
                <w:color w:val="auto"/>
              </w:rPr>
            </w:pPr>
            <w:r>
              <w:rPr>
                <w:rFonts w:ascii="Arial" w:cs="Arial" w:eastAsia="Arial" w:hAnsi="Arial"/>
                <w:sz w:val="14"/>
                <w:szCs w:val="14"/>
                <w:b w:val="1"/>
                <w:bCs w:val="1"/>
                <w:color w:val="auto"/>
              </w:rPr>
              <w:t>Three Months Ended September 30,</w:t>
            </w:r>
          </w:p>
        </w:tc>
        <w:tc>
          <w:tcPr>
            <w:tcW w:w="260" w:type="dxa"/>
            <w:vAlign w:val="bottom"/>
          </w:tcPr>
          <w:p>
            <w:pPr>
              <w:spacing w:after="0"/>
              <w:rPr>
                <w:sz w:val="17"/>
                <w:szCs w:val="17"/>
                <w:color w:val="auto"/>
              </w:rPr>
            </w:pPr>
          </w:p>
        </w:tc>
        <w:tc>
          <w:tcPr>
            <w:tcW w:w="2840" w:type="dxa"/>
            <w:vAlign w:val="bottom"/>
            <w:gridSpan w:val="5"/>
          </w:tcPr>
          <w:p>
            <w:pPr>
              <w:jc w:val="right"/>
              <w:ind w:right="52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4820" w:type="dxa"/>
            <w:vAlign w:val="bottom"/>
          </w:tcPr>
          <w:p>
            <w:pPr>
              <w:spacing w:after="0"/>
              <w:rPr>
                <w:sz w:val="17"/>
                <w:szCs w:val="17"/>
                <w:color w:val="auto"/>
              </w:rPr>
            </w:pPr>
          </w:p>
        </w:tc>
        <w:tc>
          <w:tcPr>
            <w:tcW w:w="960" w:type="dxa"/>
            <w:vAlign w:val="bottom"/>
            <w:tcBorders>
              <w:top w:val="single" w:sz="8" w:color="auto"/>
              <w:bottom w:val="single" w:sz="8" w:color="auto"/>
            </w:tcBorders>
          </w:tcPr>
          <w:p>
            <w:pPr>
              <w:jc w:val="right"/>
              <w:ind w:right="37"/>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bottom w:val="single" w:sz="8" w:color="auto"/>
            </w:tcBorders>
          </w:tcPr>
          <w:p>
            <w:pPr>
              <w:spacing w:after="0"/>
              <w:rPr>
                <w:sz w:val="17"/>
                <w:szCs w:val="17"/>
                <w:color w:val="auto"/>
              </w:rPr>
            </w:pPr>
          </w:p>
        </w:tc>
        <w:tc>
          <w:tcPr>
            <w:tcW w:w="280" w:type="dxa"/>
            <w:vAlign w:val="bottom"/>
            <w:tcBorders>
              <w:top w:val="single" w:sz="8" w:color="auto"/>
            </w:tcBorders>
          </w:tcPr>
          <w:p>
            <w:pPr>
              <w:spacing w:after="0"/>
              <w:rPr>
                <w:sz w:val="17"/>
                <w:szCs w:val="17"/>
                <w:color w:val="auto"/>
              </w:rPr>
            </w:pPr>
          </w:p>
        </w:tc>
        <w:tc>
          <w:tcPr>
            <w:tcW w:w="34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8"/>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6"/>
              <w:spacing w:after="0"/>
              <w:rPr>
                <w:sz w:val="20"/>
                <w:szCs w:val="20"/>
                <w:color w:val="auto"/>
              </w:rPr>
            </w:pPr>
            <w:r>
              <w:rPr>
                <w:rFonts w:ascii="Arial" w:cs="Arial" w:eastAsia="Arial" w:hAnsi="Arial"/>
                <w:sz w:val="14"/>
                <w:szCs w:val="14"/>
                <w:b w:val="1"/>
                <w:bCs w:val="1"/>
                <w:color w:val="auto"/>
              </w:rPr>
              <w:t>2021</w:t>
            </w:r>
          </w:p>
        </w:tc>
        <w:tc>
          <w:tcPr>
            <w:tcW w:w="24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4"/>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8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Components of net periodic benefit cost:</w:t>
            </w:r>
          </w:p>
        </w:tc>
        <w:tc>
          <w:tcPr>
            <w:tcW w:w="960" w:type="dxa"/>
            <w:vAlign w:val="bottom"/>
            <w:shd w:val="clear" w:color="auto" w:fill="CFF0FC"/>
          </w:tcPr>
          <w:p>
            <w:pPr>
              <w:spacing w:after="0"/>
              <w:rPr>
                <w:sz w:val="22"/>
                <w:szCs w:val="22"/>
                <w:color w:val="auto"/>
              </w:rPr>
            </w:pPr>
          </w:p>
        </w:tc>
        <w:tc>
          <w:tcPr>
            <w:tcW w:w="42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4820" w:type="dxa"/>
            <w:vAlign w:val="bottom"/>
          </w:tcPr>
          <w:p>
            <w:pPr>
              <w:ind w:left="200"/>
              <w:spacing w:after="0"/>
              <w:rPr>
                <w:sz w:val="20"/>
                <w:szCs w:val="20"/>
                <w:color w:val="auto"/>
              </w:rPr>
            </w:pPr>
            <w:r>
              <w:rPr>
                <w:rFonts w:ascii="Arial" w:cs="Arial" w:eastAsia="Arial" w:hAnsi="Arial"/>
                <w:sz w:val="18"/>
                <w:szCs w:val="18"/>
                <w:color w:val="auto"/>
              </w:rPr>
              <w:t>Service cost</w:t>
            </w:r>
          </w:p>
        </w:tc>
        <w:tc>
          <w:tcPr>
            <w:tcW w:w="960" w:type="dxa"/>
            <w:vAlign w:val="bottom"/>
          </w:tcPr>
          <w:p>
            <w:pPr>
              <w:jc w:val="right"/>
              <w:ind w:right="777"/>
              <w:spacing w:after="0"/>
              <w:rPr>
                <w:sz w:val="20"/>
                <w:szCs w:val="20"/>
                <w:color w:val="auto"/>
              </w:rPr>
            </w:pPr>
            <w:r>
              <w:rPr>
                <w:rFonts w:ascii="Arial" w:cs="Arial" w:eastAsia="Arial" w:hAnsi="Arial"/>
                <w:sz w:val="18"/>
                <w:szCs w:val="18"/>
                <w:color w:val="auto"/>
                <w:w w:val="79"/>
              </w:rPr>
              <w:t>$</w:t>
            </w:r>
          </w:p>
        </w:tc>
        <w:tc>
          <w:tcPr>
            <w:tcW w:w="70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340" w:type="dxa"/>
            <w:vAlign w:val="bottom"/>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tcPr>
          <w:p>
            <w:pPr>
              <w:jc w:val="right"/>
              <w:ind w:right="280"/>
              <w:spacing w:after="0"/>
              <w:rPr>
                <w:sz w:val="20"/>
                <w:szCs w:val="20"/>
                <w:color w:val="auto"/>
              </w:rPr>
            </w:pPr>
            <w:r>
              <w:rPr>
                <w:rFonts w:ascii="Arial" w:cs="Arial" w:eastAsia="Arial" w:hAnsi="Arial"/>
                <w:sz w:val="18"/>
                <w:szCs w:val="18"/>
                <w:color w:val="auto"/>
              </w:rPr>
              <w:t>—</w:t>
            </w:r>
          </w:p>
        </w:tc>
        <w:tc>
          <w:tcPr>
            <w:tcW w:w="260" w:type="dxa"/>
            <w:vAlign w:val="bottom"/>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320" w:type="dxa"/>
            <w:vAlign w:val="bottom"/>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63"/>
        </w:trPr>
        <w:tc>
          <w:tcPr>
            <w:tcW w:w="48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Interest cost</w:t>
            </w:r>
          </w:p>
        </w:tc>
        <w:tc>
          <w:tcPr>
            <w:tcW w:w="960" w:type="dxa"/>
            <w:vAlign w:val="bottom"/>
            <w:shd w:val="clear" w:color="auto" w:fill="CFF0FC"/>
          </w:tcPr>
          <w:p>
            <w:pPr>
              <w:spacing w:after="0"/>
              <w:rPr>
                <w:sz w:val="22"/>
                <w:szCs w:val="22"/>
                <w:color w:val="auto"/>
              </w:rPr>
            </w:pPr>
          </w:p>
        </w:tc>
        <w:tc>
          <w:tcPr>
            <w:tcW w:w="4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8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w:t>
            </w:r>
          </w:p>
        </w:tc>
        <w:tc>
          <w:tcPr>
            <w:tcW w:w="24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17</w:t>
            </w:r>
          </w:p>
        </w:tc>
        <w:tc>
          <w:tcPr>
            <w:tcW w:w="100" w:type="dxa"/>
            <w:vAlign w:val="bottom"/>
            <w:shd w:val="clear" w:color="auto" w:fill="CFF0FC"/>
          </w:tcPr>
          <w:p>
            <w:pPr>
              <w:spacing w:after="0"/>
              <w:rPr>
                <w:sz w:val="22"/>
                <w:szCs w:val="22"/>
                <w:color w:val="auto"/>
              </w:rPr>
            </w:pPr>
          </w:p>
        </w:tc>
      </w:tr>
      <w:tr>
        <w:trPr>
          <w:trHeight w:val="250"/>
        </w:trPr>
        <w:tc>
          <w:tcPr>
            <w:tcW w:w="4820" w:type="dxa"/>
            <w:vAlign w:val="bottom"/>
          </w:tcPr>
          <w:p>
            <w:pPr>
              <w:ind w:left="200"/>
              <w:spacing w:after="0"/>
              <w:rPr>
                <w:sz w:val="20"/>
                <w:szCs w:val="20"/>
                <w:color w:val="auto"/>
              </w:rPr>
            </w:pPr>
            <w:r>
              <w:rPr>
                <w:rFonts w:ascii="Arial" w:cs="Arial" w:eastAsia="Arial" w:hAnsi="Arial"/>
                <w:sz w:val="18"/>
                <w:szCs w:val="18"/>
                <w:color w:val="auto"/>
              </w:rPr>
              <w:t>Amortization of actuarial gain</w:t>
            </w:r>
          </w:p>
        </w:tc>
        <w:tc>
          <w:tcPr>
            <w:tcW w:w="960" w:type="dxa"/>
            <w:vAlign w:val="bottom"/>
          </w:tcPr>
          <w:p>
            <w:pPr>
              <w:spacing w:after="0"/>
              <w:rPr>
                <w:sz w:val="21"/>
                <w:szCs w:val="21"/>
                <w:color w:val="auto"/>
              </w:rPr>
            </w:pPr>
          </w:p>
        </w:tc>
        <w:tc>
          <w:tcPr>
            <w:tcW w:w="700" w:type="dxa"/>
            <w:vAlign w:val="bottom"/>
            <w:gridSpan w:val="2"/>
          </w:tcPr>
          <w:p>
            <w:pPr>
              <w:jc w:val="right"/>
              <w:ind w:right="200"/>
              <w:spacing w:after="0"/>
              <w:rPr>
                <w:sz w:val="20"/>
                <w:szCs w:val="20"/>
                <w:color w:val="auto"/>
              </w:rPr>
            </w:pPr>
            <w:r>
              <w:rPr>
                <w:rFonts w:ascii="Arial" w:cs="Arial" w:eastAsia="Arial" w:hAnsi="Arial"/>
                <w:sz w:val="18"/>
                <w:szCs w:val="18"/>
                <w:color w:val="auto"/>
              </w:rPr>
              <w:t>(113 )</w:t>
            </w:r>
          </w:p>
        </w:tc>
        <w:tc>
          <w:tcPr>
            <w:tcW w:w="340" w:type="dxa"/>
            <w:vAlign w:val="bottom"/>
          </w:tcPr>
          <w:p>
            <w:pPr>
              <w:spacing w:after="0"/>
              <w:rPr>
                <w:sz w:val="21"/>
                <w:szCs w:val="21"/>
                <w:color w:val="auto"/>
              </w:rPr>
            </w:pPr>
          </w:p>
        </w:tc>
        <w:tc>
          <w:tcPr>
            <w:tcW w:w="1320" w:type="dxa"/>
            <w:vAlign w:val="bottom"/>
            <w:gridSpan w:val="2"/>
          </w:tcPr>
          <w:p>
            <w:pPr>
              <w:jc w:val="right"/>
              <w:ind w:right="180"/>
              <w:spacing w:after="0"/>
              <w:rPr>
                <w:sz w:val="20"/>
                <w:szCs w:val="20"/>
                <w:color w:val="auto"/>
              </w:rPr>
            </w:pPr>
            <w:r>
              <w:rPr>
                <w:rFonts w:ascii="Arial" w:cs="Arial" w:eastAsia="Arial" w:hAnsi="Arial"/>
                <w:sz w:val="18"/>
                <w:szCs w:val="18"/>
                <w:color w:val="auto"/>
              </w:rPr>
              <w:t>(131 )</w:t>
            </w:r>
          </w:p>
        </w:tc>
        <w:tc>
          <w:tcPr>
            <w:tcW w:w="260" w:type="dxa"/>
            <w:vAlign w:val="bottom"/>
          </w:tcPr>
          <w:p>
            <w:pPr>
              <w:spacing w:after="0"/>
              <w:rPr>
                <w:sz w:val="21"/>
                <w:szCs w:val="21"/>
                <w:color w:val="auto"/>
              </w:rPr>
            </w:pPr>
          </w:p>
        </w:tc>
        <w:tc>
          <w:tcPr>
            <w:tcW w:w="1360" w:type="dxa"/>
            <w:vAlign w:val="bottom"/>
            <w:gridSpan w:val="2"/>
          </w:tcPr>
          <w:p>
            <w:pPr>
              <w:jc w:val="right"/>
              <w:ind w:right="180"/>
              <w:spacing w:after="0"/>
              <w:rPr>
                <w:sz w:val="20"/>
                <w:szCs w:val="20"/>
                <w:color w:val="auto"/>
              </w:rPr>
            </w:pPr>
            <w:r>
              <w:rPr>
                <w:rFonts w:ascii="Arial" w:cs="Arial" w:eastAsia="Arial" w:hAnsi="Arial"/>
                <w:sz w:val="18"/>
                <w:szCs w:val="18"/>
                <w:color w:val="auto"/>
              </w:rPr>
              <w:t>(338 )</w:t>
            </w:r>
          </w:p>
        </w:tc>
        <w:tc>
          <w:tcPr>
            <w:tcW w:w="320" w:type="dxa"/>
            <w:vAlign w:val="bottom"/>
          </w:tcPr>
          <w:p>
            <w:pPr>
              <w:spacing w:after="0"/>
              <w:rPr>
                <w:sz w:val="21"/>
                <w:szCs w:val="21"/>
                <w:color w:val="auto"/>
              </w:rPr>
            </w:pP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(392 )</w:t>
            </w:r>
          </w:p>
        </w:tc>
      </w:tr>
      <w:tr>
        <w:trPr>
          <w:trHeight w:val="20"/>
        </w:trPr>
        <w:tc>
          <w:tcPr>
            <w:tcW w:w="4820" w:type="dxa"/>
            <w:vAlign w:val="bottom"/>
          </w:tcPr>
          <w:p>
            <w:pPr>
              <w:spacing w:after="0" w:line="20" w:lineRule="exact"/>
              <w:rPr>
                <w:sz w:val="1"/>
                <w:szCs w:val="1"/>
                <w:color w:val="auto"/>
              </w:rPr>
            </w:pPr>
          </w:p>
        </w:tc>
        <w:tc>
          <w:tcPr>
            <w:tcW w:w="960" w:type="dxa"/>
            <w:vAlign w:val="bottom"/>
            <w:shd w:val="clear" w:color="auto" w:fill="000000"/>
          </w:tcPr>
          <w:p>
            <w:pPr>
              <w:spacing w:after="0" w:line="20" w:lineRule="exact"/>
              <w:rPr>
                <w:sz w:val="1"/>
                <w:szCs w:val="1"/>
                <w:color w:val="auto"/>
              </w:rPr>
            </w:pPr>
          </w:p>
        </w:tc>
        <w:tc>
          <w:tcPr>
            <w:tcW w:w="420" w:type="dxa"/>
            <w:vAlign w:val="bottom"/>
            <w:shd w:val="clear" w:color="auto" w:fill="000000"/>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34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60" w:type="dxa"/>
            <w:vAlign w:val="bottom"/>
            <w:shd w:val="clear" w:color="auto" w:fill="000000"/>
          </w:tcPr>
          <w:p>
            <w:pPr>
              <w:spacing w:after="0" w:line="20" w:lineRule="exact"/>
              <w:rPr>
                <w:sz w:val="1"/>
                <w:szCs w:val="1"/>
                <w:color w:val="auto"/>
              </w:rPr>
            </w:pPr>
          </w:p>
        </w:tc>
        <w:tc>
          <w:tcPr>
            <w:tcW w:w="112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320" w:type="dxa"/>
            <w:vAlign w:val="bottom"/>
            <w:shd w:val="clear" w:color="auto" w:fill="000000"/>
          </w:tcPr>
          <w:p>
            <w:pPr>
              <w:spacing w:after="0" w:line="20" w:lineRule="exact"/>
              <w:rPr>
                <w:sz w:val="1"/>
                <w:szCs w:val="1"/>
                <w:color w:val="auto"/>
              </w:rPr>
            </w:pPr>
          </w:p>
        </w:tc>
        <w:tc>
          <w:tcPr>
            <w:tcW w:w="10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90"/>
        </w:trPr>
        <w:tc>
          <w:tcPr>
            <w:tcW w:w="4820" w:type="dxa"/>
            <w:vAlign w:val="bottom"/>
            <w:shd w:val="clear" w:color="auto" w:fill="CFF0FC"/>
          </w:tcPr>
          <w:p>
            <w:pPr>
              <w:ind w:left="380"/>
              <w:spacing w:after="0"/>
              <w:rPr>
                <w:sz w:val="20"/>
                <w:szCs w:val="20"/>
                <w:color w:val="auto"/>
              </w:rPr>
            </w:pPr>
            <w:r>
              <w:rPr>
                <w:rFonts w:ascii="Arial" w:cs="Arial" w:eastAsia="Arial" w:hAnsi="Arial"/>
                <w:sz w:val="18"/>
                <w:szCs w:val="18"/>
                <w:color w:val="auto"/>
              </w:rPr>
              <w:t>Net periodic benefit cost</w:t>
            </w:r>
          </w:p>
        </w:tc>
        <w:tc>
          <w:tcPr>
            <w:tcW w:w="960" w:type="dxa"/>
            <w:vAlign w:val="bottom"/>
            <w:shd w:val="clear" w:color="auto" w:fill="CFF0FC"/>
          </w:tcPr>
          <w:p>
            <w:pPr>
              <w:jc w:val="right"/>
              <w:ind w:right="777"/>
              <w:spacing w:after="0"/>
              <w:rPr>
                <w:sz w:val="20"/>
                <w:szCs w:val="20"/>
                <w:color w:val="auto"/>
              </w:rPr>
            </w:pPr>
            <w:r>
              <w:rPr>
                <w:rFonts w:ascii="Arial" w:cs="Arial" w:eastAsia="Arial" w:hAnsi="Arial"/>
                <w:sz w:val="18"/>
                <w:szCs w:val="18"/>
                <w:color w:val="auto"/>
                <w:w w:val="79"/>
              </w:rPr>
              <w:t>$</w:t>
            </w:r>
          </w:p>
        </w:tc>
        <w:tc>
          <w:tcPr>
            <w:tcW w:w="70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(108 )</w:t>
            </w:r>
          </w:p>
        </w:tc>
        <w:tc>
          <w:tcPr>
            <w:tcW w:w="34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99"/>
              </w:rPr>
              <w:t>$</w:t>
            </w:r>
          </w:p>
        </w:tc>
        <w:tc>
          <w:tcPr>
            <w:tcW w:w="13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(125 )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3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(325 )</w:t>
            </w:r>
          </w:p>
        </w:tc>
        <w:tc>
          <w:tcPr>
            <w:tcW w:w="320" w:type="dxa"/>
            <w:vAlign w:val="bottom"/>
            <w:shd w:val="clear" w:color="auto" w:fill="CFF0FC"/>
          </w:tcPr>
          <w:p>
            <w:pPr>
              <w:jc w:val="right"/>
              <w:ind w:right="110"/>
              <w:spacing w:after="0"/>
              <w:rPr>
                <w:sz w:val="20"/>
                <w:szCs w:val="20"/>
                <w:color w:val="auto"/>
              </w:rPr>
            </w:pPr>
            <w:r>
              <w:rPr>
                <w:rFonts w:ascii="Arial" w:cs="Arial" w:eastAsia="Arial" w:hAnsi="Arial"/>
                <w:sz w:val="18"/>
                <w:szCs w:val="18"/>
                <w:color w:val="auto"/>
                <w:w w:val="9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(375 )</w:t>
            </w:r>
          </w:p>
        </w:tc>
      </w:tr>
      <w:tr>
        <w:trPr>
          <w:trHeight w:val="594"/>
        </w:trPr>
        <w:tc>
          <w:tcPr>
            <w:tcW w:w="4820" w:type="dxa"/>
            <w:vAlign w:val="bottom"/>
            <w:tcBorders>
              <w:top w:val="single" w:sz="8" w:color="CFF0FC"/>
            </w:tcBorders>
          </w:tcPr>
          <w:p>
            <w:pPr>
              <w:spacing w:after="0"/>
              <w:rPr>
                <w:sz w:val="24"/>
                <w:szCs w:val="24"/>
                <w:color w:val="auto"/>
              </w:rPr>
            </w:pPr>
          </w:p>
        </w:tc>
        <w:tc>
          <w:tcPr>
            <w:tcW w:w="960" w:type="dxa"/>
            <w:vAlign w:val="bottom"/>
            <w:tcBorders>
              <w:top w:val="single" w:sz="8" w:color="auto"/>
            </w:tcBorders>
          </w:tcPr>
          <w:p>
            <w:pPr>
              <w:jc w:val="right"/>
              <w:spacing w:after="0"/>
              <w:rPr>
                <w:sz w:val="20"/>
                <w:szCs w:val="20"/>
                <w:color w:val="auto"/>
              </w:rPr>
            </w:pPr>
            <w:r>
              <w:rPr>
                <w:rFonts w:ascii="Arial" w:cs="Arial" w:eastAsia="Arial" w:hAnsi="Arial"/>
                <w:sz w:val="18"/>
                <w:szCs w:val="18"/>
                <w:color w:val="auto"/>
              </w:rPr>
              <w:t>14</w:t>
            </w:r>
          </w:p>
        </w:tc>
        <w:tc>
          <w:tcPr>
            <w:tcW w:w="420" w:type="dxa"/>
            <w:vAlign w:val="bottom"/>
            <w:tcBorders>
              <w:top w:val="single" w:sz="8" w:color="auto"/>
            </w:tcBorders>
          </w:tcPr>
          <w:p>
            <w:pPr>
              <w:spacing w:after="0"/>
              <w:rPr>
                <w:sz w:val="24"/>
                <w:szCs w:val="24"/>
                <w:color w:val="auto"/>
              </w:rPr>
            </w:pPr>
          </w:p>
        </w:tc>
        <w:tc>
          <w:tcPr>
            <w:tcW w:w="280" w:type="dxa"/>
            <w:vAlign w:val="bottom"/>
            <w:tcBorders>
              <w:top w:val="single" w:sz="8" w:color="CFF0FC"/>
            </w:tcBorders>
          </w:tcPr>
          <w:p>
            <w:pPr>
              <w:spacing w:after="0"/>
              <w:rPr>
                <w:sz w:val="24"/>
                <w:szCs w:val="24"/>
                <w:color w:val="auto"/>
              </w:rPr>
            </w:pPr>
          </w:p>
        </w:tc>
        <w:tc>
          <w:tcPr>
            <w:tcW w:w="34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260" w:type="dxa"/>
            <w:vAlign w:val="bottom"/>
            <w:tcBorders>
              <w:top w:val="single" w:sz="8" w:color="CFF0FC"/>
            </w:tcBorders>
          </w:tcPr>
          <w:p>
            <w:pPr>
              <w:spacing w:after="0"/>
              <w:rPr>
                <w:sz w:val="24"/>
                <w:szCs w:val="24"/>
                <w:color w:val="auto"/>
              </w:rPr>
            </w:pPr>
          </w:p>
        </w:tc>
        <w:tc>
          <w:tcPr>
            <w:tcW w:w="260" w:type="dxa"/>
            <w:vAlign w:val="bottom"/>
            <w:tcBorders>
              <w:top w:val="single" w:sz="8" w:color="auto"/>
            </w:tcBorders>
          </w:tcPr>
          <w:p>
            <w:pPr>
              <w:spacing w:after="0"/>
              <w:rPr>
                <w:sz w:val="24"/>
                <w:szCs w:val="24"/>
                <w:color w:val="auto"/>
              </w:rPr>
            </w:pPr>
          </w:p>
        </w:tc>
        <w:tc>
          <w:tcPr>
            <w:tcW w:w="1120" w:type="dxa"/>
            <w:vAlign w:val="bottom"/>
            <w:tcBorders>
              <w:top w:val="single" w:sz="8" w:color="auto"/>
            </w:tcBorders>
          </w:tcPr>
          <w:p>
            <w:pPr>
              <w:spacing w:after="0"/>
              <w:rPr>
                <w:sz w:val="24"/>
                <w:szCs w:val="24"/>
                <w:color w:val="auto"/>
              </w:rPr>
            </w:pPr>
          </w:p>
        </w:tc>
        <w:tc>
          <w:tcPr>
            <w:tcW w:w="240" w:type="dxa"/>
            <w:vAlign w:val="bottom"/>
            <w:tcBorders>
              <w:top w:val="single" w:sz="8" w:color="CFF0FC"/>
            </w:tcBorders>
          </w:tcPr>
          <w:p>
            <w:pPr>
              <w:spacing w:after="0"/>
              <w:rPr>
                <w:sz w:val="24"/>
                <w:szCs w:val="24"/>
                <w:color w:val="auto"/>
              </w:rPr>
            </w:pPr>
          </w:p>
        </w:tc>
        <w:tc>
          <w:tcPr>
            <w:tcW w:w="320" w:type="dxa"/>
            <w:vAlign w:val="bottom"/>
            <w:tcBorders>
              <w:top w:val="single" w:sz="8" w:color="auto"/>
            </w:tcBorders>
          </w:tcPr>
          <w:p>
            <w:pPr>
              <w:spacing w:after="0"/>
              <w:rPr>
                <w:sz w:val="24"/>
                <w:szCs w:val="24"/>
                <w:color w:val="auto"/>
              </w:rPr>
            </w:pPr>
          </w:p>
        </w:tc>
        <w:tc>
          <w:tcPr>
            <w:tcW w:w="1060" w:type="dxa"/>
            <w:vAlign w:val="bottom"/>
            <w:tcBorders>
              <w:top w:val="single" w:sz="8" w:color="auto"/>
            </w:tcBorders>
          </w:tcPr>
          <w:p>
            <w:pPr>
              <w:spacing w:after="0"/>
              <w:rPr>
                <w:sz w:val="24"/>
                <w:szCs w:val="24"/>
                <w:color w:val="auto"/>
              </w:rPr>
            </w:pPr>
          </w:p>
        </w:tc>
        <w:tc>
          <w:tcPr>
            <w:tcW w:w="100" w:type="dxa"/>
            <w:vAlign w:val="bottom"/>
            <w:tcBorders>
              <w:top w:val="single" w:sz="8" w:color="CFF0FC"/>
            </w:tcBorders>
          </w:tcPr>
          <w:p>
            <w:pPr>
              <w:spacing w:after="0"/>
              <w:rPr>
                <w:sz w:val="24"/>
                <w:szCs w:val="24"/>
                <w:color w:val="auto"/>
              </w:rPr>
            </w:pPr>
          </w:p>
        </w:tc>
      </w:tr>
      <w:tr>
        <w:trPr>
          <w:trHeight w:val="115"/>
        </w:trPr>
        <w:tc>
          <w:tcPr>
            <w:tcW w:w="4820" w:type="dxa"/>
            <w:vAlign w:val="bottom"/>
            <w:tcBorders>
              <w:bottom w:val="single" w:sz="8" w:color="9A9A9A"/>
            </w:tcBorders>
          </w:tcPr>
          <w:p>
            <w:pPr>
              <w:spacing w:after="0"/>
              <w:rPr>
                <w:sz w:val="10"/>
                <w:szCs w:val="10"/>
                <w:color w:val="auto"/>
              </w:rPr>
            </w:pPr>
          </w:p>
        </w:tc>
        <w:tc>
          <w:tcPr>
            <w:tcW w:w="960" w:type="dxa"/>
            <w:vAlign w:val="bottom"/>
            <w:tcBorders>
              <w:bottom w:val="single" w:sz="8" w:color="9A9A9A"/>
            </w:tcBorders>
          </w:tcPr>
          <w:p>
            <w:pPr>
              <w:spacing w:after="0"/>
              <w:rPr>
                <w:sz w:val="10"/>
                <w:szCs w:val="10"/>
                <w:color w:val="auto"/>
              </w:rPr>
            </w:pPr>
          </w:p>
        </w:tc>
        <w:tc>
          <w:tcPr>
            <w:tcW w:w="42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34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260" w:type="dxa"/>
            <w:vAlign w:val="bottom"/>
            <w:tcBorders>
              <w:bottom w:val="single" w:sz="8" w:color="9A9A9A"/>
            </w:tcBorders>
          </w:tcPr>
          <w:p>
            <w:pPr>
              <w:spacing w:after="0"/>
              <w:rPr>
                <w:sz w:val="10"/>
                <w:szCs w:val="10"/>
                <w:color w:val="auto"/>
              </w:rPr>
            </w:pPr>
          </w:p>
        </w:tc>
        <w:tc>
          <w:tcPr>
            <w:tcW w:w="1120" w:type="dxa"/>
            <w:vAlign w:val="bottom"/>
            <w:tcBorders>
              <w:bottom w:val="single" w:sz="8" w:color="9A9A9A"/>
            </w:tcBorders>
          </w:tcPr>
          <w:p>
            <w:pPr>
              <w:spacing w:after="0"/>
              <w:rPr>
                <w:sz w:val="10"/>
                <w:szCs w:val="10"/>
                <w:color w:val="auto"/>
              </w:rPr>
            </w:pPr>
          </w:p>
        </w:tc>
        <w:tc>
          <w:tcPr>
            <w:tcW w:w="240" w:type="dxa"/>
            <w:vAlign w:val="bottom"/>
            <w:tcBorders>
              <w:bottom w:val="single" w:sz="8" w:color="9A9A9A"/>
            </w:tcBorders>
          </w:tcPr>
          <w:p>
            <w:pPr>
              <w:spacing w:after="0"/>
              <w:rPr>
                <w:sz w:val="10"/>
                <w:szCs w:val="10"/>
                <w:color w:val="auto"/>
              </w:rPr>
            </w:pPr>
          </w:p>
        </w:tc>
        <w:tc>
          <w:tcPr>
            <w:tcW w:w="320" w:type="dxa"/>
            <w:vAlign w:val="bottom"/>
            <w:tcBorders>
              <w:bottom w:val="single" w:sz="8" w:color="9A9A9A"/>
            </w:tcBorders>
          </w:tcPr>
          <w:p>
            <w:pPr>
              <w:spacing w:after="0"/>
              <w:rPr>
                <w:sz w:val="10"/>
                <w:szCs w:val="10"/>
                <w:color w:val="auto"/>
              </w:rPr>
            </w:pPr>
          </w:p>
        </w:tc>
        <w:tc>
          <w:tcPr>
            <w:tcW w:w="106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3939540</wp:posOffset>
            </wp:positionH>
            <wp:positionV relativeFrom="paragraph">
              <wp:posOffset>-496570</wp:posOffset>
            </wp:positionV>
            <wp:extent cx="179705" cy="8890"/>
            <wp:wrapNone/>
            <wp:docPr id="264" name="Picture 2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4"/>
                    <pic:cNvPicPr>
                      <a:picLocks noChangeAspect="1" noChangeArrowheads="1"/>
                    </pic:cNvPicPr>
                  </pic:nvPicPr>
                  <pic:blipFill>
                    <a:blip r:embed="rId271">
                      <a:extLst>
                        <a:ext uri="{28A0092B-C50C-407E-A947-70E740481C1C}"/>
                      </a:extLst>
                    </a:blip>
                    <a:srcRect/>
                    <a:stretch>
                      <a:fillRect/>
                    </a:stretch>
                  </pic:blipFill>
                  <pic:spPr bwMode="auto">
                    <a:xfrm>
                      <a:off x="0" y="0"/>
                      <a:ext cx="179705" cy="8890"/>
                    </a:xfrm>
                    <a:prstGeom prst="rect">
                      <a:avLst/>
                    </a:prstGeom>
                    <a:noFill/>
                  </pic:spPr>
                </pic:pic>
              </a:graphicData>
            </a:graphic>
          </wp:anchor>
        </w:drawing>
        <w:drawing>
          <wp:anchor simplePos="0" relativeHeight="251657728" behindDoc="1" locked="0" layoutInCell="0" allowOverlap="1">
            <wp:simplePos x="0" y="0"/>
            <wp:positionH relativeFrom="column">
              <wp:posOffset>3939540</wp:posOffset>
            </wp:positionH>
            <wp:positionV relativeFrom="paragraph">
              <wp:posOffset>-479425</wp:posOffset>
            </wp:positionV>
            <wp:extent cx="179705" cy="8255"/>
            <wp:wrapNone/>
            <wp:docPr id="265" name="Picture 2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5"/>
                    <pic:cNvPicPr>
                      <a:picLocks noChangeAspect="1" noChangeArrowheads="1"/>
                    </pic:cNvPicPr>
                  </pic:nvPicPr>
                  <pic:blipFill>
                    <a:blip r:embed="rId272">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-496570</wp:posOffset>
            </wp:positionV>
            <wp:extent cx="171450" cy="8890"/>
            <wp:wrapNone/>
            <wp:docPr id="266" name="Picture 2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6"/>
                    <pic:cNvPicPr>
                      <a:picLocks noChangeAspect="1" noChangeArrowheads="1"/>
                    </pic:cNvPicPr>
                  </pic:nvPicPr>
                  <pic:blipFill>
                    <a:blip r:embed="rId273">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5002530</wp:posOffset>
            </wp:positionH>
            <wp:positionV relativeFrom="paragraph">
              <wp:posOffset>-479425</wp:posOffset>
            </wp:positionV>
            <wp:extent cx="171450" cy="8255"/>
            <wp:wrapNone/>
            <wp:docPr id="267" name="Picture 2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7"/>
                    <pic:cNvPicPr>
                      <a:picLocks noChangeAspect="1" noChangeArrowheads="1"/>
                    </pic:cNvPicPr>
                  </pic:nvPicPr>
                  <pic:blipFill>
                    <a:blip r:embed="rId27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-496570</wp:posOffset>
            </wp:positionV>
            <wp:extent cx="163195" cy="8890"/>
            <wp:wrapNone/>
            <wp:docPr id="268" name="Picture 2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8"/>
                    <pic:cNvPicPr>
                      <a:picLocks noChangeAspect="1" noChangeArrowheads="1"/>
                    </pic:cNvPicPr>
                  </pic:nvPicPr>
                  <pic:blipFill>
                    <a:blip r:embed="rId275">
                      <a:extLst>
                        <a:ext uri="{28A0092B-C50C-407E-A947-70E740481C1C}"/>
                      </a:extLst>
                    </a:blip>
                    <a:srcRect/>
                    <a:stretch>
                      <a:fillRect/>
                    </a:stretch>
                  </pic:blipFill>
                  <pic:spPr bwMode="auto">
                    <a:xfrm>
                      <a:off x="0" y="0"/>
                      <a:ext cx="163195" cy="8890"/>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-479425</wp:posOffset>
            </wp:positionV>
            <wp:extent cx="163195" cy="8255"/>
            <wp:wrapNone/>
            <wp:docPr id="269" name="Picture 2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69"/>
                    <pic:cNvPicPr>
                      <a:picLocks noChangeAspect="1" noChangeArrowheads="1"/>
                    </pic:cNvPicPr>
                  </pic:nvPicPr>
                  <pic:blipFill>
                    <a:blip r:embed="rId27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-496570</wp:posOffset>
            </wp:positionV>
            <wp:extent cx="68580" cy="8890"/>
            <wp:wrapNone/>
            <wp:docPr id="270" name="Picture 2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0"/>
                    <pic:cNvPicPr>
                      <a:picLocks noChangeAspect="1" noChangeArrowheads="1"/>
                    </pic:cNvPicPr>
                  </pic:nvPicPr>
                  <pic:blipFill>
                    <a:blip r:embed="rId277">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-479425</wp:posOffset>
            </wp:positionV>
            <wp:extent cx="68580" cy="8255"/>
            <wp:wrapNone/>
            <wp:docPr id="271" name="Picture 2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1"/>
                    <pic:cNvPicPr>
                      <a:picLocks noChangeAspect="1" noChangeArrowheads="1"/>
                    </pic:cNvPicPr>
                  </pic:nvPicPr>
                  <pic:blipFill>
                    <a:blip r:embed="rId278">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272" name="Picture 2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2"/>
                    <pic:cNvPicPr>
                      <a:picLocks noChangeAspect="1" noChangeArrowheads="1"/>
                    </pic:cNvPicPr>
                  </pic:nvPicPr>
                  <pic:blipFill>
                    <a:blip r:embed="rId279">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273" name="Picture 2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3"/>
                    <pic:cNvPicPr>
                      <a:picLocks noChangeAspect="1" noChangeArrowheads="1"/>
                    </pic:cNvPicPr>
                  </pic:nvPicPr>
                  <pic:blipFill>
                    <a:blip r:embed="rId280">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type w:val="continuous"/>
        </w:sectPr>
      </w:pPr>
    </w:p>
    <w:bookmarkStart w:id="15" w:name="page16"/>
    <w:bookmarkEnd w:id="15"/>
    <w:p>
      <w:pPr>
        <w:spacing w:after="0"/>
        <w:tabs>
          <w:tab w:leader="none" w:pos="460" w:val="left"/>
        </w:tabs>
        <w:rPr>
          <w:sz w:val="20"/>
          <w:szCs w:val="20"/>
          <w:color w:val="auto"/>
        </w:rPr>
      </w:pPr>
      <w:r>
        <w:rPr>
          <w:rFonts w:ascii="Arial" w:cs="Arial" w:eastAsia="Arial" w:hAnsi="Arial"/>
          <w:sz w:val="18"/>
          <w:szCs w:val="18"/>
          <w:b w:val="1"/>
          <w:bCs w:val="1"/>
          <w:color w:val="auto"/>
        </w:rPr>
        <w:t>(13)</w:t>
      </w:r>
      <w:r>
        <w:rPr>
          <w:sz w:val="20"/>
          <w:szCs w:val="20"/>
          <w:color w:val="auto"/>
        </w:rPr>
        <w:tab/>
      </w:r>
      <w:r>
        <w:rPr>
          <w:rFonts w:ascii="Arial" w:cs="Arial" w:eastAsia="Arial" w:hAnsi="Arial"/>
          <w:sz w:val="16"/>
          <w:szCs w:val="16"/>
          <w:b w:val="1"/>
          <w:bCs w:val="1"/>
          <w:color w:val="auto"/>
        </w:rPr>
        <w:t>Other Comprehensive Income</w:t>
      </w:r>
    </w:p>
    <w:p>
      <w:pPr>
        <w:spacing w:after="0" w:line="20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Company’s changes in other comprehensive income (loss) were as follows (in thousands):</w:t>
      </w:r>
    </w:p>
    <w:p>
      <w:pPr>
        <w:spacing w:after="0" w:line="203"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6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88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120" w:type="dxa"/>
            <w:vAlign w:val="bottom"/>
            <w:tcBorders>
              <w:bottom w:val="single" w:sz="8" w:color="auto"/>
            </w:tcBorders>
          </w:tcPr>
          <w:p>
            <w:pPr>
              <w:spacing w:after="0"/>
              <w:rPr>
                <w:sz w:val="16"/>
                <w:szCs w:val="16"/>
                <w:color w:val="auto"/>
              </w:rPr>
            </w:pPr>
          </w:p>
        </w:tc>
        <w:tc>
          <w:tcPr>
            <w:tcW w:w="940" w:type="dxa"/>
            <w:vAlign w:val="bottom"/>
            <w:tcBorders>
              <w:bottom w:val="single" w:sz="8" w:color="auto"/>
            </w:tcBorders>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540" w:type="dxa"/>
            <w:vAlign w:val="bottom"/>
            <w:tcBorders>
              <w:bottom w:val="single" w:sz="8" w:color="auto"/>
            </w:tcBorders>
            <w:gridSpan w:val="6"/>
          </w:tcPr>
          <w:p>
            <w:pPr>
              <w:spacing w:after="0"/>
              <w:rPr>
                <w:sz w:val="20"/>
                <w:szCs w:val="20"/>
                <w:color w:val="auto"/>
              </w:rPr>
            </w:pPr>
            <w:r>
              <w:rPr>
                <w:rFonts w:ascii="Arial" w:cs="Arial" w:eastAsia="Arial" w:hAnsi="Arial"/>
                <w:sz w:val="14"/>
                <w:szCs w:val="14"/>
                <w:b w:val="1"/>
                <w:bCs w:val="1"/>
                <w:color w:val="auto"/>
              </w:rPr>
              <w:t>Three Months Ended September 30,</w:t>
            </w:r>
          </w:p>
        </w:tc>
        <w:tc>
          <w:tcPr>
            <w:tcW w:w="140" w:type="dxa"/>
            <w:vAlign w:val="bottom"/>
            <w:tcBorders>
              <w:bottom w:val="single" w:sz="8" w:color="auto"/>
            </w:tcBorders>
          </w:tcPr>
          <w:p>
            <w:pPr>
              <w:spacing w:after="0"/>
              <w:rPr>
                <w:sz w:val="16"/>
                <w:szCs w:val="16"/>
                <w:color w:val="auto"/>
              </w:rPr>
            </w:pPr>
          </w:p>
        </w:tc>
        <w:tc>
          <w:tcPr>
            <w:tcW w:w="920" w:type="dxa"/>
            <w:vAlign w:val="bottom"/>
            <w:tcBorders>
              <w:bottom w:val="single" w:sz="8" w:color="auto"/>
            </w:tcBorders>
          </w:tcPr>
          <w:p>
            <w:pPr>
              <w:spacing w:after="0"/>
              <w:rPr>
                <w:sz w:val="16"/>
                <w:szCs w:val="16"/>
                <w:color w:val="auto"/>
              </w:rPr>
            </w:pPr>
          </w:p>
        </w:tc>
        <w:tc>
          <w:tcPr>
            <w:tcW w:w="220" w:type="dxa"/>
            <w:vAlign w:val="bottom"/>
            <w:tcBorders>
              <w:bottom w:val="single" w:sz="8" w:color="auto"/>
            </w:tcBorders>
          </w:tcPr>
          <w:p>
            <w:pPr>
              <w:spacing w:after="0"/>
              <w:rPr>
                <w:sz w:val="16"/>
                <w:szCs w:val="16"/>
                <w:color w:val="auto"/>
              </w:rPr>
            </w:pPr>
          </w:p>
        </w:tc>
        <w:tc>
          <w:tcPr>
            <w:tcW w:w="180" w:type="dxa"/>
            <w:vAlign w:val="bottom"/>
            <w:tcBorders>
              <w:bottom w:val="single" w:sz="8" w:color="auto"/>
            </w:tcBorders>
          </w:tcPr>
          <w:p>
            <w:pPr>
              <w:spacing w:after="0"/>
              <w:rPr>
                <w:sz w:val="16"/>
                <w:szCs w:val="16"/>
                <w:color w:val="auto"/>
              </w:rPr>
            </w:pPr>
          </w:p>
        </w:tc>
        <w:tc>
          <w:tcPr>
            <w:tcW w:w="860" w:type="dxa"/>
            <w:vAlign w:val="bottom"/>
            <w:tcBorders>
              <w:bottom w:val="single" w:sz="8" w:color="auto"/>
            </w:tcBorders>
          </w:tcPr>
          <w:p>
            <w:pPr>
              <w:spacing w:after="0"/>
              <w:rPr>
                <w:sz w:val="16"/>
                <w:szCs w:val="16"/>
                <w:color w:val="auto"/>
              </w:rPr>
            </w:pPr>
          </w:p>
        </w:tc>
        <w:tc>
          <w:tcPr>
            <w:tcW w:w="100" w:type="dxa"/>
            <w:vAlign w:val="bottom"/>
          </w:tcPr>
          <w:p>
            <w:pPr>
              <w:spacing w:after="0"/>
              <w:rPr>
                <w:sz w:val="16"/>
                <w:szCs w:val="16"/>
                <w:color w:val="auto"/>
              </w:rPr>
            </w:pPr>
          </w:p>
        </w:tc>
      </w:tr>
      <w:tr>
        <w:trPr>
          <w:trHeight w:val="196"/>
        </w:trPr>
        <w:tc>
          <w:tcPr>
            <w:tcW w:w="3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59"/>
              <w:spacing w:after="0"/>
              <w:rPr>
                <w:sz w:val="20"/>
                <w:szCs w:val="20"/>
                <w:color w:val="auto"/>
              </w:rPr>
            </w:pPr>
            <w:r>
              <w:rPr>
                <w:rFonts w:ascii="Arial" w:cs="Arial" w:eastAsia="Arial" w:hAnsi="Arial"/>
                <w:sz w:val="14"/>
                <w:szCs w:val="14"/>
                <w:b w:val="1"/>
                <w:bCs w:val="1"/>
                <w:color w:val="auto"/>
                <w:w w:val="96"/>
              </w:rPr>
              <w:t>2020</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 Tax</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6"/>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 Tax</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(Provision)</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r>
      <w:tr>
        <w:trPr>
          <w:trHeight w:val="192"/>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Net Amount</w:t>
            </w:r>
          </w:p>
        </w:tc>
        <w:tc>
          <w:tcPr>
            <w:tcW w:w="200" w:type="dxa"/>
            <w:vAlign w:val="bottom"/>
          </w:tcPr>
          <w:p>
            <w:pPr>
              <w:spacing w:after="0"/>
              <w:rPr>
                <w:sz w:val="16"/>
                <w:szCs w:val="16"/>
                <w:color w:val="auto"/>
              </w:rPr>
            </w:pPr>
          </w:p>
        </w:tc>
        <w:tc>
          <w:tcPr>
            <w:tcW w:w="1060" w:type="dxa"/>
            <w:vAlign w:val="bottom"/>
            <w:gridSpan w:val="2"/>
          </w:tcPr>
          <w:p>
            <w:pPr>
              <w:jc w:val="center"/>
              <w:ind w:right="400"/>
              <w:spacing w:after="0"/>
              <w:rPr>
                <w:sz w:val="20"/>
                <w:szCs w:val="20"/>
                <w:color w:val="auto"/>
              </w:rPr>
            </w:pPr>
            <w:r>
              <w:rPr>
                <w:rFonts w:ascii="Arial" w:cs="Arial" w:eastAsia="Arial" w:hAnsi="Arial"/>
                <w:sz w:val="14"/>
                <w:szCs w:val="14"/>
                <w:b w:val="1"/>
                <w:bCs w:val="1"/>
                <w:color w:val="auto"/>
                <w:w w:val="94"/>
              </w:rPr>
              <w:t>Amount</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Benefit</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r>
      <w:tr>
        <w:trPr>
          <w:trHeight w:val="25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20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660" w:type="dxa"/>
            <w:vAlign w:val="bottom"/>
          </w:tcPr>
          <w:p>
            <w:pPr>
              <w:ind w:left="200"/>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1,309</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(329 )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980</w:t>
            </w:r>
          </w:p>
        </w:tc>
        <w:tc>
          <w:tcPr>
            <w:tcW w:w="220" w:type="dxa"/>
            <w:vAlign w:val="bottom"/>
          </w:tcPr>
          <w:p>
            <w:pPr>
              <w:spacing w:after="0"/>
              <w:rPr>
                <w:sz w:val="21"/>
                <w:szCs w:val="21"/>
                <w:color w:val="auto"/>
              </w:rPr>
            </w:pP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871</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(219 )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652</w:t>
            </w:r>
          </w:p>
        </w:tc>
        <w:tc>
          <w:tcPr>
            <w:tcW w:w="100" w:type="dxa"/>
            <w:vAlign w:val="bottom"/>
          </w:tcPr>
          <w:p>
            <w:pPr>
              <w:spacing w:after="0"/>
              <w:rPr>
                <w:sz w:val="21"/>
                <w:szCs w:val="21"/>
                <w:color w:val="auto"/>
              </w:rPr>
            </w:pPr>
          </w:p>
        </w:tc>
      </w:tr>
      <w:tr>
        <w:trPr>
          <w:trHeight w:val="263"/>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gains (losses)</w:t>
            </w:r>
          </w:p>
        </w:tc>
        <w:tc>
          <w:tcPr>
            <w:tcW w:w="2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2,891</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(729 )</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2,162</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(6,592 )</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1,661</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(4,931 )</w:t>
            </w:r>
          </w:p>
        </w:tc>
      </w:tr>
      <w:tr>
        <w:trPr>
          <w:trHeight w:val="250"/>
        </w:trPr>
        <w:tc>
          <w:tcPr>
            <w:tcW w:w="366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(122 )</w:t>
            </w:r>
          </w:p>
        </w:tc>
        <w:tc>
          <w:tcPr>
            <w:tcW w:w="1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(122 )</w:t>
            </w:r>
          </w:p>
        </w:tc>
        <w:tc>
          <w:tcPr>
            <w:tcW w:w="2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(239 )</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(239 )</w:t>
            </w: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4,078</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(1,058 )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3,020</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(5,960 )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1,442</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(4,518 )</w:t>
            </w: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r>
        <w:trPr>
          <w:trHeight w:val="413"/>
        </w:trPr>
        <w:tc>
          <w:tcPr>
            <w:tcW w:w="3660" w:type="dxa"/>
            <w:vAlign w:val="bottom"/>
          </w:tcPr>
          <w:p>
            <w:pPr>
              <w:spacing w:after="0"/>
              <w:rPr>
                <w:sz w:val="24"/>
                <w:szCs w:val="24"/>
                <w:color w:val="auto"/>
              </w:rPr>
            </w:pPr>
          </w:p>
        </w:tc>
        <w:tc>
          <w:tcPr>
            <w:tcW w:w="200" w:type="dxa"/>
            <w:vAlign w:val="bottom"/>
            <w:tcBorders>
              <w:bottom w:val="single" w:sz="8" w:color="auto"/>
            </w:tcBorders>
          </w:tcPr>
          <w:p>
            <w:pPr>
              <w:spacing w:after="0"/>
              <w:rPr>
                <w:sz w:val="24"/>
                <w:szCs w:val="24"/>
                <w:color w:val="auto"/>
              </w:rPr>
            </w:pPr>
          </w:p>
        </w:tc>
        <w:tc>
          <w:tcPr>
            <w:tcW w:w="88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120" w:type="dxa"/>
            <w:vAlign w:val="bottom"/>
            <w:tcBorders>
              <w:bottom w:val="single" w:sz="8" w:color="auto"/>
            </w:tcBorders>
          </w:tcPr>
          <w:p>
            <w:pPr>
              <w:spacing w:after="0"/>
              <w:rPr>
                <w:sz w:val="24"/>
                <w:szCs w:val="24"/>
                <w:color w:val="auto"/>
              </w:rPr>
            </w:pPr>
          </w:p>
        </w:tc>
        <w:tc>
          <w:tcPr>
            <w:tcW w:w="940" w:type="dxa"/>
            <w:vAlign w:val="bottom"/>
            <w:tcBorders>
              <w:bottom w:val="single" w:sz="8" w:color="auto"/>
            </w:tcBorders>
          </w:tcPr>
          <w:p>
            <w:pPr>
              <w:spacing w:after="0"/>
              <w:rPr>
                <w:sz w:val="24"/>
                <w:szCs w:val="24"/>
                <w:color w:val="auto"/>
              </w:rPr>
            </w:pPr>
          </w:p>
        </w:tc>
        <w:tc>
          <w:tcPr>
            <w:tcW w:w="240" w:type="dxa"/>
            <w:vAlign w:val="bottom"/>
            <w:tcBorders>
              <w:bottom w:val="single" w:sz="8" w:color="auto"/>
            </w:tcBorders>
          </w:tcPr>
          <w:p>
            <w:pPr>
              <w:spacing w:after="0"/>
              <w:rPr>
                <w:sz w:val="24"/>
                <w:szCs w:val="24"/>
                <w:color w:val="auto"/>
              </w:rPr>
            </w:pPr>
          </w:p>
        </w:tc>
        <w:tc>
          <w:tcPr>
            <w:tcW w:w="2540" w:type="dxa"/>
            <w:vAlign w:val="bottom"/>
            <w:tcBorders>
              <w:bottom w:val="single" w:sz="8" w:color="auto"/>
            </w:tcBorders>
            <w:gridSpan w:val="6"/>
          </w:tcPr>
          <w:p>
            <w:pPr>
              <w:jc w:val="right"/>
              <w:ind w:right="340"/>
              <w:spacing w:after="0"/>
              <w:rPr>
                <w:sz w:val="20"/>
                <w:szCs w:val="20"/>
                <w:color w:val="auto"/>
              </w:rPr>
            </w:pPr>
            <w:r>
              <w:rPr>
                <w:rFonts w:ascii="Arial" w:cs="Arial" w:eastAsia="Arial" w:hAnsi="Arial"/>
                <w:sz w:val="14"/>
                <w:szCs w:val="14"/>
                <w:b w:val="1"/>
                <w:bCs w:val="1"/>
                <w:color w:val="auto"/>
                <w:w w:val="94"/>
              </w:rPr>
              <w:t>Nine Months Ended September 30,</w:t>
            </w:r>
          </w:p>
        </w:tc>
        <w:tc>
          <w:tcPr>
            <w:tcW w:w="140" w:type="dxa"/>
            <w:vAlign w:val="bottom"/>
            <w:tcBorders>
              <w:bottom w:val="single" w:sz="8" w:color="auto"/>
            </w:tcBorders>
          </w:tcPr>
          <w:p>
            <w:pPr>
              <w:spacing w:after="0"/>
              <w:rPr>
                <w:sz w:val="24"/>
                <w:szCs w:val="24"/>
                <w:color w:val="auto"/>
              </w:rPr>
            </w:pPr>
          </w:p>
        </w:tc>
        <w:tc>
          <w:tcPr>
            <w:tcW w:w="920" w:type="dxa"/>
            <w:vAlign w:val="bottom"/>
            <w:tcBorders>
              <w:bottom w:val="single" w:sz="8" w:color="auto"/>
            </w:tcBorders>
          </w:tcPr>
          <w:p>
            <w:pPr>
              <w:spacing w:after="0"/>
              <w:rPr>
                <w:sz w:val="24"/>
                <w:szCs w:val="24"/>
                <w:color w:val="auto"/>
              </w:rPr>
            </w:pPr>
          </w:p>
        </w:tc>
        <w:tc>
          <w:tcPr>
            <w:tcW w:w="220" w:type="dxa"/>
            <w:vAlign w:val="bottom"/>
            <w:tcBorders>
              <w:bottom w:val="single" w:sz="8" w:color="auto"/>
            </w:tcBorders>
          </w:tcPr>
          <w:p>
            <w:pPr>
              <w:spacing w:after="0"/>
              <w:rPr>
                <w:sz w:val="24"/>
                <w:szCs w:val="24"/>
                <w:color w:val="auto"/>
              </w:rPr>
            </w:pPr>
          </w:p>
        </w:tc>
        <w:tc>
          <w:tcPr>
            <w:tcW w:w="180" w:type="dxa"/>
            <w:vAlign w:val="bottom"/>
            <w:tcBorders>
              <w:bottom w:val="single" w:sz="8" w:color="auto"/>
            </w:tcBorders>
          </w:tcPr>
          <w:p>
            <w:pPr>
              <w:spacing w:after="0"/>
              <w:rPr>
                <w:sz w:val="24"/>
                <w:szCs w:val="24"/>
                <w:color w:val="auto"/>
              </w:rPr>
            </w:pPr>
          </w:p>
        </w:tc>
        <w:tc>
          <w:tcPr>
            <w:tcW w:w="860" w:type="dxa"/>
            <w:vAlign w:val="bottom"/>
            <w:tcBorders>
              <w:bottom w:val="single" w:sz="8" w:color="auto"/>
            </w:tcBorders>
          </w:tcPr>
          <w:p>
            <w:pPr>
              <w:spacing w:after="0"/>
              <w:rPr>
                <w:sz w:val="24"/>
                <w:szCs w:val="24"/>
                <w:color w:val="auto"/>
              </w:rPr>
            </w:pPr>
          </w:p>
        </w:tc>
        <w:tc>
          <w:tcPr>
            <w:tcW w:w="100" w:type="dxa"/>
            <w:vAlign w:val="bottom"/>
          </w:tcPr>
          <w:p>
            <w:pPr>
              <w:spacing w:after="0"/>
              <w:rPr>
                <w:sz w:val="24"/>
                <w:szCs w:val="24"/>
                <w:color w:val="auto"/>
              </w:rPr>
            </w:pPr>
          </w:p>
        </w:tc>
      </w:tr>
      <w:tr>
        <w:trPr>
          <w:trHeight w:val="196"/>
        </w:trPr>
        <w:tc>
          <w:tcPr>
            <w:tcW w:w="36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940" w:type="dxa"/>
            <w:vAlign w:val="bottom"/>
            <w:tcBorders>
              <w:bottom w:val="single" w:sz="8" w:color="auto"/>
            </w:tcBorders>
          </w:tcPr>
          <w:p>
            <w:pPr>
              <w:jc w:val="center"/>
              <w:ind w:right="58"/>
              <w:spacing w:after="0"/>
              <w:rPr>
                <w:sz w:val="20"/>
                <w:szCs w:val="20"/>
                <w:color w:val="auto"/>
              </w:rPr>
            </w:pPr>
            <w:r>
              <w:rPr>
                <w:rFonts w:ascii="Arial" w:cs="Arial" w:eastAsia="Arial" w:hAnsi="Arial"/>
                <w:sz w:val="14"/>
                <w:szCs w:val="14"/>
                <w:b w:val="1"/>
                <w:bCs w:val="1"/>
                <w:color w:val="auto"/>
                <w:w w:val="89"/>
              </w:rPr>
              <w:t>2021</w:t>
            </w:r>
          </w:p>
        </w:tc>
        <w:tc>
          <w:tcPr>
            <w:tcW w:w="24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spacing w:after="0"/>
              <w:rPr>
                <w:sz w:val="17"/>
                <w:szCs w:val="17"/>
                <w:color w:val="auto"/>
              </w:rPr>
            </w:pPr>
          </w:p>
        </w:tc>
        <w:tc>
          <w:tcPr>
            <w:tcW w:w="22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140" w:type="dxa"/>
            <w:vAlign w:val="bottom"/>
            <w:tcBorders>
              <w:bottom w:val="single" w:sz="8" w:color="auto"/>
            </w:tcBorders>
          </w:tcPr>
          <w:p>
            <w:pPr>
              <w:spacing w:after="0"/>
              <w:rPr>
                <w:sz w:val="17"/>
                <w:szCs w:val="17"/>
                <w:color w:val="auto"/>
              </w:rPr>
            </w:pPr>
          </w:p>
        </w:tc>
        <w:tc>
          <w:tcPr>
            <w:tcW w:w="920" w:type="dxa"/>
            <w:vAlign w:val="bottom"/>
            <w:tcBorders>
              <w:bottom w:val="single" w:sz="8" w:color="auto"/>
            </w:tcBorders>
          </w:tcPr>
          <w:p>
            <w:pPr>
              <w:jc w:val="center"/>
              <w:ind w:right="79"/>
              <w:spacing w:after="0"/>
              <w:rPr>
                <w:sz w:val="20"/>
                <w:szCs w:val="20"/>
                <w:color w:val="auto"/>
              </w:rPr>
            </w:pPr>
            <w:r>
              <w:rPr>
                <w:rFonts w:ascii="Arial" w:cs="Arial" w:eastAsia="Arial" w:hAnsi="Arial"/>
                <w:sz w:val="14"/>
                <w:szCs w:val="14"/>
                <w:b w:val="1"/>
                <w:bCs w:val="1"/>
                <w:color w:val="auto"/>
                <w:w w:val="89"/>
              </w:rPr>
              <w:t>2020</w:t>
            </w:r>
          </w:p>
        </w:tc>
        <w:tc>
          <w:tcPr>
            <w:tcW w:w="220" w:type="dxa"/>
            <w:vAlign w:val="bottom"/>
            <w:tcBorders>
              <w:bottom w:val="single" w:sz="8" w:color="auto"/>
            </w:tcBorders>
          </w:tcPr>
          <w:p>
            <w:pPr>
              <w:spacing w:after="0"/>
              <w:rPr>
                <w:sz w:val="17"/>
                <w:szCs w:val="17"/>
                <w:color w:val="auto"/>
              </w:rPr>
            </w:pPr>
          </w:p>
        </w:tc>
        <w:tc>
          <w:tcPr>
            <w:tcW w:w="18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spacing w:after="0"/>
              <w:rPr>
                <w:sz w:val="17"/>
                <w:szCs w:val="17"/>
                <w:color w:val="auto"/>
              </w:rPr>
            </w:pPr>
          </w:p>
        </w:tc>
        <w:tc>
          <w:tcPr>
            <w:tcW w:w="100" w:type="dxa"/>
            <w:vAlign w:val="bottom"/>
          </w:tcPr>
          <w:p>
            <w:pPr>
              <w:spacing w:after="0"/>
              <w:rPr>
                <w:sz w:val="17"/>
                <w:szCs w:val="17"/>
                <w:color w:val="auto"/>
              </w:rPr>
            </w:pPr>
          </w:p>
        </w:tc>
      </w:tr>
      <w:tr>
        <w:trPr>
          <w:trHeight w:val="179"/>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8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20" w:type="dxa"/>
            <w:vAlign w:val="bottom"/>
          </w:tcPr>
          <w:p>
            <w:pPr>
              <w:spacing w:after="0"/>
              <w:rPr>
                <w:sz w:val="15"/>
                <w:szCs w:val="15"/>
                <w:color w:val="auto"/>
              </w:rPr>
            </w:pPr>
          </w:p>
        </w:tc>
        <w:tc>
          <w:tcPr>
            <w:tcW w:w="940" w:type="dxa"/>
            <w:vAlign w:val="bottom"/>
          </w:tcPr>
          <w:p>
            <w:pPr>
              <w:spacing w:after="0"/>
              <w:rPr>
                <w:sz w:val="15"/>
                <w:szCs w:val="15"/>
                <w:color w:val="auto"/>
              </w:rPr>
            </w:pPr>
          </w:p>
        </w:tc>
        <w:tc>
          <w:tcPr>
            <w:tcW w:w="2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84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 Tax</w:t>
            </w:r>
          </w:p>
        </w:tc>
        <w:tc>
          <w:tcPr>
            <w:tcW w:w="180" w:type="dxa"/>
            <w:vAlign w:val="bottom"/>
          </w:tcPr>
          <w:p>
            <w:pPr>
              <w:spacing w:after="0"/>
              <w:rPr>
                <w:sz w:val="15"/>
                <w:szCs w:val="15"/>
                <w:color w:val="auto"/>
              </w:rPr>
            </w:pPr>
          </w:p>
        </w:tc>
        <w:tc>
          <w:tcPr>
            <w:tcW w:w="860" w:type="dxa"/>
            <w:vAlign w:val="bottom"/>
          </w:tcPr>
          <w:p>
            <w:pPr>
              <w:spacing w:after="0"/>
              <w:rPr>
                <w:sz w:val="15"/>
                <w:szCs w:val="15"/>
                <w:color w:val="auto"/>
              </w:rPr>
            </w:pPr>
          </w:p>
        </w:tc>
        <w:tc>
          <w:tcPr>
            <w:tcW w:w="100" w:type="dxa"/>
            <w:vAlign w:val="bottom"/>
          </w:tcPr>
          <w:p>
            <w:pPr>
              <w:spacing w:after="0"/>
              <w:rPr>
                <w:sz w:val="15"/>
                <w:szCs w:val="15"/>
                <w:color w:val="auto"/>
              </w:rPr>
            </w:pPr>
          </w:p>
        </w:tc>
      </w:tr>
      <w:tr>
        <w:trPr>
          <w:trHeight w:val="175"/>
        </w:trPr>
        <w:tc>
          <w:tcPr>
            <w:tcW w:w="36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88"/>
              </w:rPr>
              <w:t>Gross</w:t>
            </w:r>
          </w:p>
        </w:tc>
        <w:tc>
          <w:tcPr>
            <w:tcW w:w="120" w:type="dxa"/>
            <w:vAlign w:val="bottom"/>
          </w:tcPr>
          <w:p>
            <w:pPr>
              <w:spacing w:after="0"/>
              <w:rPr>
                <w:sz w:val="15"/>
                <w:szCs w:val="15"/>
                <w:color w:val="auto"/>
              </w:rPr>
            </w:pPr>
          </w:p>
        </w:tc>
        <w:tc>
          <w:tcPr>
            <w:tcW w:w="118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3"/>
              </w:rPr>
              <w:t>Income Tax</w:t>
            </w:r>
          </w:p>
        </w:tc>
        <w:tc>
          <w:tcPr>
            <w:tcW w:w="140" w:type="dxa"/>
            <w:vAlign w:val="bottom"/>
          </w:tcPr>
          <w:p>
            <w:pPr>
              <w:spacing w:after="0"/>
              <w:rPr>
                <w:sz w:val="15"/>
                <w:szCs w:val="15"/>
                <w:color w:val="auto"/>
              </w:rPr>
            </w:pPr>
          </w:p>
        </w:tc>
        <w:tc>
          <w:tcPr>
            <w:tcW w:w="920" w:type="dxa"/>
            <w:vAlign w:val="bottom"/>
          </w:tcPr>
          <w:p>
            <w:pPr>
              <w:spacing w:after="0"/>
              <w:rPr>
                <w:sz w:val="15"/>
                <w:szCs w:val="15"/>
                <w:color w:val="auto"/>
              </w:rPr>
            </w:pPr>
          </w:p>
        </w:tc>
        <w:tc>
          <w:tcPr>
            <w:tcW w:w="22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88"/>
              </w:rPr>
              <w:t>Gross</w:t>
            </w:r>
          </w:p>
        </w:tc>
        <w:tc>
          <w:tcPr>
            <w:tcW w:w="140" w:type="dxa"/>
            <w:vAlign w:val="bottom"/>
          </w:tcPr>
          <w:p>
            <w:pPr>
              <w:spacing w:after="0"/>
              <w:rPr>
                <w:sz w:val="15"/>
                <w:szCs w:val="15"/>
                <w:color w:val="auto"/>
              </w:rPr>
            </w:pPr>
          </w:p>
        </w:tc>
        <w:tc>
          <w:tcPr>
            <w:tcW w:w="1140" w:type="dxa"/>
            <w:vAlign w:val="bottom"/>
            <w:gridSpan w:val="2"/>
          </w:tcPr>
          <w:p>
            <w:pPr>
              <w:jc w:val="center"/>
              <w:ind w:right="380"/>
              <w:spacing w:after="0"/>
              <w:rPr>
                <w:sz w:val="20"/>
                <w:szCs w:val="20"/>
                <w:color w:val="auto"/>
              </w:rPr>
            </w:pPr>
            <w:r>
              <w:rPr>
                <w:rFonts w:ascii="Arial" w:cs="Arial" w:eastAsia="Arial" w:hAnsi="Arial"/>
                <w:sz w:val="14"/>
                <w:szCs w:val="14"/>
                <w:b w:val="1"/>
                <w:bCs w:val="1"/>
                <w:color w:val="auto"/>
                <w:w w:val="92"/>
              </w:rPr>
              <w:t>(Provision)</w:t>
            </w:r>
          </w:p>
        </w:tc>
        <w:tc>
          <w:tcPr>
            <w:tcW w:w="180" w:type="dxa"/>
            <w:vAlign w:val="bottom"/>
          </w:tcPr>
          <w:p>
            <w:pPr>
              <w:spacing w:after="0"/>
              <w:rPr>
                <w:sz w:val="15"/>
                <w:szCs w:val="15"/>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7"/>
              </w:rPr>
              <w:t>Net</w:t>
            </w:r>
          </w:p>
        </w:tc>
      </w:tr>
      <w:tr>
        <w:trPr>
          <w:trHeight w:val="192"/>
        </w:trPr>
        <w:tc>
          <w:tcPr>
            <w:tcW w:w="366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120" w:type="dxa"/>
            <w:vAlign w:val="bottom"/>
            <w:gridSpan w:val="2"/>
          </w:tcPr>
          <w:p>
            <w:pPr>
              <w:jc w:val="center"/>
              <w:ind w:right="440"/>
              <w:spacing w:after="0"/>
              <w:rPr>
                <w:sz w:val="20"/>
                <w:szCs w:val="20"/>
                <w:color w:val="auto"/>
              </w:rPr>
            </w:pPr>
            <w:r>
              <w:rPr>
                <w:rFonts w:ascii="Arial" w:cs="Arial" w:eastAsia="Arial" w:hAnsi="Arial"/>
                <w:sz w:val="14"/>
                <w:szCs w:val="14"/>
                <w:b w:val="1"/>
                <w:bCs w:val="1"/>
                <w:color w:val="auto"/>
                <w:w w:val="98"/>
              </w:rPr>
              <w:t>Amount</w:t>
            </w:r>
          </w:p>
        </w:tc>
        <w:tc>
          <w:tcPr>
            <w:tcW w:w="120" w:type="dxa"/>
            <w:vAlign w:val="bottom"/>
          </w:tcPr>
          <w:p>
            <w:pPr>
              <w:spacing w:after="0"/>
              <w:rPr>
                <w:sz w:val="16"/>
                <w:szCs w:val="16"/>
                <w:color w:val="auto"/>
              </w:rPr>
            </w:pPr>
          </w:p>
        </w:tc>
        <w:tc>
          <w:tcPr>
            <w:tcW w:w="118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90"/>
              </w:rPr>
              <w:t>Provision</w:t>
            </w:r>
          </w:p>
        </w:tc>
        <w:tc>
          <w:tcPr>
            <w:tcW w:w="140" w:type="dxa"/>
            <w:vAlign w:val="bottom"/>
          </w:tcPr>
          <w:p>
            <w:pPr>
              <w:spacing w:after="0"/>
              <w:rPr>
                <w:sz w:val="16"/>
                <w:szCs w:val="16"/>
                <w:color w:val="auto"/>
              </w:rPr>
            </w:pPr>
          </w:p>
        </w:tc>
        <w:tc>
          <w:tcPr>
            <w:tcW w:w="114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3"/>
              </w:rPr>
              <w:t>Net Amount</w:t>
            </w:r>
          </w:p>
        </w:tc>
        <w:tc>
          <w:tcPr>
            <w:tcW w:w="200" w:type="dxa"/>
            <w:vAlign w:val="bottom"/>
          </w:tcPr>
          <w:p>
            <w:pPr>
              <w:spacing w:after="0"/>
              <w:rPr>
                <w:sz w:val="16"/>
                <w:szCs w:val="16"/>
                <w:color w:val="auto"/>
              </w:rPr>
            </w:pPr>
          </w:p>
        </w:tc>
        <w:tc>
          <w:tcPr>
            <w:tcW w:w="1060" w:type="dxa"/>
            <w:vAlign w:val="bottom"/>
            <w:gridSpan w:val="2"/>
          </w:tcPr>
          <w:p>
            <w:pPr>
              <w:jc w:val="center"/>
              <w:ind w:right="420"/>
              <w:spacing w:after="0"/>
              <w:rPr>
                <w:sz w:val="20"/>
                <w:szCs w:val="20"/>
                <w:color w:val="auto"/>
              </w:rPr>
            </w:pPr>
            <w:r>
              <w:rPr>
                <w:rFonts w:ascii="Arial" w:cs="Arial" w:eastAsia="Arial" w:hAnsi="Arial"/>
                <w:sz w:val="14"/>
                <w:szCs w:val="14"/>
                <w:b w:val="1"/>
                <w:bCs w:val="1"/>
                <w:color w:val="auto"/>
                <w:w w:val="98"/>
              </w:rPr>
              <w:t>Amount</w:t>
            </w:r>
          </w:p>
        </w:tc>
        <w:tc>
          <w:tcPr>
            <w:tcW w:w="140" w:type="dxa"/>
            <w:vAlign w:val="bottom"/>
          </w:tcPr>
          <w:p>
            <w:pPr>
              <w:spacing w:after="0"/>
              <w:rPr>
                <w:sz w:val="16"/>
                <w:szCs w:val="16"/>
                <w:color w:val="auto"/>
              </w:rPr>
            </w:pPr>
          </w:p>
        </w:tc>
        <w:tc>
          <w:tcPr>
            <w:tcW w:w="1140" w:type="dxa"/>
            <w:vAlign w:val="bottom"/>
            <w:gridSpan w:val="2"/>
          </w:tcPr>
          <w:p>
            <w:pPr>
              <w:jc w:val="center"/>
              <w:ind w:right="360"/>
              <w:spacing w:after="0"/>
              <w:rPr>
                <w:sz w:val="20"/>
                <w:szCs w:val="20"/>
                <w:color w:val="auto"/>
              </w:rPr>
            </w:pPr>
            <w:r>
              <w:rPr>
                <w:rFonts w:ascii="Arial" w:cs="Arial" w:eastAsia="Arial" w:hAnsi="Arial"/>
                <w:sz w:val="14"/>
                <w:szCs w:val="14"/>
                <w:b w:val="1"/>
                <w:bCs w:val="1"/>
                <w:color w:val="auto"/>
                <w:w w:val="88"/>
              </w:rPr>
              <w:t>Benefit</w:t>
            </w:r>
          </w:p>
        </w:tc>
        <w:tc>
          <w:tcPr>
            <w:tcW w:w="180" w:type="dxa"/>
            <w:vAlign w:val="bottom"/>
          </w:tcPr>
          <w:p>
            <w:pPr>
              <w:spacing w:after="0"/>
              <w:rPr>
                <w:sz w:val="16"/>
                <w:szCs w:val="16"/>
                <w:color w:val="auto"/>
              </w:rPr>
            </w:pPr>
          </w:p>
        </w:tc>
        <w:tc>
          <w:tcPr>
            <w:tcW w:w="960" w:type="dxa"/>
            <w:vAlign w:val="bottom"/>
            <w:gridSpan w:val="2"/>
          </w:tcPr>
          <w:p>
            <w:pPr>
              <w:jc w:val="center"/>
              <w:ind w:right="300"/>
              <w:spacing w:after="0"/>
              <w:rPr>
                <w:sz w:val="20"/>
                <w:szCs w:val="20"/>
                <w:color w:val="auto"/>
              </w:rPr>
            </w:pPr>
            <w:r>
              <w:rPr>
                <w:rFonts w:ascii="Arial" w:cs="Arial" w:eastAsia="Arial" w:hAnsi="Arial"/>
                <w:sz w:val="14"/>
                <w:szCs w:val="14"/>
                <w:b w:val="1"/>
                <w:bCs w:val="1"/>
                <w:color w:val="auto"/>
                <w:w w:val="94"/>
              </w:rPr>
              <w:t>Amount</w:t>
            </w:r>
          </w:p>
        </w:tc>
      </w:tr>
      <w:tr>
        <w:trPr>
          <w:trHeight w:val="256"/>
        </w:trPr>
        <w:tc>
          <w:tcPr>
            <w:tcW w:w="366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Pension and postretirement benefits (a):</w:t>
            </w:r>
          </w:p>
        </w:tc>
        <w:tc>
          <w:tcPr>
            <w:tcW w:w="200" w:type="dxa"/>
            <w:vAlign w:val="bottom"/>
            <w:tcBorders>
              <w:top w:val="single" w:sz="8" w:color="auto"/>
            </w:tcBorders>
            <w:shd w:val="clear" w:color="auto" w:fill="CFF0FC"/>
          </w:tcPr>
          <w:p>
            <w:pPr>
              <w:spacing w:after="0"/>
              <w:rPr>
                <w:sz w:val="22"/>
                <w:szCs w:val="22"/>
                <w:color w:val="auto"/>
              </w:rPr>
            </w:pPr>
          </w:p>
        </w:tc>
        <w:tc>
          <w:tcPr>
            <w:tcW w:w="88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20" w:type="dxa"/>
            <w:vAlign w:val="bottom"/>
            <w:tcBorders>
              <w:top w:val="single" w:sz="8" w:color="auto"/>
            </w:tcBorders>
            <w:shd w:val="clear" w:color="auto" w:fill="CFF0FC"/>
          </w:tcPr>
          <w:p>
            <w:pPr>
              <w:spacing w:after="0"/>
              <w:rPr>
                <w:sz w:val="22"/>
                <w:szCs w:val="22"/>
                <w:color w:val="auto"/>
              </w:rPr>
            </w:pPr>
          </w:p>
        </w:tc>
        <w:tc>
          <w:tcPr>
            <w:tcW w:w="94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84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40" w:type="dxa"/>
            <w:vAlign w:val="bottom"/>
            <w:tcBorders>
              <w:top w:val="single" w:sz="8" w:color="auto"/>
            </w:tcBorders>
            <w:shd w:val="clear" w:color="auto" w:fill="CFF0FC"/>
          </w:tcPr>
          <w:p>
            <w:pPr>
              <w:spacing w:after="0"/>
              <w:rPr>
                <w:sz w:val="22"/>
                <w:szCs w:val="22"/>
                <w:color w:val="auto"/>
              </w:rPr>
            </w:pPr>
          </w:p>
        </w:tc>
        <w:tc>
          <w:tcPr>
            <w:tcW w:w="920" w:type="dxa"/>
            <w:vAlign w:val="bottom"/>
            <w:tcBorders>
              <w:top w:val="single" w:sz="8" w:color="auto"/>
            </w:tcBorders>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180" w:type="dxa"/>
            <w:vAlign w:val="bottom"/>
            <w:tcBorders>
              <w:top w:val="single" w:sz="8" w:color="auto"/>
            </w:tcBorders>
            <w:shd w:val="clear" w:color="auto" w:fill="CFF0FC"/>
          </w:tcPr>
          <w:p>
            <w:pPr>
              <w:spacing w:after="0"/>
              <w:rPr>
                <w:sz w:val="22"/>
                <w:szCs w:val="22"/>
                <w:color w:val="auto"/>
              </w:rPr>
            </w:pPr>
          </w:p>
        </w:tc>
        <w:tc>
          <w:tcPr>
            <w:tcW w:w="860" w:type="dxa"/>
            <w:vAlign w:val="bottom"/>
            <w:tcBorders>
              <w:top w:val="single" w:sz="8" w:color="auto"/>
            </w:tcBorders>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3660" w:type="dxa"/>
            <w:vAlign w:val="bottom"/>
          </w:tcPr>
          <w:p>
            <w:pPr>
              <w:ind w:left="200"/>
              <w:spacing w:after="0"/>
              <w:rPr>
                <w:sz w:val="20"/>
                <w:szCs w:val="20"/>
                <w:color w:val="auto"/>
              </w:rPr>
            </w:pPr>
            <w:r>
              <w:rPr>
                <w:rFonts w:ascii="Arial" w:cs="Arial" w:eastAsia="Arial" w:hAnsi="Arial"/>
                <w:sz w:val="18"/>
                <w:szCs w:val="18"/>
                <w:color w:val="auto"/>
              </w:rPr>
              <w:t>Amortization of net actuarial loss</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2,992</w:t>
            </w:r>
          </w:p>
        </w:tc>
        <w:tc>
          <w:tcPr>
            <w:tcW w:w="240" w:type="dxa"/>
            <w:vAlign w:val="bottom"/>
          </w:tcPr>
          <w:p>
            <w:pPr>
              <w:spacing w:after="0"/>
              <w:rPr>
                <w:sz w:val="21"/>
                <w:szCs w:val="21"/>
                <w:color w:val="auto"/>
              </w:rPr>
            </w:pPr>
          </w:p>
        </w:tc>
        <w:tc>
          <w:tcPr>
            <w:tcW w:w="12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160"/>
              <w:spacing w:after="0"/>
              <w:rPr>
                <w:sz w:val="20"/>
                <w:szCs w:val="20"/>
                <w:color w:val="auto"/>
              </w:rPr>
            </w:pPr>
            <w:r>
              <w:rPr>
                <w:rFonts w:ascii="Arial" w:cs="Arial" w:eastAsia="Arial" w:hAnsi="Arial"/>
                <w:sz w:val="18"/>
                <w:szCs w:val="18"/>
                <w:color w:val="auto"/>
              </w:rPr>
              <w:t>(753 )</w:t>
            </w:r>
          </w:p>
        </w:tc>
        <w:tc>
          <w:tcPr>
            <w:tcW w:w="140" w:type="dxa"/>
            <w:vAlign w:val="bottom"/>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tcPr>
          <w:p>
            <w:pPr>
              <w:jc w:val="right"/>
              <w:spacing w:after="0"/>
              <w:rPr>
                <w:sz w:val="20"/>
                <w:szCs w:val="20"/>
                <w:color w:val="auto"/>
              </w:rPr>
            </w:pPr>
            <w:r>
              <w:rPr>
                <w:rFonts w:ascii="Arial" w:cs="Arial" w:eastAsia="Arial" w:hAnsi="Arial"/>
                <w:sz w:val="18"/>
                <w:szCs w:val="18"/>
                <w:color w:val="auto"/>
              </w:rPr>
              <w:t>2,239</w:t>
            </w:r>
          </w:p>
        </w:tc>
        <w:tc>
          <w:tcPr>
            <w:tcW w:w="220" w:type="dxa"/>
            <w:vAlign w:val="bottom"/>
          </w:tcPr>
          <w:p>
            <w:pPr>
              <w:spacing w:after="0"/>
              <w:rPr>
                <w:sz w:val="21"/>
                <w:szCs w:val="21"/>
                <w:color w:val="auto"/>
              </w:rPr>
            </w:pP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Pr>
          <w:p>
            <w:pPr>
              <w:jc w:val="right"/>
              <w:spacing w:after="0"/>
              <w:rPr>
                <w:sz w:val="20"/>
                <w:szCs w:val="20"/>
                <w:color w:val="auto"/>
              </w:rPr>
            </w:pPr>
            <w:r>
              <w:rPr>
                <w:rFonts w:ascii="Arial" w:cs="Arial" w:eastAsia="Arial" w:hAnsi="Arial"/>
                <w:sz w:val="18"/>
                <w:szCs w:val="18"/>
                <w:color w:val="auto"/>
              </w:rPr>
              <w:t>1,285</w:t>
            </w:r>
          </w:p>
        </w:tc>
        <w:tc>
          <w:tcPr>
            <w:tcW w:w="220" w:type="dxa"/>
            <w:vAlign w:val="bottom"/>
          </w:tcPr>
          <w:p>
            <w:pPr>
              <w:spacing w:after="0"/>
              <w:rPr>
                <w:sz w:val="21"/>
                <w:szCs w:val="21"/>
                <w:color w:val="auto"/>
              </w:rPr>
            </w:pPr>
          </w:p>
        </w:tc>
        <w:tc>
          <w:tcPr>
            <w:tcW w:w="14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(324 )</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961</w:t>
            </w:r>
          </w:p>
        </w:tc>
        <w:tc>
          <w:tcPr>
            <w:tcW w:w="100" w:type="dxa"/>
            <w:vAlign w:val="bottom"/>
          </w:tcPr>
          <w:p>
            <w:pPr>
              <w:spacing w:after="0"/>
              <w:rPr>
                <w:sz w:val="21"/>
                <w:szCs w:val="21"/>
                <w:color w:val="auto"/>
              </w:rPr>
            </w:pPr>
          </w:p>
        </w:tc>
      </w:tr>
      <w:tr>
        <w:trPr>
          <w:trHeight w:val="263"/>
        </w:trPr>
        <w:tc>
          <w:tcPr>
            <w:tcW w:w="36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Actuarial gains (losses)</w:t>
            </w:r>
          </w:p>
        </w:tc>
        <w:tc>
          <w:tcPr>
            <w:tcW w:w="200" w:type="dxa"/>
            <w:vAlign w:val="bottom"/>
            <w:shd w:val="clear" w:color="auto" w:fill="CFF0FC"/>
          </w:tcPr>
          <w:p>
            <w:pPr>
              <w:spacing w:after="0"/>
              <w:rPr>
                <w:sz w:val="22"/>
                <w:szCs w:val="22"/>
                <w:color w:val="auto"/>
              </w:rPr>
            </w:pP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7,019</w:t>
            </w:r>
          </w:p>
        </w:tc>
        <w:tc>
          <w:tcPr>
            <w:tcW w:w="2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(1,764 )</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5,255</w:t>
            </w:r>
          </w:p>
        </w:tc>
        <w:tc>
          <w:tcPr>
            <w:tcW w:w="22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(10,201 )</w:t>
            </w:r>
          </w:p>
        </w:tc>
        <w:tc>
          <w:tcPr>
            <w:tcW w:w="140" w:type="dxa"/>
            <w:vAlign w:val="bottom"/>
            <w:shd w:val="clear" w:color="auto" w:fill="CFF0FC"/>
          </w:tcPr>
          <w:p>
            <w:pPr>
              <w:spacing w:after="0"/>
              <w:rPr>
                <w:sz w:val="22"/>
                <w:szCs w:val="22"/>
                <w:color w:val="auto"/>
              </w:rPr>
            </w:pP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2,566</w:t>
            </w:r>
          </w:p>
        </w:tc>
        <w:tc>
          <w:tcPr>
            <w:tcW w:w="220" w:type="dxa"/>
            <w:vAlign w:val="bottom"/>
            <w:shd w:val="clear" w:color="auto" w:fill="CFF0FC"/>
          </w:tcPr>
          <w:p>
            <w:pPr>
              <w:spacing w:after="0"/>
              <w:rPr>
                <w:sz w:val="22"/>
                <w:szCs w:val="22"/>
                <w:color w:val="auto"/>
              </w:rPr>
            </w:pPr>
          </w:p>
        </w:tc>
        <w:tc>
          <w:tcPr>
            <w:tcW w:w="180" w:type="dxa"/>
            <w:vAlign w:val="bottom"/>
            <w:shd w:val="clear" w:color="auto" w:fill="CFF0FC"/>
          </w:tcPr>
          <w:p>
            <w:pPr>
              <w:spacing w:after="0"/>
              <w:rPr>
                <w:sz w:val="22"/>
                <w:szCs w:val="22"/>
                <w:color w:val="auto"/>
              </w:rPr>
            </w:pP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(7,635 )</w:t>
            </w:r>
          </w:p>
        </w:tc>
      </w:tr>
      <w:tr>
        <w:trPr>
          <w:trHeight w:val="250"/>
        </w:trPr>
        <w:tc>
          <w:tcPr>
            <w:tcW w:w="3660" w:type="dxa"/>
            <w:vAlign w:val="bottom"/>
          </w:tcPr>
          <w:p>
            <w:pPr>
              <w:ind w:left="200"/>
              <w:spacing w:after="0"/>
              <w:rPr>
                <w:sz w:val="20"/>
                <w:szCs w:val="20"/>
                <w:color w:val="auto"/>
              </w:rPr>
            </w:pPr>
            <w:r>
              <w:rPr>
                <w:rFonts w:ascii="Arial" w:cs="Arial" w:eastAsia="Arial" w:hAnsi="Arial"/>
                <w:sz w:val="18"/>
                <w:szCs w:val="18"/>
                <w:color w:val="auto"/>
              </w:rPr>
              <w:t>Foreign currency translation</w:t>
            </w:r>
          </w:p>
        </w:tc>
        <w:tc>
          <w:tcPr>
            <w:tcW w:w="200" w:type="dxa"/>
            <w:vAlign w:val="bottom"/>
          </w:tcPr>
          <w:p>
            <w:pPr>
              <w:spacing w:after="0"/>
              <w:rPr>
                <w:sz w:val="21"/>
                <w:szCs w:val="21"/>
                <w:color w:val="auto"/>
              </w:rPr>
            </w:pP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(705 )</w:t>
            </w:r>
          </w:p>
        </w:tc>
        <w:tc>
          <w:tcPr>
            <w:tcW w:w="120" w:type="dxa"/>
            <w:vAlign w:val="bottom"/>
          </w:tcPr>
          <w:p>
            <w:pPr>
              <w:spacing w:after="0"/>
              <w:rPr>
                <w:sz w:val="21"/>
                <w:szCs w:val="21"/>
                <w:color w:val="auto"/>
              </w:rPr>
            </w:pPr>
          </w:p>
        </w:tc>
        <w:tc>
          <w:tcPr>
            <w:tcW w:w="11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140" w:type="dxa"/>
            <w:vAlign w:val="bottom"/>
          </w:tcPr>
          <w:p>
            <w:pPr>
              <w:spacing w:after="0"/>
              <w:rPr>
                <w:sz w:val="21"/>
                <w:szCs w:val="21"/>
                <w:color w:val="auto"/>
              </w:rPr>
            </w:pPr>
          </w:p>
        </w:tc>
        <w:tc>
          <w:tcPr>
            <w:tcW w:w="1140" w:type="dxa"/>
            <w:vAlign w:val="bottom"/>
            <w:gridSpan w:val="2"/>
          </w:tcPr>
          <w:p>
            <w:pPr>
              <w:jc w:val="right"/>
              <w:ind w:right="140"/>
              <w:spacing w:after="0"/>
              <w:rPr>
                <w:sz w:val="20"/>
                <w:szCs w:val="20"/>
                <w:color w:val="auto"/>
              </w:rPr>
            </w:pPr>
            <w:r>
              <w:rPr>
                <w:rFonts w:ascii="Arial" w:cs="Arial" w:eastAsia="Arial" w:hAnsi="Arial"/>
                <w:sz w:val="18"/>
                <w:szCs w:val="18"/>
                <w:color w:val="auto"/>
              </w:rPr>
              <w:t>(705 )</w:t>
            </w:r>
          </w:p>
        </w:tc>
        <w:tc>
          <w:tcPr>
            <w:tcW w:w="200" w:type="dxa"/>
            <w:vAlign w:val="bottom"/>
          </w:tcPr>
          <w:p>
            <w:pPr>
              <w:spacing w:after="0"/>
              <w:rPr>
                <w:sz w:val="21"/>
                <w:szCs w:val="21"/>
                <w:color w:val="auto"/>
              </w:rPr>
            </w:pPr>
          </w:p>
        </w:tc>
        <w:tc>
          <w:tcPr>
            <w:tcW w:w="1060" w:type="dxa"/>
            <w:vAlign w:val="bottom"/>
            <w:gridSpan w:val="2"/>
          </w:tcPr>
          <w:p>
            <w:pPr>
              <w:jc w:val="right"/>
              <w:ind w:right="140"/>
              <w:spacing w:after="0"/>
              <w:rPr>
                <w:sz w:val="20"/>
                <w:szCs w:val="20"/>
                <w:color w:val="auto"/>
              </w:rPr>
            </w:pPr>
            <w:r>
              <w:rPr>
                <w:rFonts w:ascii="Arial" w:cs="Arial" w:eastAsia="Arial" w:hAnsi="Arial"/>
                <w:sz w:val="18"/>
                <w:szCs w:val="18"/>
                <w:color w:val="auto"/>
              </w:rPr>
              <w:t>(1,162 )</w:t>
            </w:r>
          </w:p>
        </w:tc>
        <w:tc>
          <w:tcPr>
            <w:tcW w:w="140" w:type="dxa"/>
            <w:vAlign w:val="bottom"/>
          </w:tcPr>
          <w:p>
            <w:pPr>
              <w:spacing w:after="0"/>
              <w:rPr>
                <w:sz w:val="21"/>
                <w:szCs w:val="21"/>
                <w:color w:val="auto"/>
              </w:rPr>
            </w:pPr>
          </w:p>
        </w:tc>
        <w:tc>
          <w:tcPr>
            <w:tcW w:w="1140" w:type="dxa"/>
            <w:vAlign w:val="bottom"/>
            <w:gridSpan w:val="2"/>
          </w:tcPr>
          <w:p>
            <w:pPr>
              <w:jc w:val="right"/>
              <w:ind w:right="240"/>
              <w:spacing w:after="0"/>
              <w:rPr>
                <w:sz w:val="20"/>
                <w:szCs w:val="20"/>
                <w:color w:val="auto"/>
              </w:rPr>
            </w:pPr>
            <w:r>
              <w:rPr>
                <w:rFonts w:ascii="Arial" w:cs="Arial" w:eastAsia="Arial" w:hAnsi="Arial"/>
                <w:sz w:val="18"/>
                <w:szCs w:val="18"/>
                <w:color w:val="auto"/>
              </w:rPr>
              <w:t>—</w:t>
            </w:r>
          </w:p>
        </w:tc>
        <w:tc>
          <w:tcPr>
            <w:tcW w:w="180" w:type="dxa"/>
            <w:vAlign w:val="bottom"/>
          </w:tcPr>
          <w:p>
            <w:pPr>
              <w:spacing w:after="0"/>
              <w:rPr>
                <w:sz w:val="21"/>
                <w:szCs w:val="21"/>
                <w:color w:val="auto"/>
              </w:rPr>
            </w:pPr>
          </w:p>
        </w:tc>
        <w:tc>
          <w:tcPr>
            <w:tcW w:w="960" w:type="dxa"/>
            <w:vAlign w:val="bottom"/>
            <w:gridSpan w:val="2"/>
          </w:tcPr>
          <w:p>
            <w:pPr>
              <w:jc w:val="right"/>
              <w:ind w:right="40"/>
              <w:spacing w:after="0"/>
              <w:rPr>
                <w:sz w:val="20"/>
                <w:szCs w:val="20"/>
                <w:color w:val="auto"/>
              </w:rPr>
            </w:pPr>
            <w:r>
              <w:rPr>
                <w:rFonts w:ascii="Arial" w:cs="Arial" w:eastAsia="Arial" w:hAnsi="Arial"/>
                <w:sz w:val="18"/>
                <w:szCs w:val="18"/>
                <w:color w:val="auto"/>
              </w:rPr>
              <w:t>(1,162 )</w:t>
            </w:r>
          </w:p>
        </w:tc>
      </w:tr>
      <w:tr>
        <w:trPr>
          <w:trHeight w:val="20"/>
        </w:trPr>
        <w:tc>
          <w:tcPr>
            <w:tcW w:w="366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8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20" w:type="dxa"/>
            <w:vAlign w:val="bottom"/>
            <w:shd w:val="clear" w:color="auto" w:fill="000000"/>
          </w:tcPr>
          <w:p>
            <w:pPr>
              <w:spacing w:after="0" w:line="20" w:lineRule="exact"/>
              <w:rPr>
                <w:sz w:val="1"/>
                <w:szCs w:val="1"/>
                <w:color w:val="auto"/>
              </w:rPr>
            </w:pPr>
          </w:p>
        </w:tc>
        <w:tc>
          <w:tcPr>
            <w:tcW w:w="940" w:type="dxa"/>
            <w:vAlign w:val="bottom"/>
            <w:shd w:val="clear" w:color="auto" w:fill="000000"/>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200" w:type="dxa"/>
            <w:vAlign w:val="bottom"/>
            <w:shd w:val="clear" w:color="auto" w:fill="000000"/>
          </w:tcPr>
          <w:p>
            <w:pPr>
              <w:spacing w:after="0" w:line="20" w:lineRule="exact"/>
              <w:rPr>
                <w:sz w:val="1"/>
                <w:szCs w:val="1"/>
                <w:color w:val="auto"/>
              </w:rPr>
            </w:pPr>
          </w:p>
        </w:tc>
        <w:tc>
          <w:tcPr>
            <w:tcW w:w="84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40" w:type="dxa"/>
            <w:vAlign w:val="bottom"/>
            <w:shd w:val="clear" w:color="auto" w:fill="000000"/>
          </w:tcPr>
          <w:p>
            <w:pPr>
              <w:spacing w:after="0" w:line="20" w:lineRule="exact"/>
              <w:rPr>
                <w:sz w:val="1"/>
                <w:szCs w:val="1"/>
                <w:color w:val="auto"/>
              </w:rPr>
            </w:pPr>
          </w:p>
        </w:tc>
        <w:tc>
          <w:tcPr>
            <w:tcW w:w="920" w:type="dxa"/>
            <w:vAlign w:val="bottom"/>
            <w:shd w:val="clear" w:color="auto" w:fill="000000"/>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80" w:type="dxa"/>
            <w:vAlign w:val="bottom"/>
            <w:shd w:val="clear" w:color="auto" w:fill="000000"/>
          </w:tcPr>
          <w:p>
            <w:pPr>
              <w:spacing w:after="0" w:line="20" w:lineRule="exact"/>
              <w:rPr>
                <w:sz w:val="1"/>
                <w:szCs w:val="1"/>
                <w:color w:val="auto"/>
              </w:rPr>
            </w:pPr>
          </w:p>
        </w:tc>
        <w:tc>
          <w:tcPr>
            <w:tcW w:w="860" w:type="dxa"/>
            <w:vAlign w:val="bottom"/>
            <w:shd w:val="clear" w:color="auto" w:fill="000000"/>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70"/>
        </w:trPr>
        <w:tc>
          <w:tcPr>
            <w:tcW w:w="3660" w:type="dxa"/>
            <w:vAlign w:val="bottom"/>
            <w:shd w:val="clear" w:color="auto" w:fill="CFF0FC"/>
          </w:tcPr>
          <w:p>
            <w:pPr>
              <w:ind w:left="380"/>
              <w:spacing w:after="0"/>
              <w:rPr>
                <w:sz w:val="20"/>
                <w:szCs w:val="20"/>
                <w:color w:val="auto"/>
              </w:rPr>
            </w:pPr>
            <w:r>
              <w:rPr>
                <w:rFonts w:ascii="Arial" w:cs="Arial" w:eastAsia="Arial" w:hAnsi="Arial"/>
                <w:sz w:val="18"/>
                <w:szCs w:val="18"/>
                <w:color w:val="auto"/>
              </w:rPr>
              <w:t>Total</w:t>
            </w:r>
          </w:p>
        </w:tc>
        <w:tc>
          <w:tcPr>
            <w:tcW w:w="20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9"/>
              </w:rPr>
              <w:t>$</w:t>
            </w:r>
          </w:p>
        </w:tc>
        <w:tc>
          <w:tcPr>
            <w:tcW w:w="8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9,306</w:t>
            </w:r>
          </w:p>
        </w:tc>
        <w:tc>
          <w:tcPr>
            <w:tcW w:w="240" w:type="dxa"/>
            <w:vAlign w:val="bottom"/>
            <w:shd w:val="clear" w:color="auto" w:fill="CFF0FC"/>
          </w:tcPr>
          <w:p>
            <w:pPr>
              <w:spacing w:after="0"/>
              <w:rPr>
                <w:sz w:val="23"/>
                <w:szCs w:val="23"/>
                <w:color w:val="auto"/>
              </w:rPr>
            </w:pPr>
          </w:p>
        </w:tc>
        <w:tc>
          <w:tcPr>
            <w:tcW w:w="12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(2,517 )</w:t>
            </w:r>
          </w:p>
        </w:tc>
        <w:tc>
          <w:tcPr>
            <w:tcW w:w="1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6,789</w:t>
            </w:r>
          </w:p>
        </w:tc>
        <w:tc>
          <w:tcPr>
            <w:tcW w:w="220" w:type="dxa"/>
            <w:vAlign w:val="bottom"/>
            <w:shd w:val="clear" w:color="auto" w:fill="CFF0FC"/>
          </w:tcPr>
          <w:p>
            <w:pPr>
              <w:spacing w:after="0"/>
              <w:rPr>
                <w:sz w:val="23"/>
                <w:szCs w:val="23"/>
                <w:color w:val="auto"/>
              </w:rPr>
            </w:pPr>
          </w:p>
        </w:tc>
        <w:tc>
          <w:tcPr>
            <w:tcW w:w="200" w:type="dxa"/>
            <w:vAlign w:val="bottom"/>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060" w:type="dxa"/>
            <w:vAlign w:val="bottom"/>
            <w:gridSpan w:val="2"/>
            <w:shd w:val="clear" w:color="auto" w:fill="CFF0FC"/>
          </w:tcPr>
          <w:p>
            <w:pPr>
              <w:jc w:val="right"/>
              <w:ind w:right="140"/>
              <w:spacing w:after="0"/>
              <w:rPr>
                <w:sz w:val="20"/>
                <w:szCs w:val="20"/>
                <w:color w:val="auto"/>
              </w:rPr>
            </w:pPr>
            <w:r>
              <w:rPr>
                <w:rFonts w:ascii="Arial" w:cs="Arial" w:eastAsia="Arial" w:hAnsi="Arial"/>
                <w:sz w:val="18"/>
                <w:szCs w:val="18"/>
                <w:color w:val="auto"/>
              </w:rPr>
              <w:t>(10,078 )</w:t>
            </w:r>
          </w:p>
        </w:tc>
        <w:tc>
          <w:tcPr>
            <w:tcW w:w="1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2,242</w:t>
            </w:r>
          </w:p>
        </w:tc>
        <w:tc>
          <w:tcPr>
            <w:tcW w:w="220" w:type="dxa"/>
            <w:vAlign w:val="bottom"/>
            <w:shd w:val="clear" w:color="auto" w:fill="CFF0FC"/>
          </w:tcPr>
          <w:p>
            <w:pPr>
              <w:spacing w:after="0"/>
              <w:rPr>
                <w:sz w:val="23"/>
                <w:szCs w:val="23"/>
                <w:color w:val="auto"/>
              </w:rPr>
            </w:pP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9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(7,836 )</w:t>
            </w:r>
          </w:p>
        </w:tc>
      </w:tr>
      <w:tr>
        <w:trPr>
          <w:trHeight w:val="20"/>
        </w:trPr>
        <w:tc>
          <w:tcPr>
            <w:tcW w:w="366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8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auto"/>
            </w:tcBorders>
            <w:shd w:val="clear" w:color="auto" w:fill="000000"/>
          </w:tcPr>
          <w:p>
            <w:pPr>
              <w:spacing w:after="0" w:line="20" w:lineRule="exact"/>
              <w:rPr>
                <w:sz w:val="1"/>
                <w:szCs w:val="1"/>
                <w:color w:val="auto"/>
              </w:rPr>
            </w:pPr>
          </w:p>
        </w:tc>
        <w:tc>
          <w:tcPr>
            <w:tcW w:w="9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20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40" w:type="dxa"/>
            <w:vAlign w:val="bottom"/>
            <w:tcBorders>
              <w:top w:val="single" w:sz="8" w:color="auto"/>
            </w:tcBorders>
            <w:shd w:val="clear" w:color="auto" w:fill="000000"/>
          </w:tcPr>
          <w:p>
            <w:pPr>
              <w:spacing w:after="0" w:line="20" w:lineRule="exact"/>
              <w:rPr>
                <w:sz w:val="1"/>
                <w:szCs w:val="1"/>
                <w:color w:val="auto"/>
              </w:rPr>
            </w:pPr>
          </w:p>
        </w:tc>
        <w:tc>
          <w:tcPr>
            <w:tcW w:w="92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18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100" w:type="dxa"/>
            <w:vAlign w:val="bottom"/>
            <w:tcBorders>
              <w:top w:val="single" w:sz="8" w:color="CFF0FC"/>
            </w:tcBorders>
            <w:shd w:val="clear" w:color="auto" w:fill="CFF0FC"/>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3005455</wp:posOffset>
            </wp:positionH>
            <wp:positionV relativeFrom="paragraph">
              <wp:posOffset>-1653540</wp:posOffset>
            </wp:positionV>
            <wp:extent cx="154305" cy="8255"/>
            <wp:wrapNone/>
            <wp:docPr id="274" name="Picture 2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4"/>
                    <pic:cNvPicPr>
                      <a:picLocks noChangeAspect="1" noChangeArrowheads="1"/>
                    </pic:cNvPicPr>
                  </pic:nvPicPr>
                  <pic:blipFill>
                    <a:blip r:embed="rId281">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-1636395</wp:posOffset>
            </wp:positionV>
            <wp:extent cx="154305" cy="8255"/>
            <wp:wrapNone/>
            <wp:docPr id="275" name="Picture 2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5"/>
                    <pic:cNvPicPr>
                      <a:picLocks noChangeAspect="1" noChangeArrowheads="1"/>
                    </pic:cNvPicPr>
                  </pic:nvPicPr>
                  <pic:blipFill>
                    <a:blip r:embed="rId282">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-1653540</wp:posOffset>
            </wp:positionV>
            <wp:extent cx="154305" cy="8255"/>
            <wp:wrapNone/>
            <wp:docPr id="276" name="Picture 2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6"/>
                    <pic:cNvPicPr>
                      <a:picLocks noChangeAspect="1" noChangeArrowheads="1"/>
                    </pic:cNvPicPr>
                  </pic:nvPicPr>
                  <pic:blipFill>
                    <a:blip r:embed="rId283">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-1636395</wp:posOffset>
            </wp:positionV>
            <wp:extent cx="154305" cy="8255"/>
            <wp:wrapNone/>
            <wp:docPr id="277" name="Picture 2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7"/>
                    <pic:cNvPicPr>
                      <a:picLocks noChangeAspect="1" noChangeArrowheads="1"/>
                    </pic:cNvPicPr>
                  </pic:nvPicPr>
                  <pic:blipFill>
                    <a:blip r:embed="rId28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-1653540</wp:posOffset>
            </wp:positionV>
            <wp:extent cx="146050" cy="8255"/>
            <wp:wrapNone/>
            <wp:docPr id="278" name="Picture 2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8"/>
                    <pic:cNvPicPr>
                      <a:picLocks noChangeAspect="1" noChangeArrowheads="1"/>
                    </pic:cNvPicPr>
                  </pic:nvPicPr>
                  <pic:blipFill>
                    <a:blip r:embed="rId28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-1636395</wp:posOffset>
            </wp:positionV>
            <wp:extent cx="146050" cy="8255"/>
            <wp:wrapNone/>
            <wp:docPr id="279" name="Picture 2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79"/>
                    <pic:cNvPicPr>
                      <a:picLocks noChangeAspect="1" noChangeArrowheads="1"/>
                    </pic:cNvPicPr>
                  </pic:nvPicPr>
                  <pic:blipFill>
                    <a:blip r:embed="rId286">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-1653540</wp:posOffset>
            </wp:positionV>
            <wp:extent cx="137160" cy="8255"/>
            <wp:wrapNone/>
            <wp:docPr id="280" name="Picture 2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0"/>
                    <pic:cNvPicPr>
                      <a:picLocks noChangeAspect="1" noChangeArrowheads="1"/>
                    </pic:cNvPicPr>
                  </pic:nvPicPr>
                  <pic:blipFill>
                    <a:blip r:embed="rId287">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-1636395</wp:posOffset>
            </wp:positionV>
            <wp:extent cx="137160" cy="8255"/>
            <wp:wrapNone/>
            <wp:docPr id="281" name="Picture 2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1"/>
                    <pic:cNvPicPr>
                      <a:picLocks noChangeAspect="1" noChangeArrowheads="1"/>
                    </pic:cNvPicPr>
                  </pic:nvPicPr>
                  <pic:blipFill>
                    <a:blip r:embed="rId28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-1653540</wp:posOffset>
            </wp:positionV>
            <wp:extent cx="137160" cy="8255"/>
            <wp:wrapNone/>
            <wp:docPr id="282" name="Picture 2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2"/>
                    <pic:cNvPicPr>
                      <a:picLocks noChangeAspect="1" noChangeArrowheads="1"/>
                    </pic:cNvPicPr>
                  </pic:nvPicPr>
                  <pic:blipFill>
                    <a:blip r:embed="rId289">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-1636395</wp:posOffset>
            </wp:positionV>
            <wp:extent cx="137160" cy="8255"/>
            <wp:wrapNone/>
            <wp:docPr id="283" name="Picture 2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3"/>
                    <pic:cNvPicPr>
                      <a:picLocks noChangeAspect="1" noChangeArrowheads="1"/>
                    </pic:cNvPicPr>
                  </pic:nvPicPr>
                  <pic:blipFill>
                    <a:blip r:embed="rId29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-1653540</wp:posOffset>
            </wp:positionV>
            <wp:extent cx="68580" cy="8255"/>
            <wp:wrapNone/>
            <wp:docPr id="284" name="Picture 2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4"/>
                    <pic:cNvPicPr>
                      <a:picLocks noChangeAspect="1" noChangeArrowheads="1"/>
                    </pic:cNvPicPr>
                  </pic:nvPicPr>
                  <pic:blipFill>
                    <a:blip r:embed="rId291">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-1636395</wp:posOffset>
            </wp:positionV>
            <wp:extent cx="68580" cy="8255"/>
            <wp:wrapNone/>
            <wp:docPr id="285" name="Picture 2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5"/>
                    <pic:cNvPicPr>
                      <a:picLocks noChangeAspect="1" noChangeArrowheads="1"/>
                    </pic:cNvPicPr>
                  </pic:nvPicPr>
                  <pic:blipFill>
                    <a:blip r:embed="rId292">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-25400</wp:posOffset>
            </wp:positionV>
            <wp:extent cx="154305" cy="8890"/>
            <wp:wrapNone/>
            <wp:docPr id="286" name="Picture 2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6"/>
                    <pic:cNvPicPr>
                      <a:picLocks noChangeAspect="1" noChangeArrowheads="1"/>
                    </pic:cNvPicPr>
                  </pic:nvPicPr>
                  <pic:blipFill>
                    <a:blip r:embed="rId293">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3005455</wp:posOffset>
            </wp:positionH>
            <wp:positionV relativeFrom="paragraph">
              <wp:posOffset>-7620</wp:posOffset>
            </wp:positionV>
            <wp:extent cx="154305" cy="8255"/>
            <wp:wrapNone/>
            <wp:docPr id="287" name="Picture 2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7"/>
                    <pic:cNvPicPr>
                      <a:picLocks noChangeAspect="1" noChangeArrowheads="1"/>
                    </pic:cNvPicPr>
                  </pic:nvPicPr>
                  <pic:blipFill>
                    <a:blip r:embed="rId294">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-25400</wp:posOffset>
            </wp:positionV>
            <wp:extent cx="154305" cy="8890"/>
            <wp:wrapNone/>
            <wp:docPr id="288" name="Picture 2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8"/>
                    <pic:cNvPicPr>
                      <a:picLocks noChangeAspect="1" noChangeArrowheads="1"/>
                    </pic:cNvPicPr>
                  </pic:nvPicPr>
                  <pic:blipFill>
                    <a:blip r:embed="rId295">
                      <a:extLst>
                        <a:ext uri="{28A0092B-C50C-407E-A947-70E740481C1C}"/>
                      </a:extLst>
                    </a:blip>
                    <a:srcRect/>
                    <a:stretch>
                      <a:fillRect/>
                    </a:stretch>
                  </pic:blipFill>
                  <pic:spPr bwMode="auto">
                    <a:xfrm>
                      <a:off x="0" y="0"/>
                      <a:ext cx="154305" cy="8890"/>
                    </a:xfrm>
                    <a:prstGeom prst="rect">
                      <a:avLst/>
                    </a:prstGeom>
                    <a:noFill/>
                  </pic:spPr>
                </pic:pic>
              </a:graphicData>
            </a:graphic>
          </wp:anchor>
        </w:drawing>
        <w:drawing>
          <wp:anchor simplePos="0" relativeHeight="251657728" behindDoc="1" locked="0" layoutInCell="0" allowOverlap="1">
            <wp:simplePos x="0" y="0"/>
            <wp:positionH relativeFrom="column">
              <wp:posOffset>3836670</wp:posOffset>
            </wp:positionH>
            <wp:positionV relativeFrom="paragraph">
              <wp:posOffset>-7620</wp:posOffset>
            </wp:positionV>
            <wp:extent cx="154305" cy="8255"/>
            <wp:wrapNone/>
            <wp:docPr id="289" name="Picture 2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89"/>
                    <pic:cNvPicPr>
                      <a:picLocks noChangeAspect="1" noChangeArrowheads="1"/>
                    </pic:cNvPicPr>
                  </pic:nvPicPr>
                  <pic:blipFill>
                    <a:blip r:embed="rId296">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-25400</wp:posOffset>
            </wp:positionV>
            <wp:extent cx="137160" cy="8890"/>
            <wp:wrapNone/>
            <wp:docPr id="290" name="Picture 2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0"/>
                    <pic:cNvPicPr>
                      <a:picLocks noChangeAspect="1" noChangeArrowheads="1"/>
                    </pic:cNvPicPr>
                  </pic:nvPicPr>
                  <pic:blipFill>
                    <a:blip r:embed="rId297">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4659630</wp:posOffset>
            </wp:positionH>
            <wp:positionV relativeFrom="paragraph">
              <wp:posOffset>-7620</wp:posOffset>
            </wp:positionV>
            <wp:extent cx="137160" cy="8255"/>
            <wp:wrapNone/>
            <wp:docPr id="291" name="Picture 2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1"/>
                    <pic:cNvPicPr>
                      <a:picLocks noChangeAspect="1" noChangeArrowheads="1"/>
                    </pic:cNvPicPr>
                  </pic:nvPicPr>
                  <pic:blipFill>
                    <a:blip r:embed="rId298">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-25400</wp:posOffset>
            </wp:positionV>
            <wp:extent cx="137160" cy="8890"/>
            <wp:wrapNone/>
            <wp:docPr id="292" name="Picture 2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2"/>
                    <pic:cNvPicPr>
                      <a:picLocks noChangeAspect="1" noChangeArrowheads="1"/>
                    </pic:cNvPicPr>
                  </pic:nvPicPr>
                  <pic:blipFill>
                    <a:blip r:embed="rId299">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5465445</wp:posOffset>
            </wp:positionH>
            <wp:positionV relativeFrom="paragraph">
              <wp:posOffset>-7620</wp:posOffset>
            </wp:positionV>
            <wp:extent cx="137160" cy="8255"/>
            <wp:wrapNone/>
            <wp:docPr id="293" name="Picture 2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3"/>
                    <pic:cNvPicPr>
                      <a:picLocks noChangeAspect="1" noChangeArrowheads="1"/>
                    </pic:cNvPicPr>
                  </pic:nvPicPr>
                  <pic:blipFill>
                    <a:blip r:embed="rId300">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-25400</wp:posOffset>
            </wp:positionV>
            <wp:extent cx="137160" cy="8890"/>
            <wp:wrapNone/>
            <wp:docPr id="294" name="Picture 2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4"/>
                    <pic:cNvPicPr>
                      <a:picLocks noChangeAspect="1" noChangeArrowheads="1"/>
                    </pic:cNvPicPr>
                  </pic:nvPicPr>
                  <pic:blipFill>
                    <a:blip r:embed="rId301">
                      <a:extLst>
                        <a:ext uri="{28A0092B-C50C-407E-A947-70E740481C1C}"/>
                      </a:extLst>
                    </a:blip>
                    <a:srcRect/>
                    <a:stretch>
                      <a:fillRect/>
                    </a:stretch>
                  </pic:blipFill>
                  <pic:spPr bwMode="auto">
                    <a:xfrm>
                      <a:off x="0" y="0"/>
                      <a:ext cx="137160" cy="8890"/>
                    </a:xfrm>
                    <a:prstGeom prst="rect">
                      <a:avLst/>
                    </a:prstGeom>
                    <a:noFill/>
                  </pic:spPr>
                </pic:pic>
              </a:graphicData>
            </a:graphic>
          </wp:anchor>
        </w:drawing>
        <w:drawing>
          <wp:anchor simplePos="0" relativeHeight="251657728" behindDoc="1" locked="0" layoutInCell="0" allowOverlap="1">
            <wp:simplePos x="0" y="0"/>
            <wp:positionH relativeFrom="column">
              <wp:posOffset>6271260</wp:posOffset>
            </wp:positionH>
            <wp:positionV relativeFrom="paragraph">
              <wp:posOffset>-7620</wp:posOffset>
            </wp:positionV>
            <wp:extent cx="137160" cy="8255"/>
            <wp:wrapNone/>
            <wp:docPr id="295" name="Picture 2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5"/>
                    <pic:cNvPicPr>
                      <a:picLocks noChangeAspect="1" noChangeArrowheads="1"/>
                    </pic:cNvPicPr>
                  </pic:nvPicPr>
                  <pic:blipFill>
                    <a:blip r:embed="rId302">
                      <a:extLst>
                        <a:ext uri="{28A0092B-C50C-407E-A947-70E740481C1C}"/>
                      </a:extLst>
                    </a:blip>
                    <a:srcRect/>
                    <a:stretch>
                      <a:fillRect/>
                    </a:stretch>
                  </pic:blipFill>
                  <pic:spPr bwMode="auto">
                    <a:xfrm>
                      <a:off x="0" y="0"/>
                      <a:ext cx="13716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-25400</wp:posOffset>
            </wp:positionV>
            <wp:extent cx="68580" cy="8890"/>
            <wp:wrapNone/>
            <wp:docPr id="296" name="Picture 2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6"/>
                    <pic:cNvPicPr>
                      <a:picLocks noChangeAspect="1" noChangeArrowheads="1"/>
                    </pic:cNvPicPr>
                  </pic:nvPicPr>
                  <pic:blipFill>
                    <a:blip r:embed="rId303">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-7620</wp:posOffset>
            </wp:positionV>
            <wp:extent cx="68580" cy="8255"/>
            <wp:wrapNone/>
            <wp:docPr id="297" name="Picture 2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7"/>
                    <pic:cNvPicPr>
                      <a:picLocks noChangeAspect="1" noChangeArrowheads="1"/>
                    </pic:cNvPicPr>
                  </pic:nvPicPr>
                  <pic:blipFill>
                    <a:blip r:embed="rId304">
                      <a:extLst>
                        <a:ext uri="{28A0092B-C50C-407E-A947-70E740481C1C}"/>
                      </a:extLst>
                    </a:blip>
                    <a:srcRect/>
                    <a:stretch>
                      <a:fillRect/>
                    </a:stretch>
                  </pic:blipFill>
                  <pic:spPr bwMode="auto">
                    <a:xfrm>
                      <a:off x="0" y="0"/>
                      <a:ext cx="68580" cy="8255"/>
                    </a:xfrm>
                    <a:prstGeom prst="rect">
                      <a:avLst/>
                    </a:prstGeom>
                    <a:noFill/>
                  </pic:spPr>
                </pic:pic>
              </a:graphicData>
            </a:graphic>
          </wp:anchor>
        </w:drawing>
      </w:r>
    </w:p>
    <w:p>
      <w:pPr>
        <w:spacing w:after="0" w:line="236" w:lineRule="exact"/>
        <w:rPr>
          <w:sz w:val="20"/>
          <w:szCs w:val="20"/>
          <w:color w:val="auto"/>
        </w:rPr>
      </w:pPr>
    </w:p>
    <w:p>
      <w:pPr>
        <w:ind w:left="1000" w:hanging="423"/>
        <w:spacing w:after="0"/>
        <w:tabs>
          <w:tab w:leader="none" w:pos="1000" w:val="left"/>
        </w:tabs>
        <w:numPr>
          <w:ilvl w:val="1"/>
          <w:numId w:val="11"/>
        </w:numPr>
        <w:rPr>
          <w:rFonts w:ascii="Arial" w:cs="Arial" w:eastAsia="Arial" w:hAnsi="Arial"/>
          <w:sz w:val="18"/>
          <w:szCs w:val="18"/>
          <w:color w:val="auto"/>
        </w:rPr>
      </w:pPr>
      <w:r>
        <w:rPr>
          <w:rFonts w:ascii="Arial" w:cs="Arial" w:eastAsia="Arial" w:hAnsi="Arial"/>
          <w:sz w:val="18"/>
          <w:szCs w:val="18"/>
          <w:color w:val="auto"/>
        </w:rPr>
        <w:t>Actuarial gains (losses) are amortized into other income (expense). (See Note 12, Retirement Plans)</w:t>
      </w:r>
    </w:p>
    <w:p>
      <w:pPr>
        <w:spacing w:after="0" w:line="261" w:lineRule="exact"/>
        <w:rPr>
          <w:rFonts w:ascii="Arial" w:cs="Arial" w:eastAsia="Arial" w:hAnsi="Arial"/>
          <w:sz w:val="18"/>
          <w:szCs w:val="18"/>
          <w:color w:val="auto"/>
        </w:rPr>
      </w:pPr>
    </w:p>
    <w:p>
      <w:pPr>
        <w:ind w:left="480" w:hanging="472"/>
        <w:spacing w:after="0"/>
        <w:tabs>
          <w:tab w:leader="none" w:pos="480" w:val="left"/>
        </w:tabs>
        <w:numPr>
          <w:ilvl w:val="0"/>
          <w:numId w:val="12"/>
        </w:numPr>
        <w:rPr>
          <w:rFonts w:ascii="Arial" w:cs="Arial" w:eastAsia="Arial" w:hAnsi="Arial"/>
          <w:sz w:val="18"/>
          <w:szCs w:val="18"/>
          <w:b w:val="1"/>
          <w:bCs w:val="1"/>
          <w:color w:val="auto"/>
        </w:rPr>
      </w:pPr>
      <w:r>
        <w:rPr>
          <w:rFonts w:ascii="Arial" w:cs="Arial" w:eastAsia="Arial" w:hAnsi="Arial"/>
          <w:sz w:val="18"/>
          <w:szCs w:val="18"/>
          <w:b w:val="1"/>
          <w:bCs w:val="1"/>
          <w:color w:val="auto"/>
        </w:rPr>
        <w:t>Contingencies and Commitments</w:t>
      </w:r>
    </w:p>
    <w:p>
      <w:pPr>
        <w:spacing w:after="0" w:line="256" w:lineRule="exact"/>
        <w:rPr>
          <w:sz w:val="20"/>
          <w:szCs w:val="20"/>
          <w:color w:val="auto"/>
        </w:rPr>
      </w:pPr>
    </w:p>
    <w:p>
      <w:pPr>
        <w:jc w:val="both"/>
        <w:ind w:firstLine="569"/>
        <w:spacing w:after="0" w:line="229" w:lineRule="exact"/>
        <w:rPr>
          <w:sz w:val="20"/>
          <w:szCs w:val="20"/>
          <w:color w:val="auto"/>
        </w:rPr>
      </w:pPr>
      <w:r>
        <w:rPr>
          <w:rFonts w:ascii="Arial" w:cs="Arial" w:eastAsia="Arial" w:hAnsi="Arial"/>
          <w:sz w:val="17"/>
          <w:szCs w:val="17"/>
          <w:color w:val="auto"/>
        </w:rPr>
        <w:t xml:space="preserve">On May 10, 2019, two tank barges and a towboat, the M/V Voyager, owned and operated by Kirby Inland Marine, LP (“Kirby Inland Marine”), a wholly owned subsidiary of the Company, were struck by the LPG tanker, the Genesis River, in the Houston Ship Channel. The bow of the Genesis River penetrated the Kirby 30015T and capsized the MMI 3014. The collision penetrated the hull of the Kirby 30015T causing its cargo, reformate, to be discharged into the water. The United States Coast Guard (“USCG”) and the National Transportation Safety Board (“NTSB”) designated the owner and pilot of the Genesis River as well as the subsidiary of the Company as parties of interest in their investigation into the cause of the incident. On June 19, 2019, the Company filed a limitation action in the U.S. District Court of the Southern District of Texas </w:t>
      </w:r>
      <w:r>
        <w:rPr>
          <w:rFonts w:ascii="MS PGothic" w:cs="MS PGothic" w:eastAsia="MS PGothic" w:hAnsi="MS PGothic"/>
          <w:sz w:val="17"/>
          <w:szCs w:val="17"/>
          <w:color w:val="auto"/>
        </w:rPr>
        <w:t>‑</w:t>
      </w:r>
      <w:r>
        <w:rPr>
          <w:rFonts w:ascii="Arial" w:cs="Arial" w:eastAsia="Arial" w:hAnsi="Arial"/>
          <w:sz w:val="17"/>
          <w:szCs w:val="17"/>
          <w:color w:val="auto"/>
        </w:rPr>
        <w:t xml:space="preserve"> Galveston Division seeking limitation of liability and asserting that the Genesis River and her owner/manager are at fault for damages including removal costs and claims under the Oil Pollution Act of 1990 and maritime law. Multiple claimants have filed claims in the limitation seeking damages under the Oil Pollution Act of 1990. The court bifurcated the matter into two trials, the first to determine liability amongst the parties and the second to assess damages. The Company entered into a settlement agreement resolving claims of natural resource damage arising out of the spill. Under the agreement, the Company agreed to pay state and federal natural resource trustees $2,102,000. The liability trial was conducted during the week of February 2, 2021. The Court issued its decision on July 8, 2021, finding that the Genesis River was solely at fault and no liability on the part of Kirby Inland Marine. No appeal was filed by the Genesis River. The Company and its insurance carriers are collecting the $20,206,000 judgment from the Genesis River and its interests.</w:t>
      </w:r>
    </w:p>
    <w:p>
      <w:pPr>
        <w:spacing w:after="0" w:line="238" w:lineRule="exact"/>
        <w:rPr>
          <w:sz w:val="20"/>
          <w:szCs w:val="20"/>
          <w:color w:val="auto"/>
        </w:rPr>
      </w:pPr>
    </w:p>
    <w:p>
      <w:pPr>
        <w:jc w:val="both"/>
        <w:ind w:firstLine="569"/>
        <w:spacing w:after="0" w:line="304" w:lineRule="auto"/>
        <w:rPr>
          <w:sz w:val="20"/>
          <w:szCs w:val="20"/>
          <w:color w:val="auto"/>
        </w:rPr>
      </w:pPr>
      <w:r>
        <w:rPr>
          <w:rFonts w:ascii="Arial" w:cs="Arial" w:eastAsia="Arial" w:hAnsi="Arial"/>
          <w:sz w:val="16"/>
          <w:szCs w:val="16"/>
          <w:color w:val="auto"/>
        </w:rPr>
        <w:t>On October 13, 2016, the tug Nathan E. Stewart and barge DBL 55, an articulated tank barge and tugboat unit (“ATB”) owned and operated by Kirby Offshore Marine, LLC, a wholly owned subsidiary of the Company, ran aground at the entrance to Seaforth Channel on Atholone Island, British Columbia. The grounding resulted in a breach of a portion of the Nathan E. Stewart’s fuel tanks causing a discharge of diesel fuel into the water. The USCG and the NTSB designated the Company as a party of interest in their investigation as to the cause of the incident. The Canadian authorities including Transport Canada and the Canadian Transportation Safety Board investigated the cause of the incident. On October 10, 2018, the Heiltsuk First Nation filed a civil action in the British Columbia Supreme Court against a subsidiary of the Company, the master and pilot of the tug, the vessels and the Canadian government seeking unquantified damages as a result of the incident. On May 1, 2019, the Company filed a limitation action in the Federal Court of Canada seeking limitation of liability relating to the incident as provided under admiralty law. The Heiltsuk First Nation’s civil claim has been consolidated into the Federal Court limitation action as of July 26, 2019 and it is expected that the Federal Court of Canada will decide all claims against the Company. The Company is unable to estimate the potential exposure in the civil proceeding. The Company has various insurance policies covering liabilities including pollution, property, marine and general liability and believes that it has satisfactory insurance coverage for the cost of cleanup and salvage operations as well as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53340</wp:posOffset>
            </wp:positionV>
            <wp:extent cx="7157720" cy="42545"/>
            <wp:wrapNone/>
            <wp:docPr id="298" name="Picture 2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8"/>
                    <pic:cNvPicPr>
                      <a:picLocks noChangeAspect="1" noChangeArrowheads="1"/>
                    </pic:cNvPicPr>
                  </pic:nvPicPr>
                  <pic:blipFill>
                    <a:blip r:embed="rId30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6" w:name="page17"/>
    <w:bookmarkEnd w:id="16"/>
    <w:p>
      <w:pPr>
        <w:jc w:val="both"/>
        <w:ind w:firstLine="562"/>
        <w:spacing w:after="0" w:line="290" w:lineRule="auto"/>
        <w:rPr>
          <w:sz w:val="20"/>
          <w:szCs w:val="20"/>
          <w:color w:val="auto"/>
        </w:rPr>
      </w:pPr>
      <w:r>
        <w:rPr>
          <w:rFonts w:ascii="Arial" w:cs="Arial" w:eastAsia="Arial" w:hAnsi="Arial"/>
          <w:sz w:val="17"/>
          <w:szCs w:val="17"/>
          <w:color w:val="auto"/>
        </w:rPr>
        <w:t>On March 22, 2014, two tank barges and a towboat, the M/V Miss Susan, owned by Kirby Inland Marine, were involved in a collision with the M/S Summer Wind on the Houston Ship Channel near Texas City, Texas. The lead tank barge was damaged in the collision resulting in a discharge of intermediate fuel oil from one of its cargo tanks. The Company is participating in the natural resource damage assessment and restoration process with federal and state government natural resource trustees. The Company believes it has adequate insurance coverage for pollution, marine and other potential liabilities arising from the incident. The Company believes its accrual of such estimated liability is adequate for the incident and does not expect the incident to have a material adverse effect on its business or financial condition.</w:t>
      </w:r>
    </w:p>
    <w:p>
      <w:pPr>
        <w:spacing w:after="0" w:line="18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In addition, the Company is involved in various legal and other proceedings which are incidental to the conduct of its business, none of which in the opinion of management will have a material effect on the Company’s financial condition, results of operations, or cash flows. Management believes its accrual of such estimated liability is adequate and believes that it has adequate insurance coverage or has meritorious defenses for these other claims and contingencies.</w:t>
      </w:r>
    </w:p>
    <w:p>
      <w:pPr>
        <w:spacing w:after="0" w:line="199"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$21,199,000 at September 30, 2021, including $13,847,000 in letters of credit and $7,352,000 in performance bonds. All of these instruments have an expiration date within two years. The Company does not believe demand for payment under these instruments is likely and expects no material cash outlays to occur regarding these instruments.</w:t>
      </w:r>
    </w:p>
    <w:p>
      <w:pPr>
        <w:spacing w:after="0" w:line="353"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299" name="Picture 2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99"/>
                    <pic:cNvPicPr>
                      <a:picLocks noChangeAspect="1" noChangeArrowheads="1"/>
                    </pic:cNvPicPr>
                  </pic:nvPicPr>
                  <pic:blipFill>
                    <a:blip r:embed="rId3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7" w:name="page18"/>
    <w:bookmarkEnd w:id="17"/>
    <w:p>
      <w:pPr>
        <w:spacing w:after="0"/>
        <w:tabs>
          <w:tab w:leader="none" w:pos="800" w:val="left"/>
        </w:tabs>
        <w:rPr>
          <w:sz w:val="20"/>
          <w:szCs w:val="20"/>
          <w:color w:val="auto"/>
        </w:rPr>
      </w:pPr>
      <w:r>
        <w:rPr>
          <w:rFonts w:ascii="Arial" w:cs="Arial" w:eastAsia="Arial" w:hAnsi="Arial"/>
          <w:sz w:val="18"/>
          <w:szCs w:val="18"/>
          <w:b w:val="1"/>
          <w:bCs w:val="1"/>
          <w:color w:val="auto"/>
        </w:rPr>
        <w:t>Item 2.</w:t>
      </w:r>
      <w:r>
        <w:rPr>
          <w:sz w:val="20"/>
          <w:szCs w:val="20"/>
          <w:color w:val="auto"/>
        </w:rPr>
        <w:tab/>
      </w:r>
      <w:r>
        <w:rPr>
          <w:rFonts w:ascii="Arial" w:cs="Arial" w:eastAsia="Arial" w:hAnsi="Arial"/>
          <w:sz w:val="16"/>
          <w:szCs w:val="16"/>
          <w:b w:val="1"/>
          <w:bCs w:val="1"/>
          <w:color w:val="auto"/>
        </w:rPr>
        <w:t>Management’s Discussion and Analysis of Financial Condition and Results of Operations</w:t>
      </w:r>
    </w:p>
    <w:p>
      <w:pPr>
        <w:spacing w:after="0" w:line="256" w:lineRule="exact"/>
        <w:rPr>
          <w:sz w:val="20"/>
          <w:szCs w:val="20"/>
          <w:color w:val="auto"/>
        </w:rPr>
      </w:pPr>
    </w:p>
    <w:p>
      <w:pPr>
        <w:jc w:val="both"/>
        <w:ind w:firstLine="562"/>
        <w:spacing w:after="0" w:line="229" w:lineRule="exact"/>
        <w:rPr>
          <w:sz w:val="20"/>
          <w:szCs w:val="20"/>
          <w:color w:val="auto"/>
        </w:rPr>
      </w:pPr>
      <w:r>
        <w:rPr>
          <w:rFonts w:ascii="Arial" w:cs="Arial" w:eastAsia="Arial" w:hAnsi="Arial"/>
          <w:sz w:val="17"/>
          <w:szCs w:val="17"/>
          <w:color w:val="auto"/>
        </w:rPr>
        <w:t>Statements contained in this Form 10-Q that are not historical facts, including, but not limited to, any projections contained herein, are forward-looking statements and involve a number of risks and uncertainties. Such statements involve risks and uncertainties. Such statements can be identified by the use of forward-looking terminology such as “may,” “will,” “expect,” “anticipate,” “estimate,” or “continue,” or the negative thereof or other variations thereon or comparable terminology. The actual results of the future events described in such forward-looking statements in this Form 10-Q could differ materially from those stated in such forward-looking statements. Among the factors that could cause actual results to differ materially are: adverse economic conditions, industry competition and other competitive factors, adverse weather conditions such as high water, low water, tropical storms, hurricanes, tsunamis, fog and ice, tornados, COVID-19 or other pandemics, marine accidents, lock delays, fuel costs, interest rates, construction of new equipment by competitors, government and environmental laws and regulations, and the timing, magnitude and number of acquisitions made by the Company. For a more detailed discussion of factors that could cause actual results to differ from those presented in forward-looking statements, see Item 1A-Risk Factors found in the Company’s Annual Report on Form 10</w:t>
      </w:r>
      <w:r>
        <w:rPr>
          <w:rFonts w:ascii="MS PGothic" w:cs="MS PGothic" w:eastAsia="MS PGothic" w:hAnsi="MS PGothic"/>
          <w:sz w:val="17"/>
          <w:szCs w:val="17"/>
          <w:color w:val="auto"/>
        </w:rPr>
        <w:t>‑</w:t>
      </w:r>
      <w:r>
        <w:rPr>
          <w:rFonts w:ascii="Arial" w:cs="Arial" w:eastAsia="Arial" w:hAnsi="Arial"/>
          <w:sz w:val="17"/>
          <w:szCs w:val="17"/>
          <w:color w:val="auto"/>
        </w:rPr>
        <w:t>K for the year ended December 31, 2020. Forward-looking statements are based on currently available information and the Company assumes no obligation to update any such statements.</w:t>
      </w:r>
    </w:p>
    <w:p>
      <w:pPr>
        <w:spacing w:after="0" w:line="23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For purposes of Management’s Discussion, all net earnings (loss) per share attributable to Kirby common stockholders are “diluted earnings (loss)</w:t>
      </w:r>
    </w:p>
    <w:p>
      <w:pPr>
        <w:spacing w:after="0" w:line="46" w:lineRule="exact"/>
        <w:rPr>
          <w:sz w:val="20"/>
          <w:szCs w:val="20"/>
          <w:color w:val="auto"/>
        </w:rPr>
      </w:pPr>
    </w:p>
    <w:p>
      <w:pPr>
        <w:spacing w:after="0"/>
        <w:rPr>
          <w:sz w:val="20"/>
          <w:szCs w:val="20"/>
          <w:color w:val="auto"/>
        </w:rPr>
      </w:pPr>
      <w:r>
        <w:rPr>
          <w:rFonts w:ascii="Arial" w:cs="Arial" w:eastAsia="Arial" w:hAnsi="Arial"/>
          <w:sz w:val="18"/>
          <w:szCs w:val="18"/>
          <w:color w:val="auto"/>
        </w:rPr>
        <w:t>per share.” The weighted average number of common shares applicable to diluted earnings (loss) per share were as follows (in thousands):</w:t>
      </w:r>
    </w:p>
    <w:p>
      <w:pPr>
        <w:spacing w:after="0" w:line="256"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900" w:type="dxa"/>
            <w:vAlign w:val="bottom"/>
          </w:tcPr>
          <w:p>
            <w:pPr>
              <w:spacing w:after="0"/>
              <w:rPr>
                <w:sz w:val="16"/>
                <w:szCs w:val="16"/>
                <w:color w:val="auto"/>
              </w:rPr>
            </w:pPr>
          </w:p>
        </w:tc>
        <w:tc>
          <w:tcPr>
            <w:tcW w:w="3020" w:type="dxa"/>
            <w:vAlign w:val="bottom"/>
            <w:tcBorders>
              <w:bottom w:val="single" w:sz="8" w:color="auto"/>
            </w:tcBorders>
            <w:gridSpan w:val="4"/>
          </w:tcPr>
          <w:p>
            <w:pPr>
              <w:jc w:val="right"/>
              <w:ind w:right="328"/>
              <w:spacing w:after="0"/>
              <w:rPr>
                <w:sz w:val="20"/>
                <w:szCs w:val="20"/>
                <w:color w:val="auto"/>
              </w:rPr>
            </w:pPr>
            <w:r>
              <w:rPr>
                <w:rFonts w:ascii="Arial" w:cs="Arial" w:eastAsia="Arial" w:hAnsi="Arial"/>
                <w:sz w:val="14"/>
                <w:szCs w:val="14"/>
                <w:b w:val="1"/>
                <w:bCs w:val="1"/>
                <w:color w:val="auto"/>
              </w:rPr>
              <w:t>Three Months Ended September 30,</w:t>
            </w:r>
          </w:p>
        </w:tc>
        <w:tc>
          <w:tcPr>
            <w:tcW w:w="280" w:type="dxa"/>
            <w:vAlign w:val="bottom"/>
          </w:tcPr>
          <w:p>
            <w:pPr>
              <w:spacing w:after="0"/>
              <w:rPr>
                <w:sz w:val="16"/>
                <w:szCs w:val="16"/>
                <w:color w:val="auto"/>
              </w:rPr>
            </w:pPr>
          </w:p>
        </w:tc>
        <w:tc>
          <w:tcPr>
            <w:tcW w:w="2940" w:type="dxa"/>
            <w:vAlign w:val="bottom"/>
            <w:tcBorders>
              <w:bottom w:val="single" w:sz="8" w:color="auto"/>
            </w:tcBorders>
            <w:gridSpan w:val="3"/>
          </w:tcPr>
          <w:p>
            <w:pPr>
              <w:jc w:val="right"/>
              <w:ind w:right="328"/>
              <w:spacing w:after="0"/>
              <w:rPr>
                <w:sz w:val="20"/>
                <w:szCs w:val="20"/>
                <w:color w:val="auto"/>
              </w:rPr>
            </w:pPr>
            <w:r>
              <w:rPr>
                <w:rFonts w:ascii="Arial" w:cs="Arial" w:eastAsia="Arial" w:hAnsi="Arial"/>
                <w:sz w:val="14"/>
                <w:szCs w:val="14"/>
                <w:b w:val="1"/>
                <w:bCs w:val="1"/>
                <w:color w:val="auto"/>
              </w:rPr>
              <w:t>Nine Months Ended September 30,</w:t>
            </w:r>
          </w:p>
        </w:tc>
        <w:tc>
          <w:tcPr>
            <w:tcW w:w="100" w:type="dxa"/>
            <w:vAlign w:val="bottom"/>
          </w:tcPr>
          <w:p>
            <w:pPr>
              <w:spacing w:after="0"/>
              <w:rPr>
                <w:sz w:val="16"/>
                <w:szCs w:val="16"/>
                <w:color w:val="auto"/>
              </w:rPr>
            </w:pPr>
          </w:p>
        </w:tc>
      </w:tr>
      <w:tr>
        <w:trPr>
          <w:trHeight w:val="196"/>
        </w:trPr>
        <w:tc>
          <w:tcPr>
            <w:tcW w:w="4900" w:type="dxa"/>
            <w:vAlign w:val="bottom"/>
          </w:tcPr>
          <w:p>
            <w:pPr>
              <w:spacing w:after="0"/>
              <w:rPr>
                <w:sz w:val="17"/>
                <w:szCs w:val="17"/>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540" w:type="dxa"/>
            <w:vAlign w:val="bottom"/>
            <w:tcBorders>
              <w:bottom w:val="single" w:sz="8" w:color="auto"/>
            </w:tcBorders>
          </w:tcPr>
          <w:p>
            <w:pPr>
              <w:spacing w:after="0"/>
              <w:rPr>
                <w:sz w:val="17"/>
                <w:szCs w:val="17"/>
                <w:color w:val="auto"/>
              </w:rPr>
            </w:pPr>
          </w:p>
        </w:tc>
        <w:tc>
          <w:tcPr>
            <w:tcW w:w="280" w:type="dxa"/>
            <w:vAlign w:val="bottom"/>
          </w:tcPr>
          <w:p>
            <w:pPr>
              <w:spacing w:after="0"/>
              <w:rPr>
                <w:sz w:val="17"/>
                <w:szCs w:val="17"/>
                <w:color w:val="auto"/>
              </w:rPr>
            </w:pPr>
          </w:p>
        </w:tc>
        <w:tc>
          <w:tcPr>
            <w:tcW w:w="136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280" w:type="dxa"/>
            <w:vAlign w:val="bottom"/>
          </w:tcPr>
          <w:p>
            <w:pPr>
              <w:spacing w:after="0"/>
              <w:rPr>
                <w:sz w:val="17"/>
                <w:szCs w:val="17"/>
                <w:color w:val="auto"/>
              </w:rPr>
            </w:pPr>
          </w:p>
        </w:tc>
        <w:tc>
          <w:tcPr>
            <w:tcW w:w="1340" w:type="dxa"/>
            <w:vAlign w:val="bottom"/>
            <w:tcBorders>
              <w:bottom w:val="single" w:sz="8" w:color="auto"/>
            </w:tcBorders>
          </w:tcPr>
          <w:p>
            <w:pPr>
              <w:jc w:val="right"/>
              <w:ind w:right="448"/>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1340" w:type="dxa"/>
            <w:vAlign w:val="bottom"/>
            <w:tcBorders>
              <w:bottom w:val="single" w:sz="8" w:color="auto"/>
            </w:tcBorders>
          </w:tcPr>
          <w:p>
            <w:pPr>
              <w:jc w:val="right"/>
              <w:ind w:right="468"/>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5740" w:type="dxa"/>
            <w:vAlign w:val="bottom"/>
            <w:gridSpan w:val="2"/>
            <w:shd w:val="clear" w:color="auto" w:fill="CFF0FC"/>
          </w:tcPr>
          <w:p>
            <w:pPr>
              <w:jc w:val="right"/>
              <w:ind w:right="1828"/>
              <w:spacing w:after="0"/>
              <w:rPr>
                <w:sz w:val="20"/>
                <w:szCs w:val="20"/>
                <w:color w:val="auto"/>
              </w:rPr>
            </w:pPr>
            <w:r>
              <w:rPr>
                <w:rFonts w:ascii="Arial" w:cs="Arial" w:eastAsia="Arial" w:hAnsi="Arial"/>
                <w:sz w:val="18"/>
                <w:szCs w:val="18"/>
                <w:color w:val="auto"/>
                <w:w w:val="90"/>
              </w:rPr>
              <w:t>Weighted average number of common stock - diluted</w:t>
            </w:r>
          </w:p>
        </w:tc>
        <w:tc>
          <w:tcPr>
            <w:tcW w:w="540" w:type="dxa"/>
            <w:vAlign w:val="bottom"/>
            <w:shd w:val="clear" w:color="auto" w:fill="CFF0FC"/>
          </w:tcPr>
          <w:p>
            <w:pPr>
              <w:jc w:val="right"/>
              <w:spacing w:after="0"/>
              <w:rPr>
                <w:sz w:val="20"/>
                <w:szCs w:val="20"/>
                <w:color w:val="auto"/>
              </w:rPr>
            </w:pPr>
            <w:r>
              <w:rPr>
                <w:rFonts w:ascii="Arial" w:cs="Arial" w:eastAsia="Arial" w:hAnsi="Arial"/>
                <w:sz w:val="18"/>
                <w:szCs w:val="18"/>
                <w:color w:val="auto"/>
                <w:w w:val="90"/>
              </w:rPr>
              <w:t>60,062</w:t>
            </w:r>
          </w:p>
        </w:tc>
        <w:tc>
          <w:tcPr>
            <w:tcW w:w="164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59,931</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60,044</w:t>
            </w:r>
          </w:p>
        </w:tc>
        <w:tc>
          <w:tcPr>
            <w:tcW w:w="160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59,903</w:t>
            </w:r>
          </w:p>
        </w:tc>
        <w:tc>
          <w:tcPr>
            <w:tcW w:w="100" w:type="dxa"/>
            <w:vAlign w:val="bottom"/>
            <w:shd w:val="clear" w:color="auto" w:fill="CFF0FC"/>
          </w:tcPr>
          <w:p>
            <w:pPr>
              <w:spacing w:after="0"/>
              <w:rPr>
                <w:sz w:val="22"/>
                <w:szCs w:val="22"/>
                <w:color w:val="auto"/>
              </w:rPr>
            </w:pPr>
          </w:p>
        </w:tc>
      </w:tr>
    </w:tbl>
    <w:p>
      <w:pPr>
        <w:spacing w:after="0" w:line="22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Overview</w:t>
      </w:r>
    </w:p>
    <w:p>
      <w:pPr>
        <w:spacing w:after="0" w:line="256"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The Company is the nation’s largest domestic tank barge operator, transporting bulk liquid products throughout the Mississippi River System, on the Gulf Intracoastal Waterway, coastwise along all three United States coasts, and in Alaska and Hawaii. The Company transports petrochemicals, black oil, refined petroleum products and agricultural chemicals by tank barge. Through its distribution and services segment, the Company provides after-market service and parts for engines, transmissions,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206"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key operating results of the Company (in thousands, except per share amounts):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80" w:type="dxa"/>
            <w:vAlign w:val="bottom"/>
          </w:tcPr>
          <w:p>
            <w:pPr>
              <w:spacing w:after="0"/>
              <w:rPr>
                <w:sz w:val="16"/>
                <w:szCs w:val="16"/>
                <w:color w:val="auto"/>
              </w:rPr>
            </w:pPr>
          </w:p>
        </w:tc>
        <w:tc>
          <w:tcPr>
            <w:tcW w:w="280" w:type="dxa"/>
            <w:vAlign w:val="bottom"/>
          </w:tcPr>
          <w:p>
            <w:pPr>
              <w:spacing w:after="0"/>
              <w:rPr>
                <w:sz w:val="16"/>
                <w:szCs w:val="16"/>
                <w:color w:val="auto"/>
              </w:rPr>
            </w:pPr>
          </w:p>
        </w:tc>
        <w:tc>
          <w:tcPr>
            <w:tcW w:w="2800" w:type="dxa"/>
            <w:vAlign w:val="bottom"/>
            <w:gridSpan w:val="4"/>
          </w:tcPr>
          <w:p>
            <w:pPr>
              <w:jc w:val="right"/>
              <w:ind w:right="335"/>
              <w:spacing w:after="0"/>
              <w:rPr>
                <w:sz w:val="20"/>
                <w:szCs w:val="20"/>
                <w:color w:val="auto"/>
              </w:rPr>
            </w:pPr>
            <w:r>
              <w:rPr>
                <w:rFonts w:ascii="Arial" w:cs="Arial" w:eastAsia="Arial" w:hAnsi="Arial"/>
                <w:sz w:val="14"/>
                <w:szCs w:val="14"/>
                <w:b w:val="1"/>
                <w:bCs w:val="1"/>
                <w:color w:val="auto"/>
                <w:w w:val="99"/>
              </w:rPr>
              <w:t>Three Months Ended September 30,</w:t>
            </w:r>
          </w:p>
        </w:tc>
        <w:tc>
          <w:tcPr>
            <w:tcW w:w="260" w:type="dxa"/>
            <w:vAlign w:val="bottom"/>
          </w:tcPr>
          <w:p>
            <w:pPr>
              <w:spacing w:after="0"/>
              <w:rPr>
                <w:sz w:val="16"/>
                <w:szCs w:val="16"/>
                <w:color w:val="auto"/>
              </w:rPr>
            </w:pPr>
          </w:p>
        </w:tc>
        <w:tc>
          <w:tcPr>
            <w:tcW w:w="260" w:type="dxa"/>
            <w:vAlign w:val="bottom"/>
          </w:tcPr>
          <w:p>
            <w:pPr>
              <w:spacing w:after="0"/>
              <w:rPr>
                <w:sz w:val="16"/>
                <w:szCs w:val="16"/>
                <w:color w:val="auto"/>
              </w:rPr>
            </w:pPr>
          </w:p>
        </w:tc>
        <w:tc>
          <w:tcPr>
            <w:tcW w:w="2860" w:type="dxa"/>
            <w:vAlign w:val="bottom"/>
            <w:gridSpan w:val="5"/>
          </w:tcPr>
          <w:p>
            <w:pPr>
              <w:jc w:val="right"/>
              <w:ind w:right="540"/>
              <w:spacing w:after="0"/>
              <w:rPr>
                <w:sz w:val="20"/>
                <w:szCs w:val="20"/>
                <w:color w:val="auto"/>
              </w:rPr>
            </w:pPr>
            <w:r>
              <w:rPr>
                <w:rFonts w:ascii="Arial" w:cs="Arial" w:eastAsia="Arial" w:hAnsi="Arial"/>
                <w:sz w:val="14"/>
                <w:szCs w:val="14"/>
                <w:b w:val="1"/>
                <w:bCs w:val="1"/>
                <w:color w:val="auto"/>
                <w:w w:val="99"/>
              </w:rPr>
              <w:t>Nine Months Ended September 30,</w:t>
            </w:r>
          </w:p>
        </w:tc>
      </w:tr>
      <w:tr>
        <w:trPr>
          <w:trHeight w:val="196"/>
        </w:trPr>
        <w:tc>
          <w:tcPr>
            <w:tcW w:w="4780" w:type="dxa"/>
            <w:vAlign w:val="bottom"/>
          </w:tcPr>
          <w:p>
            <w:pPr>
              <w:spacing w:after="0"/>
              <w:rPr>
                <w:sz w:val="17"/>
                <w:szCs w:val="17"/>
                <w:color w:val="auto"/>
              </w:rPr>
            </w:pPr>
          </w:p>
        </w:tc>
        <w:tc>
          <w:tcPr>
            <w:tcW w:w="280" w:type="dxa"/>
            <w:vAlign w:val="bottom"/>
            <w:tcBorders>
              <w:top w:val="single" w:sz="8" w:color="auto"/>
              <w:bottom w:val="single" w:sz="8" w:color="auto"/>
            </w:tcBorders>
          </w:tcPr>
          <w:p>
            <w:pPr>
              <w:spacing w:after="0"/>
              <w:rPr>
                <w:sz w:val="17"/>
                <w:szCs w:val="17"/>
                <w:color w:val="auto"/>
              </w:rPr>
            </w:pPr>
          </w:p>
        </w:tc>
        <w:tc>
          <w:tcPr>
            <w:tcW w:w="1140" w:type="dxa"/>
            <w:vAlign w:val="bottom"/>
            <w:tcBorders>
              <w:top w:val="single" w:sz="8" w:color="auto"/>
              <w:bottom w:val="single" w:sz="8" w:color="auto"/>
            </w:tcBorders>
          </w:tcPr>
          <w:p>
            <w:pPr>
              <w:jc w:val="right"/>
              <w:ind w:right="477"/>
              <w:spacing w:after="0"/>
              <w:rPr>
                <w:sz w:val="20"/>
                <w:szCs w:val="20"/>
                <w:color w:val="auto"/>
              </w:rPr>
            </w:pPr>
            <w:r>
              <w:rPr>
                <w:rFonts w:ascii="Arial" w:cs="Arial" w:eastAsia="Arial" w:hAnsi="Arial"/>
                <w:sz w:val="14"/>
                <w:szCs w:val="14"/>
                <w:b w:val="1"/>
                <w:bCs w:val="1"/>
                <w:color w:val="auto"/>
              </w:rPr>
              <w:t>2021</w:t>
            </w:r>
          </w:p>
        </w:tc>
        <w:tc>
          <w:tcPr>
            <w:tcW w:w="28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120" w:type="dxa"/>
            <w:vAlign w:val="bottom"/>
            <w:tcBorders>
              <w:top w:val="single" w:sz="8" w:color="auto"/>
              <w:bottom w:val="single" w:sz="8" w:color="auto"/>
            </w:tcBorders>
          </w:tcPr>
          <w:p>
            <w:pPr>
              <w:jc w:val="right"/>
              <w:ind w:right="455"/>
              <w:spacing w:after="0"/>
              <w:rPr>
                <w:sz w:val="20"/>
                <w:szCs w:val="20"/>
                <w:color w:val="auto"/>
              </w:rPr>
            </w:pPr>
            <w:r>
              <w:rPr>
                <w:rFonts w:ascii="Arial" w:cs="Arial" w:eastAsia="Arial" w:hAnsi="Arial"/>
                <w:sz w:val="14"/>
                <w:szCs w:val="14"/>
                <w:b w:val="1"/>
                <w:bCs w:val="1"/>
                <w:color w:val="auto"/>
              </w:rPr>
              <w:t>2021</w:t>
            </w:r>
          </w:p>
        </w:tc>
        <w:tc>
          <w:tcPr>
            <w:tcW w:w="260" w:type="dxa"/>
            <w:vAlign w:val="bottom"/>
            <w:tcBorders>
              <w:top w:val="single" w:sz="8" w:color="auto"/>
            </w:tcBorders>
          </w:tcPr>
          <w:p>
            <w:pPr>
              <w:spacing w:after="0"/>
              <w:rPr>
                <w:sz w:val="17"/>
                <w:szCs w:val="17"/>
                <w:color w:val="auto"/>
              </w:rPr>
            </w:pPr>
          </w:p>
        </w:tc>
        <w:tc>
          <w:tcPr>
            <w:tcW w:w="320" w:type="dxa"/>
            <w:vAlign w:val="bottom"/>
            <w:tcBorders>
              <w:top w:val="single" w:sz="8" w:color="auto"/>
              <w:bottom w:val="single" w:sz="8" w:color="auto"/>
            </w:tcBorders>
          </w:tcPr>
          <w:p>
            <w:pPr>
              <w:spacing w:after="0"/>
              <w:rPr>
                <w:sz w:val="17"/>
                <w:szCs w:val="17"/>
                <w:color w:val="auto"/>
              </w:rPr>
            </w:pPr>
          </w:p>
        </w:tc>
        <w:tc>
          <w:tcPr>
            <w:tcW w:w="1060" w:type="dxa"/>
            <w:vAlign w:val="bottom"/>
            <w:tcBorders>
              <w:top w:val="single" w:sz="8" w:color="auto"/>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7"/>
                <w:szCs w:val="17"/>
                <w:color w:val="auto"/>
              </w:rPr>
            </w:pPr>
          </w:p>
        </w:tc>
      </w:tr>
      <w:tr>
        <w:trPr>
          <w:trHeight w:val="256"/>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Total revenues</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1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598,920</w:t>
            </w: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496,567</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1,655,394</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1,681,652</w:t>
            </w:r>
          </w:p>
        </w:tc>
        <w:tc>
          <w:tcPr>
            <w:tcW w:w="100" w:type="dxa"/>
            <w:vAlign w:val="bottom"/>
            <w:shd w:val="clear" w:color="auto" w:fill="CFF0FC"/>
          </w:tcPr>
          <w:p>
            <w:pPr>
              <w:spacing w:after="0"/>
              <w:rPr>
                <w:sz w:val="22"/>
                <w:szCs w:val="22"/>
                <w:color w:val="auto"/>
              </w:rPr>
            </w:pP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Net earnings (loss) attributable to Kirby</w:t>
            </w:r>
          </w:p>
        </w:tc>
        <w:tc>
          <w:tcPr>
            <w:tcW w:w="280" w:type="dxa"/>
            <w:vAlign w:val="bottom"/>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tcPr>
          <w:p>
            <w:pPr>
              <w:jc w:val="right"/>
              <w:ind w:right="220"/>
              <w:spacing w:after="0"/>
              <w:rPr>
                <w:sz w:val="20"/>
                <w:szCs w:val="20"/>
                <w:color w:val="auto"/>
              </w:rPr>
            </w:pPr>
            <w:r>
              <w:rPr>
                <w:rFonts w:ascii="Arial" w:cs="Arial" w:eastAsia="Arial" w:hAnsi="Arial"/>
                <w:sz w:val="18"/>
                <w:szCs w:val="18"/>
                <w:color w:val="auto"/>
              </w:rPr>
              <w:t>(264,730 )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27,489</w:t>
            </w: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tcPr>
          <w:p>
            <w:pPr>
              <w:jc w:val="right"/>
              <w:ind w:right="180"/>
              <w:spacing w:after="0"/>
              <w:rPr>
                <w:sz w:val="20"/>
                <w:szCs w:val="20"/>
                <w:color w:val="auto"/>
              </w:rPr>
            </w:pPr>
            <w:r>
              <w:rPr>
                <w:rFonts w:ascii="Arial" w:cs="Arial" w:eastAsia="Arial" w:hAnsi="Arial"/>
                <w:sz w:val="18"/>
                <w:szCs w:val="18"/>
                <w:color w:val="auto"/>
              </w:rPr>
              <w:t>(257,915 )</w:t>
            </w: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40"/>
              <w:spacing w:after="0"/>
              <w:rPr>
                <w:sz w:val="20"/>
                <w:szCs w:val="20"/>
                <w:color w:val="auto"/>
              </w:rPr>
            </w:pPr>
            <w:r>
              <w:rPr>
                <w:rFonts w:ascii="Arial" w:cs="Arial" w:eastAsia="Arial" w:hAnsi="Arial"/>
                <w:sz w:val="18"/>
                <w:szCs w:val="18"/>
                <w:color w:val="auto"/>
              </w:rPr>
              <w:t>(294,750 )</w:t>
            </w:r>
          </w:p>
        </w:tc>
      </w:tr>
      <w:tr>
        <w:trPr>
          <w:trHeight w:val="249"/>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Net earnings (loss) per share attributable to Kirby common</w:t>
            </w:r>
          </w:p>
        </w:tc>
        <w:tc>
          <w:tcPr>
            <w:tcW w:w="280" w:type="dxa"/>
            <w:vAlign w:val="bottom"/>
            <w:shd w:val="clear" w:color="auto" w:fill="CFF0FC"/>
          </w:tcPr>
          <w:p>
            <w:pPr>
              <w:spacing w:after="0"/>
              <w:rPr>
                <w:sz w:val="21"/>
                <w:szCs w:val="21"/>
                <w:color w:val="auto"/>
              </w:rPr>
            </w:pPr>
          </w:p>
        </w:tc>
        <w:tc>
          <w:tcPr>
            <w:tcW w:w="114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1120" w:type="dxa"/>
            <w:vAlign w:val="bottom"/>
            <w:shd w:val="clear" w:color="auto" w:fill="CFF0FC"/>
          </w:tcPr>
          <w:p>
            <w:pPr>
              <w:spacing w:after="0"/>
              <w:rPr>
                <w:sz w:val="21"/>
                <w:szCs w:val="21"/>
                <w:color w:val="auto"/>
              </w:rPr>
            </w:pPr>
          </w:p>
        </w:tc>
        <w:tc>
          <w:tcPr>
            <w:tcW w:w="260" w:type="dxa"/>
            <w:vAlign w:val="bottom"/>
            <w:shd w:val="clear" w:color="auto" w:fill="CFF0FC"/>
          </w:tcPr>
          <w:p>
            <w:pPr>
              <w:spacing w:after="0"/>
              <w:rPr>
                <w:sz w:val="21"/>
                <w:szCs w:val="21"/>
                <w:color w:val="auto"/>
              </w:rPr>
            </w:pPr>
          </w:p>
        </w:tc>
        <w:tc>
          <w:tcPr>
            <w:tcW w:w="320" w:type="dxa"/>
            <w:vAlign w:val="bottom"/>
            <w:shd w:val="clear" w:color="auto" w:fill="CFF0FC"/>
          </w:tcPr>
          <w:p>
            <w:pPr>
              <w:spacing w:after="0"/>
              <w:rPr>
                <w:sz w:val="21"/>
                <w:szCs w:val="21"/>
                <w:color w:val="auto"/>
              </w:rPr>
            </w:pPr>
          </w:p>
        </w:tc>
        <w:tc>
          <w:tcPr>
            <w:tcW w:w="106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44"/>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stockholders – diluted</w:t>
            </w:r>
          </w:p>
        </w:tc>
        <w:tc>
          <w:tcPr>
            <w:tcW w:w="28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99"/>
              </w:rPr>
              <w:t>$</w:t>
            </w:r>
          </w:p>
        </w:tc>
        <w:tc>
          <w:tcPr>
            <w:tcW w:w="142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(4.41 )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0.46</w:t>
            </w: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(4.30 )</w:t>
            </w: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(4.92 )</w:t>
            </w:r>
          </w:p>
        </w:tc>
      </w:tr>
      <w:tr>
        <w:trPr>
          <w:trHeight w:val="250"/>
        </w:trPr>
        <w:tc>
          <w:tcPr>
            <w:tcW w:w="4780" w:type="dxa"/>
            <w:vAlign w:val="bottom"/>
          </w:tcPr>
          <w:p>
            <w:pPr>
              <w:ind w:left="20"/>
              <w:spacing w:after="0"/>
              <w:rPr>
                <w:sz w:val="20"/>
                <w:szCs w:val="20"/>
                <w:color w:val="auto"/>
              </w:rPr>
            </w:pPr>
            <w:r>
              <w:rPr>
                <w:rFonts w:ascii="Arial" w:cs="Arial" w:eastAsia="Arial" w:hAnsi="Arial"/>
                <w:sz w:val="18"/>
                <w:szCs w:val="18"/>
                <w:color w:val="auto"/>
              </w:rPr>
              <w:t>Net cash provided by operating activities</w:t>
            </w:r>
          </w:p>
        </w:tc>
        <w:tc>
          <w:tcPr>
            <w:tcW w:w="280" w:type="dxa"/>
            <w:vAlign w:val="bottom"/>
          </w:tcPr>
          <w:p>
            <w:pPr>
              <w:spacing w:after="0"/>
              <w:rPr>
                <w:sz w:val="21"/>
                <w:szCs w:val="21"/>
                <w:color w:val="auto"/>
              </w:rPr>
            </w:pPr>
          </w:p>
        </w:tc>
        <w:tc>
          <w:tcPr>
            <w:tcW w:w="11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320" w:type="dxa"/>
            <w:vAlign w:val="bottom"/>
          </w:tcPr>
          <w:p>
            <w:pPr>
              <w:spacing w:after="0"/>
              <w:rPr>
                <w:sz w:val="21"/>
                <w:szCs w:val="21"/>
                <w:color w:val="auto"/>
              </w:rPr>
            </w:pPr>
          </w:p>
        </w:tc>
        <w:tc>
          <w:tcPr>
            <w:tcW w:w="1060" w:type="dxa"/>
            <w:vAlign w:val="bottom"/>
          </w:tcPr>
          <w:p>
            <w:pPr>
              <w:spacing w:after="0"/>
              <w:rPr>
                <w:sz w:val="21"/>
                <w:szCs w:val="21"/>
                <w:color w:val="auto"/>
              </w:rPr>
            </w:pPr>
          </w:p>
        </w:tc>
        <w:tc>
          <w:tcPr>
            <w:tcW w:w="520" w:type="dxa"/>
            <w:vAlign w:val="bottom"/>
            <w:gridSpan w:val="2"/>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tcPr>
          <w:p>
            <w:pPr>
              <w:jc w:val="right"/>
              <w:spacing w:after="0"/>
              <w:rPr>
                <w:sz w:val="20"/>
                <w:szCs w:val="20"/>
                <w:color w:val="auto"/>
              </w:rPr>
            </w:pPr>
            <w:r>
              <w:rPr>
                <w:rFonts w:ascii="Arial" w:cs="Arial" w:eastAsia="Arial" w:hAnsi="Arial"/>
                <w:sz w:val="18"/>
                <w:szCs w:val="18"/>
                <w:color w:val="auto"/>
              </w:rPr>
              <w:t>280,362</w:t>
            </w:r>
          </w:p>
        </w:tc>
        <w:tc>
          <w:tcPr>
            <w:tcW w:w="260" w:type="dxa"/>
            <w:vAlign w:val="bottom"/>
          </w:tcPr>
          <w:p>
            <w:pPr>
              <w:spacing w:after="0"/>
              <w:rPr>
                <w:sz w:val="21"/>
                <w:szCs w:val="21"/>
                <w:color w:val="auto"/>
              </w:rPr>
            </w:pPr>
          </w:p>
        </w:tc>
        <w:tc>
          <w:tcPr>
            <w:tcW w:w="320" w:type="dxa"/>
            <w:vAlign w:val="bottom"/>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tcPr>
          <w:p>
            <w:pPr>
              <w:jc w:val="right"/>
              <w:spacing w:after="0"/>
              <w:rPr>
                <w:sz w:val="20"/>
                <w:szCs w:val="20"/>
                <w:color w:val="auto"/>
              </w:rPr>
            </w:pPr>
            <w:r>
              <w:rPr>
                <w:rFonts w:ascii="Arial" w:cs="Arial" w:eastAsia="Arial" w:hAnsi="Arial"/>
                <w:sz w:val="18"/>
                <w:szCs w:val="18"/>
                <w:color w:val="auto"/>
              </w:rPr>
              <w:t>359,763</w:t>
            </w:r>
          </w:p>
        </w:tc>
        <w:tc>
          <w:tcPr>
            <w:tcW w:w="100" w:type="dxa"/>
            <w:vAlign w:val="bottom"/>
          </w:tcPr>
          <w:p>
            <w:pPr>
              <w:spacing w:after="0"/>
              <w:rPr>
                <w:sz w:val="21"/>
                <w:szCs w:val="21"/>
                <w:color w:val="auto"/>
              </w:rPr>
            </w:pPr>
          </w:p>
        </w:tc>
      </w:tr>
      <w:tr>
        <w:trPr>
          <w:trHeight w:val="263"/>
        </w:trPr>
        <w:tc>
          <w:tcPr>
            <w:tcW w:w="47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Capital expenditures</w:t>
            </w:r>
          </w:p>
        </w:tc>
        <w:tc>
          <w:tcPr>
            <w:tcW w:w="280" w:type="dxa"/>
            <w:vAlign w:val="bottom"/>
            <w:shd w:val="clear" w:color="auto" w:fill="CFF0FC"/>
          </w:tcPr>
          <w:p>
            <w:pPr>
              <w:spacing w:after="0"/>
              <w:rPr>
                <w:sz w:val="22"/>
                <w:szCs w:val="22"/>
                <w:color w:val="auto"/>
              </w:rPr>
            </w:pPr>
          </w:p>
        </w:tc>
        <w:tc>
          <w:tcPr>
            <w:tcW w:w="114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320" w:type="dxa"/>
            <w:vAlign w:val="bottom"/>
            <w:shd w:val="clear" w:color="auto" w:fill="CFF0FC"/>
          </w:tcPr>
          <w:p>
            <w:pPr>
              <w:spacing w:after="0"/>
              <w:rPr>
                <w:sz w:val="22"/>
                <w:szCs w:val="22"/>
                <w:color w:val="auto"/>
              </w:rPr>
            </w:pPr>
          </w:p>
        </w:tc>
        <w:tc>
          <w:tcPr>
            <w:tcW w:w="1060" w:type="dxa"/>
            <w:vAlign w:val="bottom"/>
            <w:shd w:val="clear" w:color="auto" w:fill="CFF0FC"/>
          </w:tcPr>
          <w:p>
            <w:pPr>
              <w:spacing w:after="0"/>
              <w:rPr>
                <w:sz w:val="22"/>
                <w:szCs w:val="22"/>
                <w:color w:val="auto"/>
              </w:rPr>
            </w:pPr>
          </w:p>
        </w:tc>
        <w:tc>
          <w:tcPr>
            <w:tcW w:w="5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w:t>
            </w:r>
          </w:p>
        </w:tc>
        <w:tc>
          <w:tcPr>
            <w:tcW w:w="11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71,968</w:t>
            </w:r>
          </w:p>
        </w:tc>
        <w:tc>
          <w:tcPr>
            <w:tcW w:w="260" w:type="dxa"/>
            <w:vAlign w:val="bottom"/>
            <w:shd w:val="clear" w:color="auto" w:fill="CFF0FC"/>
          </w:tcPr>
          <w:p>
            <w:pPr>
              <w:spacing w:after="0"/>
              <w:rPr>
                <w:sz w:val="22"/>
                <w:szCs w:val="22"/>
                <w:color w:val="auto"/>
              </w:rPr>
            </w:pPr>
          </w:p>
        </w:tc>
        <w:tc>
          <w:tcPr>
            <w:tcW w:w="320" w:type="dxa"/>
            <w:vAlign w:val="bottom"/>
            <w:shd w:val="clear" w:color="auto" w:fill="CFF0FC"/>
          </w:tcPr>
          <w:p>
            <w:pPr>
              <w:jc w:val="right"/>
              <w:ind w:right="130"/>
              <w:spacing w:after="0"/>
              <w:rPr>
                <w:sz w:val="20"/>
                <w:szCs w:val="20"/>
                <w:color w:val="auto"/>
              </w:rPr>
            </w:pPr>
            <w:r>
              <w:rPr>
                <w:rFonts w:ascii="Arial" w:cs="Arial" w:eastAsia="Arial" w:hAnsi="Arial"/>
                <w:sz w:val="18"/>
                <w:szCs w:val="18"/>
                <w:color w:val="auto"/>
                <w:w w:val="79"/>
              </w:rPr>
              <w:t>$</w:t>
            </w:r>
          </w:p>
        </w:tc>
        <w:tc>
          <w:tcPr>
            <w:tcW w:w="10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129,371</w:t>
            </w:r>
          </w:p>
        </w:tc>
        <w:tc>
          <w:tcPr>
            <w:tcW w:w="100" w:type="dxa"/>
            <w:vAlign w:val="bottom"/>
            <w:shd w:val="clear" w:color="auto" w:fill="CFF0FC"/>
          </w:tcPr>
          <w:p>
            <w:pPr>
              <w:spacing w:after="0"/>
              <w:rPr>
                <w:sz w:val="22"/>
                <w:szCs w:val="22"/>
                <w:color w:val="auto"/>
              </w:rPr>
            </w:pPr>
          </w:p>
        </w:tc>
      </w:tr>
    </w:tbl>
    <w:p>
      <w:pPr>
        <w:spacing w:after="0" w:line="229" w:lineRule="exact"/>
        <w:rPr>
          <w:sz w:val="20"/>
          <w:szCs w:val="20"/>
          <w:color w:val="auto"/>
        </w:rPr>
      </w:pPr>
    </w:p>
    <w:p>
      <w:pPr>
        <w:jc w:val="both"/>
        <w:ind w:right="20" w:firstLine="562"/>
        <w:spacing w:after="0" w:line="279" w:lineRule="auto"/>
        <w:rPr>
          <w:sz w:val="20"/>
          <w:szCs w:val="20"/>
          <w:color w:val="auto"/>
        </w:rPr>
      </w:pPr>
      <w:r>
        <w:rPr>
          <w:rFonts w:ascii="Arial" w:cs="Arial" w:eastAsia="Arial" w:hAnsi="Arial"/>
          <w:sz w:val="18"/>
          <w:szCs w:val="18"/>
          <w:color w:val="auto"/>
        </w:rPr>
        <w:t>The 2021 third quarter included $340,713,000 before taxes, $275,068,000 after taxes, or $4.58 per share, non-cash charges related to impairment of long-lived assets related to coastal marine transportation equipment and impairment of goodwill in the marine transportation segment. See Note 7, Impairments and Other Charges in the financial statements for additional information.</w:t>
      </w:r>
    </w:p>
    <w:p>
      <w:pPr>
        <w:spacing w:after="0" w:line="196" w:lineRule="exact"/>
        <w:rPr>
          <w:sz w:val="20"/>
          <w:szCs w:val="20"/>
          <w:color w:val="auto"/>
        </w:rPr>
      </w:pPr>
    </w:p>
    <w:p>
      <w:pPr>
        <w:jc w:val="both"/>
        <w:ind w:firstLine="562"/>
        <w:spacing w:after="0" w:line="314" w:lineRule="auto"/>
        <w:rPr>
          <w:sz w:val="20"/>
          <w:szCs w:val="20"/>
          <w:color w:val="auto"/>
        </w:rPr>
      </w:pPr>
      <w:r>
        <w:rPr>
          <w:rFonts w:ascii="Arial" w:cs="Arial" w:eastAsia="Arial" w:hAnsi="Arial"/>
          <w:sz w:val="16"/>
          <w:szCs w:val="16"/>
          <w:color w:val="auto"/>
        </w:rPr>
        <w:t>The 2020 first quarter included $561,274,000 before taxes, $433,341,000 after taxes, or $7.24 per share, non-cash charges related to inventory write-downs, impairment of long-lived assets, including intangible assets and property and equipment, and impairment of goodwill in the distribution and services segment. See Note 7, Impairments and Other Charges in the financial statements for additional information. In addition, the 2020 first quarter was favorably impacted by an income tax benefit of $50,824,000, or $0.85 per share related to net operating losses generated in 2018 and 2019 used to offset taxable income generated between 2013 and 2017. See Note 9, Taxes on Income in the financial statements for additional information.</w:t>
      </w:r>
    </w:p>
    <w:p>
      <w:pPr>
        <w:spacing w:after="0" w:line="32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00" name="Picture 3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0"/>
                    <pic:cNvPicPr>
                      <a:picLocks noChangeAspect="1" noChangeArrowheads="1"/>
                    </pic:cNvPicPr>
                  </pic:nvPicPr>
                  <pic:blipFill>
                    <a:blip r:embed="rId307">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18" w:name="page19"/>
    <w:bookmarkEnd w:id="18"/>
    <w:p>
      <w:pPr>
        <w:jc w:val="both"/>
        <w:ind w:firstLine="569"/>
        <w:spacing w:after="0" w:line="296" w:lineRule="auto"/>
        <w:rPr>
          <w:sz w:val="20"/>
          <w:szCs w:val="20"/>
          <w:color w:val="auto"/>
        </w:rPr>
      </w:pPr>
      <w:r>
        <w:rPr>
          <w:rFonts w:ascii="Arial" w:cs="Arial" w:eastAsia="Arial" w:hAnsi="Arial"/>
          <w:sz w:val="17"/>
          <w:szCs w:val="17"/>
          <w:color w:val="auto"/>
        </w:rPr>
        <w:t>Cash provided by operating activities for the 2021 first nine months decreased primarily due to lower revenues and operating income in the marine transportation segment, partially offset by the receipt of a tax refund of $119,493,000, including accrued interest, for the Company’s 2019 federal tax return. For the 2021 first nine months, capital expenditures of $71,968,000 included $61,565,000 in the marine transportation segment and $10,403,000 in the distribution and services segment and corporate, more fully described under cash flow and capital expenditures below.</w:t>
      </w:r>
    </w:p>
    <w:p>
      <w:pPr>
        <w:spacing w:after="0" w:line="183"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Company projects that capital expenditures for 2021 will be in the $120,000,000 to $130,000,000 range. The 2021 construction program will consist of approximately $10,000,000 for the construction of new inland towboats, $95,000,000 to $100,000,000 primarily for capital upgrades and improvements to existing marine equipment and facilities, and $15,000,000 to $20,000,000 for new machinery and equipment, facilities improvements, and information technology projects in the distribution and services segment and corporate.</w:t>
      </w:r>
    </w:p>
    <w:p>
      <w:pPr>
        <w:spacing w:after="0" w:line="19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Company’s debt-to-capitalization ratio decreased to 29.8% at September 30, 2021 from 32.2% at December 31, 2020, primarily due to repayments under the Revolving Credit Facility and Term Loan in the 2021 first nine months, partially offset by a decrease in total equity, primarily due to the net loss attributable to Kirby of $257,915,000. The Company’s debt outstanding as of September 30, 2021 and December 31, 2020 is detailed in Long-Term Financing below.</w:t>
      </w:r>
    </w:p>
    <w:p>
      <w:pPr>
        <w:spacing w:after="0" w:line="141"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7"/>
          <w:szCs w:val="17"/>
          <w:color w:val="auto"/>
        </w:rPr>
        <w:t>For the 2021 third quarter and first nine months, the Company’s marine transportation segment generated 57% and 59%, respectively, of the Company’s revenues. The segment’s customers include many of the major petrochemical and refining companies that operate in the United States. Products transported include intermediate materials used to produce many of the end products used widely by businesses and consumers — plastics, fiber, paints, detergents, oil additives and paper, among others, as well as residual fuel oil, ship bunkers, asphalt, gasoline, diesel fuel, heating oil, crude oil, natural gas condensate, and agricultural chemicals. Consequently, the Company’s marine transportation business is directly affected by the volumes produced by the Company’s petroleum, petrochemical and refining customer base.</w:t>
      </w:r>
    </w:p>
    <w:p>
      <w:pPr>
        <w:spacing w:after="0" w:line="189"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marine transportation fleet:</w:t>
      </w:r>
    </w:p>
    <w:p>
      <w:pPr>
        <w:spacing w:after="0" w:line="257" w:lineRule="exact"/>
        <w:rPr>
          <w:sz w:val="20"/>
          <w:szCs w:val="20"/>
          <w:color w:val="auto"/>
        </w:rPr>
      </w:pPr>
    </w:p>
    <w:p>
      <w:pPr>
        <w:ind w:left="9200"/>
        <w:spacing w:after="0"/>
        <w:rPr>
          <w:sz w:val="20"/>
          <w:szCs w:val="20"/>
          <w:color w:val="auto"/>
        </w:rPr>
      </w:pPr>
      <w:r>
        <w:rPr>
          <w:rFonts w:ascii="Arial" w:cs="Arial" w:eastAsia="Arial" w:hAnsi="Arial"/>
          <w:sz w:val="14"/>
          <w:szCs w:val="14"/>
          <w:b w:val="1"/>
          <w:bCs w:val="1"/>
          <w:color w:val="auto"/>
        </w:rPr>
        <w:t>September 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5182870</wp:posOffset>
            </wp:positionH>
            <wp:positionV relativeFrom="paragraph">
              <wp:posOffset>23495</wp:posOffset>
            </wp:positionV>
            <wp:extent cx="1885950" cy="8255"/>
            <wp:wrapNone/>
            <wp:docPr id="301" name="Picture 3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1"/>
                    <pic:cNvPicPr>
                      <a:picLocks noChangeAspect="1" noChangeArrowheads="1"/>
                    </pic:cNvPicPr>
                  </pic:nvPicPr>
                  <pic:blipFill>
                    <a:blip r:embed="rId308">
                      <a:extLst>
                        <a:ext uri="{28A0092B-C50C-407E-A947-70E740481C1C}"/>
                      </a:extLst>
                    </a:blip>
                    <a:srcRect/>
                    <a:stretch>
                      <a:fillRect/>
                    </a:stretch>
                  </pic:blipFill>
                  <pic:spPr bwMode="auto">
                    <a:xfrm>
                      <a:off x="0" y="0"/>
                      <a:ext cx="1885950" cy="8255"/>
                    </a:xfrm>
                    <a:prstGeom prst="rect">
                      <a:avLst/>
                    </a:prstGeom>
                    <a:noFill/>
                  </pic:spPr>
                </pic:pic>
              </a:graphicData>
            </a:graphic>
          </wp:anchor>
        </w:drawing>
      </w:r>
    </w:p>
    <w:p>
      <w:pPr>
        <w:spacing w:after="0" w:line="35"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8160" w:type="dxa"/>
            <w:vAlign w:val="bottom"/>
          </w:tcPr>
          <w:p>
            <w:pPr>
              <w:spacing w:after="0"/>
              <w:rPr>
                <w:sz w:val="16"/>
                <w:szCs w:val="16"/>
                <w:color w:val="auto"/>
              </w:rPr>
            </w:pPr>
          </w:p>
        </w:tc>
        <w:tc>
          <w:tcPr>
            <w:tcW w:w="88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rPr>
              <w:t>2021</w:t>
            </w:r>
          </w:p>
        </w:tc>
        <w:tc>
          <w:tcPr>
            <w:tcW w:w="480" w:type="dxa"/>
            <w:vAlign w:val="bottom"/>
            <w:tcBorders>
              <w:bottom w:val="single" w:sz="8" w:color="auto"/>
            </w:tcBorders>
          </w:tcPr>
          <w:p>
            <w:pPr>
              <w:spacing w:after="0"/>
              <w:rPr>
                <w:sz w:val="16"/>
                <w:szCs w:val="16"/>
                <w:color w:val="auto"/>
              </w:rPr>
            </w:pPr>
          </w:p>
        </w:tc>
        <w:tc>
          <w:tcPr>
            <w:tcW w:w="280" w:type="dxa"/>
            <w:vAlign w:val="bottom"/>
          </w:tcPr>
          <w:p>
            <w:pPr>
              <w:spacing w:after="0"/>
              <w:rPr>
                <w:sz w:val="16"/>
                <w:szCs w:val="16"/>
                <w:color w:val="auto"/>
              </w:rPr>
            </w:pPr>
          </w:p>
        </w:tc>
        <w:tc>
          <w:tcPr>
            <w:tcW w:w="1340" w:type="dxa"/>
            <w:vAlign w:val="bottom"/>
            <w:tcBorders>
              <w:bottom w:val="single" w:sz="8" w:color="auto"/>
            </w:tcBorders>
          </w:tcPr>
          <w:p>
            <w:pPr>
              <w:jc w:val="right"/>
              <w:ind w:right="452"/>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9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Inland tank barges:</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04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rPr>
                <w:sz w:val="20"/>
                <w:szCs w:val="20"/>
                <w:color w:val="auto"/>
              </w:rPr>
            </w:pPr>
            <w:r>
              <w:rPr>
                <w:rFonts w:ascii="Arial" w:cs="Arial" w:eastAsia="Arial" w:hAnsi="Arial"/>
                <w:sz w:val="18"/>
                <w:szCs w:val="18"/>
                <w:color w:val="auto"/>
              </w:rPr>
              <w:t>993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1,032</w:t>
            </w:r>
          </w:p>
        </w:tc>
        <w:tc>
          <w:tcPr>
            <w:tcW w:w="100" w:type="dxa"/>
            <w:vAlign w:val="bottom"/>
          </w:tcPr>
          <w:p>
            <w:pPr>
              <w:spacing w:after="0"/>
              <w:rPr>
                <w:sz w:val="21"/>
                <w:szCs w:val="21"/>
                <w:color w:val="auto"/>
              </w:rPr>
            </w:pPr>
          </w:p>
        </w:tc>
      </w:tr>
      <w:tr>
        <w:trPr>
          <w:trHeight w:val="257"/>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Leased</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43</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52</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160" w:type="dxa"/>
            <w:vAlign w:val="bottom"/>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1,036</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1,084</w:t>
            </w:r>
          </w:p>
        </w:tc>
        <w:tc>
          <w:tcPr>
            <w:tcW w:w="100" w:type="dxa"/>
            <w:vAlign w:val="bottom"/>
          </w:tcPr>
          <w:p>
            <w:pPr>
              <w:spacing w:after="0"/>
              <w:rPr>
                <w:sz w:val="21"/>
                <w:szCs w:val="21"/>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90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Barrel capacity (in millions)</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23.2</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24.5</w:t>
            </w:r>
          </w:p>
        </w:tc>
        <w:tc>
          <w:tcPr>
            <w:tcW w:w="100" w:type="dxa"/>
            <w:vAlign w:val="bottom"/>
            <w:shd w:val="clear" w:color="auto" w:fill="CFF0FC"/>
          </w:tcPr>
          <w:p>
            <w:pPr>
              <w:spacing w:after="0"/>
              <w:rPr>
                <w:sz w:val="21"/>
                <w:szCs w:val="21"/>
                <w:color w:val="auto"/>
              </w:rPr>
            </w:pPr>
          </w:p>
        </w:tc>
      </w:tr>
      <w:tr>
        <w:trPr>
          <w:trHeight w:val="257"/>
        </w:trPr>
        <w:tc>
          <w:tcPr>
            <w:tcW w:w="9040" w:type="dxa"/>
            <w:vAlign w:val="bottom"/>
            <w:gridSpan w:val="2"/>
          </w:tcPr>
          <w:p>
            <w:pPr>
              <w:spacing w:after="0"/>
              <w:rPr>
                <w:sz w:val="22"/>
                <w:szCs w:val="22"/>
                <w:color w:val="auto"/>
              </w:rPr>
            </w:pPr>
          </w:p>
        </w:tc>
        <w:tc>
          <w:tcPr>
            <w:tcW w:w="480" w:type="dxa"/>
            <w:vAlign w:val="bottom"/>
          </w:tcPr>
          <w:p>
            <w:pPr>
              <w:spacing w:after="0"/>
              <w:rPr>
                <w:sz w:val="22"/>
                <w:szCs w:val="22"/>
                <w:color w:val="auto"/>
              </w:rPr>
            </w:pPr>
          </w:p>
        </w:tc>
        <w:tc>
          <w:tcPr>
            <w:tcW w:w="280" w:type="dxa"/>
            <w:vAlign w:val="bottom"/>
          </w:tcPr>
          <w:p>
            <w:pPr>
              <w:spacing w:after="0"/>
              <w:rPr>
                <w:sz w:val="22"/>
                <w:szCs w:val="22"/>
                <w:color w:val="auto"/>
              </w:rPr>
            </w:pPr>
          </w:p>
        </w:tc>
        <w:tc>
          <w:tcPr>
            <w:tcW w:w="1340" w:type="dxa"/>
            <w:vAlign w:val="bottom"/>
          </w:tcPr>
          <w:p>
            <w:pPr>
              <w:spacing w:after="0"/>
              <w:rPr>
                <w:sz w:val="22"/>
                <w:szCs w:val="22"/>
                <w:color w:val="auto"/>
              </w:rPr>
            </w:pPr>
          </w:p>
        </w:tc>
        <w:tc>
          <w:tcPr>
            <w:tcW w:w="100" w:type="dxa"/>
            <w:vAlign w:val="bottom"/>
          </w:tcPr>
          <w:p>
            <w:pPr>
              <w:spacing w:after="0"/>
              <w:rPr>
                <w:sz w:val="22"/>
                <w:szCs w:val="22"/>
                <w:color w:val="auto"/>
              </w:rPr>
            </w:pPr>
          </w:p>
        </w:tc>
      </w:tr>
      <w:tr>
        <w:trPr>
          <w:trHeight w:val="256"/>
        </w:trPr>
        <w:tc>
          <w:tcPr>
            <w:tcW w:w="9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Active inland towboats (quarter average):</w:t>
            </w: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040" w:type="dxa"/>
            <w:vAlign w:val="bottom"/>
            <w:gridSpan w:val="2"/>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tcPr>
          <w:p>
            <w:pPr>
              <w:jc w:val="right"/>
              <w:spacing w:after="0"/>
              <w:rPr>
                <w:sz w:val="20"/>
                <w:szCs w:val="20"/>
                <w:color w:val="auto"/>
              </w:rPr>
            </w:pPr>
            <w:r>
              <w:rPr>
                <w:rFonts w:ascii="Arial" w:cs="Arial" w:eastAsia="Arial" w:hAnsi="Arial"/>
                <w:sz w:val="18"/>
                <w:szCs w:val="18"/>
                <w:color w:val="auto"/>
              </w:rPr>
              <w:t>213</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229</w:t>
            </w:r>
          </w:p>
        </w:tc>
        <w:tc>
          <w:tcPr>
            <w:tcW w:w="100" w:type="dxa"/>
            <w:vAlign w:val="bottom"/>
          </w:tcPr>
          <w:p>
            <w:pPr>
              <w:spacing w:after="0"/>
              <w:rPr>
                <w:sz w:val="21"/>
                <w:szCs w:val="21"/>
                <w:color w:val="auto"/>
              </w:rPr>
            </w:pPr>
          </w:p>
        </w:tc>
      </w:tr>
      <w:tr>
        <w:trPr>
          <w:trHeight w:val="257"/>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Chartered</w:t>
            </w:r>
          </w:p>
        </w:tc>
        <w:tc>
          <w:tcPr>
            <w:tcW w:w="880" w:type="dxa"/>
            <w:vAlign w:val="bottom"/>
            <w:tcBorders>
              <w:bottom w:val="single" w:sz="8" w:color="auto"/>
            </w:tcBorders>
            <w:shd w:val="clear" w:color="auto" w:fill="CFF0FC"/>
          </w:tcPr>
          <w:p>
            <w:pPr>
              <w:spacing w:after="0"/>
              <w:rPr>
                <w:sz w:val="22"/>
                <w:szCs w:val="22"/>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280" w:type="dxa"/>
            <w:vAlign w:val="bottom"/>
            <w:tcBorders>
              <w:bottom w:val="single" w:sz="8" w:color="CFF0FC"/>
            </w:tcBorders>
            <w:shd w:val="clear" w:color="auto" w:fill="CFF0FC"/>
          </w:tcPr>
          <w:p>
            <w:pPr>
              <w:spacing w:after="0"/>
              <w:rPr>
                <w:sz w:val="22"/>
                <w:szCs w:val="22"/>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36</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160" w:type="dxa"/>
            <w:vAlign w:val="bottom"/>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243</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265</w:t>
            </w:r>
          </w:p>
        </w:tc>
        <w:tc>
          <w:tcPr>
            <w:tcW w:w="100" w:type="dxa"/>
            <w:vAlign w:val="bottom"/>
          </w:tcPr>
          <w:p>
            <w:pPr>
              <w:spacing w:after="0"/>
              <w:rPr>
                <w:sz w:val="21"/>
                <w:szCs w:val="21"/>
                <w:color w:val="auto"/>
              </w:rPr>
            </w:pPr>
          </w:p>
        </w:tc>
      </w:tr>
      <w:tr>
        <w:trPr>
          <w:trHeight w:val="20"/>
        </w:trPr>
        <w:tc>
          <w:tcPr>
            <w:tcW w:w="8160" w:type="dxa"/>
            <w:vAlign w:val="bottom"/>
          </w:tcPr>
          <w:p>
            <w:pPr>
              <w:spacing w:after="0" w:line="20" w:lineRule="exact"/>
              <w:rPr>
                <w:sz w:val="1"/>
                <w:szCs w:val="1"/>
                <w:color w:val="auto"/>
              </w:rPr>
            </w:pPr>
          </w:p>
        </w:tc>
        <w:tc>
          <w:tcPr>
            <w:tcW w:w="880" w:type="dxa"/>
            <w:vAlign w:val="bottom"/>
            <w:tcBorders>
              <w:bottom w:val="single" w:sz="8" w:color="auto"/>
            </w:tcBorders>
          </w:tcPr>
          <w:p>
            <w:pPr>
              <w:spacing w:after="0" w:line="20" w:lineRule="exact"/>
              <w:rPr>
                <w:sz w:val="1"/>
                <w:szCs w:val="1"/>
                <w:color w:val="auto"/>
              </w:rPr>
            </w:pPr>
          </w:p>
        </w:tc>
        <w:tc>
          <w:tcPr>
            <w:tcW w:w="480" w:type="dxa"/>
            <w:vAlign w:val="bottom"/>
            <w:tcBorders>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134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r>
        <w:trPr>
          <w:trHeight w:val="243"/>
        </w:trPr>
        <w:tc>
          <w:tcPr>
            <w:tcW w:w="9040" w:type="dxa"/>
            <w:vAlign w:val="bottom"/>
            <w:gridSpan w:val="2"/>
            <w:shd w:val="clear" w:color="auto" w:fill="CFF0FC"/>
          </w:tcPr>
          <w:p>
            <w:pPr>
              <w:spacing w:after="0"/>
              <w:rPr>
                <w:sz w:val="21"/>
                <w:szCs w:val="21"/>
                <w:color w:val="auto"/>
              </w:rPr>
            </w:pPr>
          </w:p>
        </w:tc>
        <w:tc>
          <w:tcPr>
            <w:tcW w:w="480" w:type="dxa"/>
            <w:vAlign w:val="bottom"/>
            <w:shd w:val="clear" w:color="auto" w:fill="CFF0FC"/>
          </w:tcPr>
          <w:p>
            <w:pPr>
              <w:spacing w:after="0"/>
              <w:rPr>
                <w:sz w:val="21"/>
                <w:szCs w:val="21"/>
                <w:color w:val="auto"/>
              </w:rPr>
            </w:pPr>
          </w:p>
        </w:tc>
        <w:tc>
          <w:tcPr>
            <w:tcW w:w="280" w:type="dxa"/>
            <w:vAlign w:val="bottom"/>
            <w:shd w:val="clear" w:color="auto" w:fill="CFF0FC"/>
          </w:tcPr>
          <w:p>
            <w:pPr>
              <w:spacing w:after="0"/>
              <w:rPr>
                <w:sz w:val="21"/>
                <w:szCs w:val="21"/>
                <w:color w:val="auto"/>
              </w:rPr>
            </w:pPr>
          </w:p>
        </w:tc>
        <w:tc>
          <w:tcPr>
            <w:tcW w:w="1340" w:type="dxa"/>
            <w:vAlign w:val="bottom"/>
            <w:shd w:val="clear" w:color="auto" w:fill="CFF0FC"/>
          </w:tcPr>
          <w:p>
            <w:pPr>
              <w:spacing w:after="0"/>
              <w:rPr>
                <w:sz w:val="21"/>
                <w:szCs w:val="21"/>
                <w:color w:val="auto"/>
              </w:rPr>
            </w:pPr>
          </w:p>
        </w:tc>
        <w:tc>
          <w:tcPr>
            <w:tcW w:w="100" w:type="dxa"/>
            <w:vAlign w:val="bottom"/>
            <w:shd w:val="clear" w:color="auto" w:fill="CFF0FC"/>
          </w:tcPr>
          <w:p>
            <w:pPr>
              <w:spacing w:after="0"/>
              <w:rPr>
                <w:sz w:val="21"/>
                <w:szCs w:val="21"/>
                <w:color w:val="auto"/>
              </w:rPr>
            </w:pPr>
          </w:p>
        </w:tc>
      </w:tr>
      <w:tr>
        <w:trPr>
          <w:trHeight w:val="25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Coastal tank barges: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90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30</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45</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0"/>
              <w:spacing w:after="0"/>
              <w:rPr>
                <w:sz w:val="20"/>
                <w:szCs w:val="20"/>
                <w:color w:val="auto"/>
              </w:rPr>
            </w:pPr>
            <w:r>
              <w:rPr>
                <w:rFonts w:ascii="Arial" w:cs="Arial" w:eastAsia="Arial" w:hAnsi="Arial"/>
                <w:sz w:val="18"/>
                <w:szCs w:val="18"/>
                <w:color w:val="auto"/>
              </w:rPr>
              <w:t>Leased</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37"/>
        </w:trPr>
        <w:tc>
          <w:tcPr>
            <w:tcW w:w="9040" w:type="dxa"/>
            <w:vAlign w:val="bottom"/>
            <w:gridSpan w:val="2"/>
          </w:tcPr>
          <w:p>
            <w:pPr>
              <w:ind w:left="200"/>
              <w:spacing w:after="0"/>
              <w:rPr>
                <w:sz w:val="20"/>
                <w:szCs w:val="20"/>
                <w:color w:val="auto"/>
              </w:rPr>
            </w:pPr>
            <w:r>
              <w:rPr>
                <w:rFonts w:ascii="Arial" w:cs="Arial" w:eastAsia="Arial" w:hAnsi="Arial"/>
                <w:sz w:val="18"/>
                <w:szCs w:val="18"/>
                <w:color w:val="auto"/>
              </w:rPr>
              <w:t>Barrel capacity (in millions)</w:t>
            </w:r>
          </w:p>
        </w:tc>
        <w:tc>
          <w:tcPr>
            <w:tcW w:w="480" w:type="dxa"/>
            <w:vAlign w:val="bottom"/>
          </w:tcPr>
          <w:p>
            <w:pPr>
              <w:jc w:val="right"/>
              <w:spacing w:after="0"/>
              <w:rPr>
                <w:sz w:val="20"/>
                <w:szCs w:val="20"/>
                <w:color w:val="auto"/>
              </w:rPr>
            </w:pPr>
            <w:r>
              <w:rPr>
                <w:rFonts w:ascii="Arial" w:cs="Arial" w:eastAsia="Arial" w:hAnsi="Arial"/>
                <w:sz w:val="18"/>
                <w:szCs w:val="18"/>
                <w:color w:val="auto"/>
              </w:rPr>
              <w:t>3.4</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4.3</w:t>
            </w:r>
          </w:p>
        </w:tc>
        <w:tc>
          <w:tcPr>
            <w:tcW w:w="100" w:type="dxa"/>
            <w:vAlign w:val="bottom"/>
          </w:tcPr>
          <w:p>
            <w:pPr>
              <w:spacing w:after="0"/>
              <w:rPr>
                <w:sz w:val="20"/>
                <w:szCs w:val="20"/>
                <w:color w:val="auto"/>
              </w:rPr>
            </w:pPr>
          </w:p>
        </w:tc>
      </w:tr>
      <w:tr>
        <w:trPr>
          <w:trHeight w:val="263"/>
        </w:trPr>
        <w:tc>
          <w:tcPr>
            <w:tcW w:w="9040" w:type="dxa"/>
            <w:vAlign w:val="bottom"/>
            <w:gridSpan w:val="2"/>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134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Coastal tugboats:</w:t>
            </w:r>
          </w:p>
        </w:tc>
        <w:tc>
          <w:tcPr>
            <w:tcW w:w="48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1340" w:type="dxa"/>
            <w:vAlign w:val="bottom"/>
          </w:tcPr>
          <w:p>
            <w:pPr>
              <w:spacing w:after="0"/>
              <w:rPr>
                <w:sz w:val="21"/>
                <w:szCs w:val="21"/>
                <w:color w:val="auto"/>
              </w:rPr>
            </w:pPr>
          </w:p>
        </w:tc>
        <w:tc>
          <w:tcPr>
            <w:tcW w:w="100" w:type="dxa"/>
            <w:vAlign w:val="bottom"/>
          </w:tcPr>
          <w:p>
            <w:pPr>
              <w:spacing w:after="0"/>
              <w:rPr>
                <w:sz w:val="21"/>
                <w:szCs w:val="21"/>
                <w:color w:val="auto"/>
              </w:rPr>
            </w:pPr>
          </w:p>
        </w:tc>
      </w:tr>
      <w:tr>
        <w:trPr>
          <w:trHeight w:val="263"/>
        </w:trPr>
        <w:tc>
          <w:tcPr>
            <w:tcW w:w="9040" w:type="dxa"/>
            <w:vAlign w:val="bottom"/>
            <w:gridSpan w:val="2"/>
            <w:shd w:val="clear" w:color="auto" w:fill="CFF0FC"/>
          </w:tcPr>
          <w:p>
            <w:pPr>
              <w:ind w:left="200"/>
              <w:spacing w:after="0"/>
              <w:rPr>
                <w:sz w:val="20"/>
                <w:szCs w:val="20"/>
                <w:color w:val="auto"/>
              </w:rPr>
            </w:pPr>
            <w:r>
              <w:rPr>
                <w:rFonts w:ascii="Arial" w:cs="Arial" w:eastAsia="Arial" w:hAnsi="Arial"/>
                <w:sz w:val="18"/>
                <w:szCs w:val="18"/>
                <w:color w:val="auto"/>
              </w:rPr>
              <w:t>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shd w:val="clear" w:color="auto" w:fill="CFF0FC"/>
          </w:tcPr>
          <w:p>
            <w:pPr>
              <w:spacing w:after="0"/>
              <w:rPr>
                <w:sz w:val="22"/>
                <w:szCs w:val="22"/>
                <w:color w:val="auto"/>
              </w:rPr>
            </w:pPr>
          </w:p>
        </w:tc>
      </w:tr>
      <w:tr>
        <w:trPr>
          <w:trHeight w:val="250"/>
        </w:trPr>
        <w:tc>
          <w:tcPr>
            <w:tcW w:w="8160" w:type="dxa"/>
            <w:vAlign w:val="bottom"/>
          </w:tcPr>
          <w:p>
            <w:pPr>
              <w:ind w:left="200"/>
              <w:spacing w:after="0"/>
              <w:rPr>
                <w:sz w:val="20"/>
                <w:szCs w:val="20"/>
                <w:color w:val="auto"/>
              </w:rPr>
            </w:pPr>
            <w:r>
              <w:rPr>
                <w:rFonts w:ascii="Arial" w:cs="Arial" w:eastAsia="Arial" w:hAnsi="Arial"/>
                <w:sz w:val="18"/>
                <w:szCs w:val="18"/>
                <w:color w:val="auto"/>
              </w:rPr>
              <w:t>Chartered</w:t>
            </w:r>
          </w:p>
        </w:tc>
        <w:tc>
          <w:tcPr>
            <w:tcW w:w="880" w:type="dxa"/>
            <w:vAlign w:val="bottom"/>
            <w:tcBorders>
              <w:bottom w:val="single" w:sz="8" w:color="auto"/>
            </w:tcBorders>
          </w:tcPr>
          <w:p>
            <w:pPr>
              <w:spacing w:after="0"/>
              <w:rPr>
                <w:sz w:val="21"/>
                <w:szCs w:val="21"/>
                <w:color w:val="auto"/>
              </w:rPr>
            </w:pPr>
          </w:p>
        </w:tc>
        <w:tc>
          <w:tcPr>
            <w:tcW w:w="48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w:t>
            </w:r>
          </w:p>
        </w:tc>
        <w:tc>
          <w:tcPr>
            <w:tcW w:w="280" w:type="dxa"/>
            <w:vAlign w:val="bottom"/>
          </w:tcPr>
          <w:p>
            <w:pPr>
              <w:spacing w:after="0"/>
              <w:rPr>
                <w:sz w:val="21"/>
                <w:szCs w:val="21"/>
                <w:color w:val="auto"/>
              </w:rPr>
            </w:pPr>
          </w:p>
        </w:tc>
        <w:tc>
          <w:tcPr>
            <w:tcW w:w="13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4</w:t>
            </w:r>
          </w:p>
        </w:tc>
        <w:tc>
          <w:tcPr>
            <w:tcW w:w="100" w:type="dxa"/>
            <w:vAlign w:val="bottom"/>
          </w:tcPr>
          <w:p>
            <w:pPr>
              <w:spacing w:after="0"/>
              <w:rPr>
                <w:sz w:val="21"/>
                <w:szCs w:val="21"/>
                <w:color w:val="auto"/>
              </w:rPr>
            </w:pPr>
          </w:p>
        </w:tc>
      </w:tr>
      <w:tr>
        <w:trPr>
          <w:trHeight w:val="290"/>
        </w:trPr>
        <w:tc>
          <w:tcPr>
            <w:tcW w:w="8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Total</w:t>
            </w:r>
          </w:p>
        </w:tc>
        <w:tc>
          <w:tcPr>
            <w:tcW w:w="880" w:type="dxa"/>
            <w:vAlign w:val="bottom"/>
            <w:tcBorders>
              <w:bottom w:val="single" w:sz="8" w:color="auto"/>
            </w:tcBorders>
            <w:shd w:val="clear" w:color="auto" w:fill="CFF0FC"/>
          </w:tcPr>
          <w:p>
            <w:pPr>
              <w:spacing w:after="0"/>
              <w:rPr>
                <w:sz w:val="24"/>
                <w:szCs w:val="24"/>
                <w:color w:val="auto"/>
              </w:rPr>
            </w:pPr>
          </w:p>
        </w:tc>
        <w:tc>
          <w:tcPr>
            <w:tcW w:w="4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35</w:t>
            </w:r>
          </w:p>
        </w:tc>
        <w:tc>
          <w:tcPr>
            <w:tcW w:w="280" w:type="dxa"/>
            <w:vAlign w:val="bottom"/>
            <w:tcBorders>
              <w:bottom w:val="single" w:sz="8" w:color="CFF0FC"/>
            </w:tcBorders>
            <w:shd w:val="clear" w:color="auto" w:fill="CFF0FC"/>
          </w:tcPr>
          <w:p>
            <w:pPr>
              <w:spacing w:after="0"/>
              <w:rPr>
                <w:sz w:val="24"/>
                <w:szCs w:val="24"/>
                <w:color w:val="auto"/>
              </w:rPr>
            </w:pPr>
          </w:p>
        </w:tc>
        <w:tc>
          <w:tcPr>
            <w:tcW w:w="13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44</w:t>
            </w:r>
          </w:p>
        </w:tc>
        <w:tc>
          <w:tcPr>
            <w:tcW w:w="100" w:type="dxa"/>
            <w:vAlign w:val="bottom"/>
            <w:tcBorders>
              <w:bottom w:val="single" w:sz="8" w:color="CFF0FC"/>
            </w:tcBorders>
            <w:shd w:val="clear" w:color="auto" w:fill="CFF0FC"/>
          </w:tcPr>
          <w:p>
            <w:pPr>
              <w:spacing w:after="0"/>
              <w:rPr>
                <w:sz w:val="24"/>
                <w:szCs w:val="24"/>
                <w:color w:val="auto"/>
              </w:rPr>
            </w:pPr>
          </w:p>
        </w:tc>
      </w:tr>
      <w:tr>
        <w:trPr>
          <w:trHeight w:val="244"/>
        </w:trPr>
        <w:tc>
          <w:tcPr>
            <w:tcW w:w="9040" w:type="dxa"/>
            <w:vAlign w:val="bottom"/>
            <w:gridSpan w:val="2"/>
          </w:tcPr>
          <w:p>
            <w:pPr>
              <w:spacing w:after="0"/>
              <w:rPr>
                <w:sz w:val="21"/>
                <w:szCs w:val="21"/>
                <w:color w:val="auto"/>
              </w:rPr>
            </w:pPr>
          </w:p>
        </w:tc>
        <w:tc>
          <w:tcPr>
            <w:tcW w:w="480" w:type="dxa"/>
            <w:vAlign w:val="bottom"/>
          </w:tcPr>
          <w:p>
            <w:pPr>
              <w:spacing w:after="0"/>
              <w:rPr>
                <w:sz w:val="21"/>
                <w:szCs w:val="21"/>
                <w:color w:val="auto"/>
              </w:rPr>
            </w:pPr>
          </w:p>
        </w:tc>
        <w:tc>
          <w:tcPr>
            <w:tcW w:w="1620" w:type="dxa"/>
            <w:vAlign w:val="bottom"/>
            <w:gridSpan w:val="2"/>
          </w:tcPr>
          <w:p>
            <w:pPr>
              <w:spacing w:after="0"/>
              <w:rPr>
                <w:sz w:val="21"/>
                <w:szCs w:val="21"/>
                <w:color w:val="auto"/>
              </w:rPr>
            </w:pPr>
          </w:p>
        </w:tc>
        <w:tc>
          <w:tcPr>
            <w:tcW w:w="100" w:type="dxa"/>
            <w:vAlign w:val="bottom"/>
          </w:tcPr>
          <w:p>
            <w:pPr>
              <w:spacing w:after="0"/>
              <w:rPr>
                <w:sz w:val="21"/>
                <w:szCs w:val="21"/>
                <w:color w:val="auto"/>
              </w:rPr>
            </w:pPr>
          </w:p>
        </w:tc>
      </w:tr>
      <w:tr>
        <w:trPr>
          <w:trHeight w:val="256"/>
        </w:trPr>
        <w:tc>
          <w:tcPr>
            <w:tcW w:w="904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Offshore dry-bulk cargo barges (owned)</w:t>
            </w:r>
          </w:p>
        </w:tc>
        <w:tc>
          <w:tcPr>
            <w:tcW w:w="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620" w:type="dxa"/>
            <w:vAlign w:val="bottom"/>
            <w:gridSpan w:val="2"/>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100" w:type="dxa"/>
            <w:vAlign w:val="bottom"/>
            <w:shd w:val="clear" w:color="auto" w:fill="CFF0FC"/>
          </w:tcPr>
          <w:p>
            <w:pPr>
              <w:spacing w:after="0"/>
              <w:rPr>
                <w:sz w:val="22"/>
                <w:szCs w:val="22"/>
                <w:color w:val="auto"/>
              </w:rPr>
            </w:pPr>
          </w:p>
        </w:tc>
      </w:tr>
      <w:tr>
        <w:trPr>
          <w:trHeight w:val="243"/>
        </w:trPr>
        <w:tc>
          <w:tcPr>
            <w:tcW w:w="9040" w:type="dxa"/>
            <w:vAlign w:val="bottom"/>
            <w:gridSpan w:val="2"/>
          </w:tcPr>
          <w:p>
            <w:pPr>
              <w:ind w:left="20"/>
              <w:spacing w:after="0"/>
              <w:rPr>
                <w:sz w:val="20"/>
                <w:szCs w:val="20"/>
                <w:color w:val="auto"/>
              </w:rPr>
            </w:pPr>
            <w:r>
              <w:rPr>
                <w:rFonts w:ascii="Arial" w:cs="Arial" w:eastAsia="Arial" w:hAnsi="Arial"/>
                <w:sz w:val="18"/>
                <w:szCs w:val="18"/>
                <w:color w:val="auto"/>
              </w:rPr>
              <w:t>Offshore tugboats and docking tugboat (owned and chartered)</w:t>
            </w:r>
          </w:p>
        </w:tc>
        <w:tc>
          <w:tcPr>
            <w:tcW w:w="480" w:type="dxa"/>
            <w:vAlign w:val="bottom"/>
          </w:tcPr>
          <w:p>
            <w:pPr>
              <w:jc w:val="right"/>
              <w:spacing w:after="0"/>
              <w:rPr>
                <w:sz w:val="20"/>
                <w:szCs w:val="20"/>
                <w:color w:val="auto"/>
              </w:rPr>
            </w:pPr>
            <w:r>
              <w:rPr>
                <w:rFonts w:ascii="Arial" w:cs="Arial" w:eastAsia="Arial" w:hAnsi="Arial"/>
                <w:sz w:val="18"/>
                <w:szCs w:val="18"/>
                <w:color w:val="auto"/>
              </w:rPr>
              <w:t>5</w:t>
            </w:r>
          </w:p>
        </w:tc>
        <w:tc>
          <w:tcPr>
            <w:tcW w:w="1620" w:type="dxa"/>
            <w:vAlign w:val="bottom"/>
            <w:gridSpan w:val="2"/>
          </w:tcPr>
          <w:p>
            <w:pPr>
              <w:jc w:val="right"/>
              <w:spacing w:after="0"/>
              <w:rPr>
                <w:sz w:val="20"/>
                <w:szCs w:val="20"/>
                <w:color w:val="auto"/>
              </w:rPr>
            </w:pPr>
            <w:r>
              <w:rPr>
                <w:rFonts w:ascii="Arial" w:cs="Arial" w:eastAsia="Arial" w:hAnsi="Arial"/>
                <w:sz w:val="18"/>
                <w:szCs w:val="18"/>
                <w:color w:val="auto"/>
              </w:rPr>
              <w:t>5</w:t>
            </w:r>
          </w:p>
        </w:tc>
        <w:tc>
          <w:tcPr>
            <w:tcW w:w="100" w:type="dxa"/>
            <w:vAlign w:val="bottom"/>
          </w:tcPr>
          <w:p>
            <w:pPr>
              <w:spacing w:after="0"/>
              <w:rPr>
                <w:sz w:val="21"/>
                <w:szCs w:val="21"/>
                <w:color w:val="auto"/>
              </w:rPr>
            </w:pPr>
          </w:p>
        </w:tc>
      </w:tr>
      <w:tr>
        <w:trPr>
          <w:trHeight w:val="621"/>
        </w:trPr>
        <w:tc>
          <w:tcPr>
            <w:tcW w:w="8160" w:type="dxa"/>
            <w:vAlign w:val="bottom"/>
          </w:tcPr>
          <w:p>
            <w:pPr>
              <w:ind w:left="5540"/>
              <w:spacing w:after="0"/>
              <w:rPr>
                <w:sz w:val="20"/>
                <w:szCs w:val="20"/>
                <w:color w:val="auto"/>
              </w:rPr>
            </w:pPr>
            <w:r>
              <w:rPr>
                <w:rFonts w:ascii="Arial" w:cs="Arial" w:eastAsia="Arial" w:hAnsi="Arial"/>
                <w:sz w:val="18"/>
                <w:szCs w:val="18"/>
                <w:color w:val="auto"/>
              </w:rPr>
              <w:t>18</w:t>
            </w:r>
          </w:p>
        </w:tc>
        <w:tc>
          <w:tcPr>
            <w:tcW w:w="88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280" w:type="dxa"/>
            <w:vAlign w:val="bottom"/>
          </w:tcPr>
          <w:p>
            <w:pPr>
              <w:spacing w:after="0"/>
              <w:rPr>
                <w:sz w:val="24"/>
                <w:szCs w:val="24"/>
                <w:color w:val="auto"/>
              </w:rPr>
            </w:pPr>
          </w:p>
        </w:tc>
        <w:tc>
          <w:tcPr>
            <w:tcW w:w="1340" w:type="dxa"/>
            <w:vAlign w:val="bottom"/>
          </w:tcPr>
          <w:p>
            <w:pPr>
              <w:spacing w:after="0"/>
              <w:rPr>
                <w:sz w:val="24"/>
                <w:szCs w:val="24"/>
                <w:color w:val="auto"/>
              </w:rPr>
            </w:pPr>
          </w:p>
        </w:tc>
        <w:tc>
          <w:tcPr>
            <w:tcW w:w="100" w:type="dxa"/>
            <w:vAlign w:val="bottom"/>
          </w:tcPr>
          <w:p>
            <w:pPr>
              <w:spacing w:after="0"/>
              <w:rPr>
                <w:sz w:val="24"/>
                <w:szCs w:val="24"/>
                <w:color w:val="auto"/>
              </w:rPr>
            </w:pPr>
          </w:p>
        </w:tc>
      </w:tr>
      <w:tr>
        <w:trPr>
          <w:trHeight w:val="115"/>
        </w:trPr>
        <w:tc>
          <w:tcPr>
            <w:tcW w:w="8160" w:type="dxa"/>
            <w:vAlign w:val="bottom"/>
            <w:tcBorders>
              <w:bottom w:val="single" w:sz="8" w:color="9A9A9A"/>
            </w:tcBorders>
          </w:tcPr>
          <w:p>
            <w:pPr>
              <w:spacing w:after="0"/>
              <w:rPr>
                <w:sz w:val="10"/>
                <w:szCs w:val="10"/>
                <w:color w:val="auto"/>
              </w:rPr>
            </w:pPr>
          </w:p>
        </w:tc>
        <w:tc>
          <w:tcPr>
            <w:tcW w:w="880" w:type="dxa"/>
            <w:vAlign w:val="bottom"/>
            <w:tcBorders>
              <w:bottom w:val="single" w:sz="8" w:color="9A9A9A"/>
            </w:tcBorders>
          </w:tcPr>
          <w:p>
            <w:pPr>
              <w:spacing w:after="0"/>
              <w:rPr>
                <w:sz w:val="10"/>
                <w:szCs w:val="10"/>
                <w:color w:val="auto"/>
              </w:rPr>
            </w:pPr>
          </w:p>
        </w:tc>
        <w:tc>
          <w:tcPr>
            <w:tcW w:w="480" w:type="dxa"/>
            <w:vAlign w:val="bottom"/>
            <w:tcBorders>
              <w:bottom w:val="single" w:sz="8" w:color="9A9A9A"/>
            </w:tcBorders>
          </w:tcPr>
          <w:p>
            <w:pPr>
              <w:spacing w:after="0"/>
              <w:rPr>
                <w:sz w:val="10"/>
                <w:szCs w:val="10"/>
                <w:color w:val="auto"/>
              </w:rPr>
            </w:pPr>
          </w:p>
        </w:tc>
        <w:tc>
          <w:tcPr>
            <w:tcW w:w="280" w:type="dxa"/>
            <w:vAlign w:val="bottom"/>
            <w:tcBorders>
              <w:bottom w:val="single" w:sz="8" w:color="9A9A9A"/>
            </w:tcBorders>
          </w:tcPr>
          <w:p>
            <w:pPr>
              <w:spacing w:after="0"/>
              <w:rPr>
                <w:sz w:val="10"/>
                <w:szCs w:val="10"/>
                <w:color w:val="auto"/>
              </w:rPr>
            </w:pPr>
          </w:p>
        </w:tc>
        <w:tc>
          <w:tcPr>
            <w:tcW w:w="1340" w:type="dxa"/>
            <w:vAlign w:val="bottom"/>
            <w:tcBorders>
              <w:bottom w:val="single" w:sz="8" w:color="9A9A9A"/>
            </w:tcBorders>
          </w:tcPr>
          <w:p>
            <w:pPr>
              <w:spacing w:after="0"/>
              <w:rPr>
                <w:sz w:val="10"/>
                <w:szCs w:val="10"/>
                <w:color w:val="auto"/>
              </w:rPr>
            </w:pPr>
          </w:p>
        </w:tc>
        <w:tc>
          <w:tcPr>
            <w:tcW w:w="1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6048375</wp:posOffset>
            </wp:positionH>
            <wp:positionV relativeFrom="paragraph">
              <wp:posOffset>-4025265</wp:posOffset>
            </wp:positionV>
            <wp:extent cx="171450" cy="5715"/>
            <wp:wrapNone/>
            <wp:docPr id="302" name="Picture 3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2"/>
                    <pic:cNvPicPr>
                      <a:picLocks noChangeAspect="1" noChangeArrowheads="1"/>
                    </pic:cNvPicPr>
                  </pic:nvPicPr>
                  <pic:blipFill>
                    <a:blip r:embed="rId309">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-4025265</wp:posOffset>
            </wp:positionV>
            <wp:extent cx="68580" cy="5715"/>
            <wp:wrapNone/>
            <wp:docPr id="303" name="Picture 3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3"/>
                    <pic:cNvPicPr>
                      <a:picLocks noChangeAspect="1" noChangeArrowheads="1"/>
                    </pic:cNvPicPr>
                  </pic:nvPicPr>
                  <pic:blipFill>
                    <a:blip r:embed="rId31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-3013710</wp:posOffset>
            </wp:positionV>
            <wp:extent cx="171450" cy="5715"/>
            <wp:wrapNone/>
            <wp:docPr id="304" name="Picture 30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4"/>
                    <pic:cNvPicPr>
                      <a:picLocks noChangeAspect="1" noChangeArrowheads="1"/>
                    </pic:cNvPicPr>
                  </pic:nvPicPr>
                  <pic:blipFill>
                    <a:blip r:embed="rId311">
                      <a:extLst>
                        <a:ext uri="{28A0092B-C50C-407E-A947-70E740481C1C}"/>
                      </a:extLst>
                    </a:blip>
                    <a:srcRect/>
                    <a:stretch>
                      <a:fillRect/>
                    </a:stretch>
                  </pic:blipFill>
                  <pic:spPr bwMode="auto">
                    <a:xfrm>
                      <a:off x="0" y="0"/>
                      <a:ext cx="171450"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-3013710</wp:posOffset>
            </wp:positionV>
            <wp:extent cx="68580" cy="5715"/>
            <wp:wrapNone/>
            <wp:docPr id="305" name="Picture 30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5"/>
                    <pic:cNvPicPr>
                      <a:picLocks noChangeAspect="1" noChangeArrowheads="1"/>
                    </pic:cNvPicPr>
                  </pic:nvPicPr>
                  <pic:blipFill>
                    <a:blip r:embed="rId312">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-1996440</wp:posOffset>
            </wp:positionV>
            <wp:extent cx="171450" cy="8255"/>
            <wp:wrapNone/>
            <wp:docPr id="306" name="Picture 30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6"/>
                    <pic:cNvPicPr>
                      <a:picLocks noChangeAspect="1" noChangeArrowheads="1"/>
                    </pic:cNvPicPr>
                  </pic:nvPicPr>
                  <pic:blipFill>
                    <a:blip r:embed="rId313">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-1979295</wp:posOffset>
            </wp:positionV>
            <wp:extent cx="171450" cy="8255"/>
            <wp:wrapNone/>
            <wp:docPr id="307" name="Picture 30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7"/>
                    <pic:cNvPicPr>
                      <a:picLocks noChangeAspect="1" noChangeArrowheads="1"/>
                    </pic:cNvPicPr>
                  </pic:nvPicPr>
                  <pic:blipFill>
                    <a:blip r:embed="rId314">
                      <a:extLst>
                        <a:ext uri="{28A0092B-C50C-407E-A947-70E740481C1C}"/>
                      </a:extLst>
                    </a:blip>
                    <a:srcRect/>
                    <a:stretch>
                      <a:fillRect/>
                    </a:stretch>
                  </pic:blipFill>
                  <pic:spPr bwMode="auto">
                    <a:xfrm>
                      <a:off x="0" y="0"/>
                      <a:ext cx="17145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-1996440</wp:posOffset>
            </wp:positionV>
            <wp:extent cx="68580" cy="8255"/>
            <wp:wrapNone/>
            <wp:docPr id="308" name="Picture 30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8"/>
                    <pic:cNvPicPr>
                      <a:picLocks noChangeAspect="1" noChangeArrowheads="1"/>
                    </pic:cNvPicPr>
                  </pic:nvPicPr>
                  <pic:blipFill>
                    <a:blip r:embed="rId315">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-1979295</wp:posOffset>
            </wp:positionV>
            <wp:extent cx="68580" cy="8255"/>
            <wp:wrapNone/>
            <wp:docPr id="309" name="Picture 30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09"/>
                    <pic:cNvPicPr>
                      <a:picLocks noChangeAspect="1" noChangeArrowheads="1"/>
                    </pic:cNvPicPr>
                  </pic:nvPicPr>
                  <pic:blipFill>
                    <a:blip r:embed="rId316">
                      <a:extLst>
                        <a:ext uri="{28A0092B-C50C-407E-A947-70E740481C1C}"/>
                      </a:extLst>
                    </a:blip>
                    <a:srcRect/>
                    <a:stretch>
                      <a:fillRect/>
                    </a:stretch>
                  </pic:blipFill>
                  <pic:spPr bwMode="auto">
                    <a:xfrm>
                      <a:off x="0" y="0"/>
                      <a:ext cx="68580" cy="8255"/>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-985520</wp:posOffset>
            </wp:positionV>
            <wp:extent cx="171450" cy="8890"/>
            <wp:wrapNone/>
            <wp:docPr id="310" name="Picture 3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0"/>
                    <pic:cNvPicPr>
                      <a:picLocks noChangeAspect="1" noChangeArrowheads="1"/>
                    </pic:cNvPicPr>
                  </pic:nvPicPr>
                  <pic:blipFill>
                    <a:blip r:embed="rId317">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6048375</wp:posOffset>
            </wp:positionH>
            <wp:positionV relativeFrom="paragraph">
              <wp:posOffset>-967740</wp:posOffset>
            </wp:positionV>
            <wp:extent cx="171450" cy="8890"/>
            <wp:wrapNone/>
            <wp:docPr id="311" name="Picture 31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1"/>
                    <pic:cNvPicPr>
                      <a:picLocks noChangeAspect="1" noChangeArrowheads="1"/>
                    </pic:cNvPicPr>
                  </pic:nvPicPr>
                  <pic:blipFill>
                    <a:blip r:embed="rId318">
                      <a:extLst>
                        <a:ext uri="{28A0092B-C50C-407E-A947-70E740481C1C}"/>
                      </a:extLst>
                    </a:blip>
                    <a:srcRect/>
                    <a:stretch>
                      <a:fillRect/>
                    </a:stretch>
                  </pic:blipFill>
                  <pic:spPr bwMode="auto">
                    <a:xfrm>
                      <a:off x="0" y="0"/>
                      <a:ext cx="17145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-985520</wp:posOffset>
            </wp:positionV>
            <wp:extent cx="68580" cy="8890"/>
            <wp:wrapNone/>
            <wp:docPr id="312" name="Picture 3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2"/>
                    <pic:cNvPicPr>
                      <a:picLocks noChangeAspect="1" noChangeArrowheads="1"/>
                    </pic:cNvPicPr>
                  </pic:nvPicPr>
                  <pic:blipFill>
                    <a:blip r:embed="rId319">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-967740</wp:posOffset>
            </wp:positionV>
            <wp:extent cx="68580" cy="8890"/>
            <wp:wrapNone/>
            <wp:docPr id="313" name="Picture 31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3"/>
                    <pic:cNvPicPr>
                      <a:picLocks noChangeAspect="1" noChangeArrowheads="1"/>
                    </pic:cNvPicPr>
                  </pic:nvPicPr>
                  <pic:blipFill>
                    <a:blip r:embed="rId320">
                      <a:extLst>
                        <a:ext uri="{28A0092B-C50C-407E-A947-70E740481C1C}"/>
                      </a:extLst>
                    </a:blip>
                    <a:srcRect/>
                    <a:stretch>
                      <a:fillRect/>
                    </a:stretch>
                  </pic:blipFill>
                  <pic:spPr bwMode="auto">
                    <a:xfrm>
                      <a:off x="0" y="0"/>
                      <a:ext cx="68580" cy="8890"/>
                    </a:xfrm>
                    <a:prstGeom prst="rect">
                      <a:avLst/>
                    </a:prstGeom>
                    <a:noFill/>
                  </pic:spPr>
                </pic:pic>
              </a:graphicData>
            </a:graphic>
          </wp:anchor>
        </w:drawing>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14" name="Picture 3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4"/>
                    <pic:cNvPicPr>
                      <a:picLocks noChangeAspect="1" noChangeArrowheads="1"/>
                    </pic:cNvPicPr>
                  </pic:nvPicPr>
                  <pic:blipFill>
                    <a:blip r:embed="rId321">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15" name="Picture 3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5"/>
                    <pic:cNvPicPr>
                      <a:picLocks noChangeAspect="1" noChangeArrowheads="1"/>
                    </pic:cNvPicPr>
                  </pic:nvPicPr>
                  <pic:blipFill>
                    <a:blip r:embed="rId322">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19" w:name="page20"/>
    <w:bookmarkEnd w:id="19"/>
    <w:p>
      <w:pPr>
        <w:jc w:val="both"/>
        <w:ind w:firstLine="569"/>
        <w:spacing w:after="0" w:line="303" w:lineRule="auto"/>
        <w:rPr>
          <w:sz w:val="20"/>
          <w:szCs w:val="20"/>
          <w:color w:val="auto"/>
        </w:rPr>
      </w:pPr>
      <w:r>
        <w:rPr>
          <w:rFonts w:ascii="Arial" w:cs="Arial" w:eastAsia="Arial" w:hAnsi="Arial"/>
          <w:sz w:val="17"/>
          <w:szCs w:val="17"/>
          <w:color w:val="auto"/>
        </w:rPr>
        <w:t>The Company also owns shifting operations and fleeting facilities for dry cargo barges and tank barges on the Houston Ship Channel and in Freeport and Port Arthur, Texas, and Lake Charles, Louisiana, and a shipyard for building towboats and performing routine maintenance near the Houston Ship Channel, as well as a two-thirds interest in Osprey Line, L.L.C., which transports project cargoes and cargo containers by barge.</w:t>
      </w:r>
    </w:p>
    <w:p>
      <w:pPr>
        <w:spacing w:after="0" w:line="178"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During the 2021 first nine months, the Company retired 26 inland tank barges and returned four leased barges. The net result was a decrease of 30 inland tank barges and approximately 907,000 barrels of capacity.</w:t>
      </w:r>
    </w:p>
    <w:p>
      <w:pPr>
        <w:spacing w:after="0" w:line="183" w:lineRule="exact"/>
        <w:rPr>
          <w:sz w:val="20"/>
          <w:szCs w:val="20"/>
          <w:color w:val="auto"/>
        </w:rPr>
      </w:pPr>
    </w:p>
    <w:p>
      <w:pPr>
        <w:jc w:val="both"/>
        <w:ind w:firstLine="569"/>
        <w:spacing w:after="0" w:line="284" w:lineRule="auto"/>
        <w:rPr>
          <w:sz w:val="20"/>
          <w:szCs w:val="20"/>
          <w:color w:val="auto"/>
        </w:rPr>
      </w:pPr>
      <w:r>
        <w:rPr>
          <w:rFonts w:ascii="Arial" w:cs="Arial" w:eastAsia="Arial" w:hAnsi="Arial"/>
          <w:sz w:val="17"/>
          <w:szCs w:val="17"/>
          <w:color w:val="auto"/>
        </w:rPr>
        <w:t>The Company’s marine transportation segment’s revenues for the 2021 third quarter and first nine months increased 6% and decreased 12%, respectively, and operating income decreased 48% and 72%, respectively, compared with the 2020 third quarter and first nine months revenues and operating income. The increase in revenues for the 2021 third quarter was primarily due to increased fuel rebills in the inland and coastal markets and increased tank barge utilization in the inland market. The decreases for the 2021 first nine months were primarily due to reduced barge utilization in the inland and coastal markets as well as reduced term and spot pricing in the inland market when compared to 2020. The decreases were partially offset by the addition of the Savage Inland Marine, LLC (“Savage”) fleet acquired on April 1, 2020. The 2021 third quarter benefited from improving business activity and inland market barge utilization which were largely offset by reduced term pricing when compared to the 2020 third quarter. 2021 third quarter revenues and operating income were also impacted by Hurricane Ida which shuttered almost the entire Southeast Louisiana refinery and chemical complex and key waterways for an extended period of time. The 2021 first nine months was also heavily impacted by Winter Storm Uri during the first quarter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the 2021 third quarter and first nine months, the inland tank barge fleet contributed 76% and 75%, respectively, and the coastal fleet contributed 24% and 25%, respectively, of marine transportation revenues. For the 2020 third quarter and first nine months, the inland tank barge fleet contributed 77% and 79%, respectively, and the coastal fleet contributed 23% and 21%, respectively, of marine transportation revenues.</w:t>
      </w:r>
    </w:p>
    <w:p>
      <w:pPr>
        <w:spacing w:after="0" w:line="199"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7"/>
          <w:szCs w:val="17"/>
          <w:color w:val="auto"/>
        </w:rPr>
        <w:t>Inland tank barge utilization levels averaged in the mid-70% range during the 2021 first quarter, the low to mid-80% range during the 2021 second quarter, and the low 80% range during the 2021 third quarter. In 2020, inland tank barge utilization levels averaged in the low to mid-90% range during the 2020 first quarter, the mid-80% range during the 2020 second quarter, and the low 70% range during the 2020 third quarter. The 2021 first nine months and the 2020 second and third quarters were impacted by reduced demand as a result of the COVID-19 pandemic and the resulting economic slowdown. The 2021 second quarter was favorably impacted by the Colonial Pipeline outage in May. The 2021 first nine months was also impacted by reduced volumes as a result of Winter Storm Uri during the first quarter. The 2020 first quarter experienced strong demand from petrochemicals, black oil, and refined petroleum products customers. In addition, extensive delay days due to poor operating conditions and lock maintenance projects in the 2020 first quarter slowed the transport of customer cargoes and contributed to strong utilization.</w:t>
      </w:r>
    </w:p>
    <w:p>
      <w:pPr>
        <w:spacing w:after="0" w:line="195" w:lineRule="exact"/>
        <w:rPr>
          <w:sz w:val="20"/>
          <w:szCs w:val="20"/>
          <w:color w:val="auto"/>
        </w:rPr>
      </w:pPr>
    </w:p>
    <w:p>
      <w:pPr>
        <w:jc w:val="both"/>
        <w:ind w:firstLine="562"/>
        <w:spacing w:after="0" w:line="230" w:lineRule="exact"/>
        <w:rPr>
          <w:sz w:val="20"/>
          <w:szCs w:val="20"/>
          <w:color w:val="auto"/>
        </w:rPr>
      </w:pPr>
      <w:r>
        <w:rPr>
          <w:rFonts w:ascii="Arial" w:cs="Arial" w:eastAsia="Arial" w:hAnsi="Arial"/>
          <w:sz w:val="18"/>
          <w:szCs w:val="18"/>
          <w:color w:val="auto"/>
        </w:rPr>
        <w:t>Coastal tank barge utilization levels averaged in the mid-70% range during the 2021 first and third quarters and the low to mid</w:t>
      </w:r>
      <w:r>
        <w:rPr>
          <w:rFonts w:ascii="MS PGothic" w:cs="MS PGothic" w:eastAsia="MS PGothic" w:hAnsi="MS PGothic"/>
          <w:sz w:val="18"/>
          <w:szCs w:val="18"/>
          <w:color w:val="auto"/>
        </w:rPr>
        <w:t>‑</w:t>
      </w:r>
      <w:r>
        <w:rPr>
          <w:rFonts w:ascii="Arial" w:cs="Arial" w:eastAsia="Arial" w:hAnsi="Arial"/>
          <w:sz w:val="18"/>
          <w:szCs w:val="18"/>
          <w:color w:val="auto"/>
        </w:rPr>
        <w:t>70% range during the 2021 second quarter. Coastal tank barge utilization levels averaged in the low to mid-80% range during the 2020 first quarter and the mid-70% range during the 2020 second and third quarters. The 2021 first nine months and the 2020 second and third quarters were impacted by reduced demand as a result of the COVID-19 pandemic and the resulting economic slowdown. Barge utilization in the coastal marine fleet continued to be impacted by the oversupply of tank barges in the coastal industry in 2021 and 2020.</w:t>
      </w:r>
    </w:p>
    <w:p>
      <w:pPr>
        <w:spacing w:after="0" w:line="230" w:lineRule="exact"/>
        <w:rPr>
          <w:sz w:val="20"/>
          <w:szCs w:val="20"/>
          <w:color w:val="auto"/>
        </w:rPr>
      </w:pPr>
    </w:p>
    <w:p>
      <w:pPr>
        <w:jc w:val="both"/>
        <w:ind w:firstLine="562"/>
        <w:spacing w:after="0" w:line="306" w:lineRule="auto"/>
        <w:rPr>
          <w:sz w:val="20"/>
          <w:szCs w:val="20"/>
          <w:color w:val="auto"/>
        </w:rPr>
      </w:pPr>
      <w:r>
        <w:rPr>
          <w:rFonts w:ascii="Arial" w:cs="Arial" w:eastAsia="Arial" w:hAnsi="Arial"/>
          <w:sz w:val="16"/>
          <w:szCs w:val="16"/>
          <w:color w:val="auto"/>
        </w:rPr>
        <w:t>During both the 2021 third quarter and first nine months, approximately 65% of marine transportation’s inland revenues were under term contracts and 35% were spot contract revenues. During the 2020 third quarter and first nine months, approximately 70% and 65%, respectively, of marine transportation’s inland revenues were under term contracts and 30% and 35%, respectively, were spot contract revenues. Inland time charters during the 2021 third quarter and first nine months represented 56% and 58%, respectively, of the inland revenues under term contracts compared with 67% in both the 2020 third quarter and first nine months. During both the 2021 third quarter and first nine months, approximately 80% of the coastal revenues were under term contracts and 20% were spot contract revenues. During both the 2020 third quarter and first nine months, approximately 85% of coastal revenues were under term contracts, and 15% were under spot contract revenues. Coastal time charters represented approximately 85% of coastal revenues under term contracts during both the 2021 third quarter and first nine months compared with approximately 90% during both the 2020 third quarter and first nine months. Term contracts have contract terms of 12 months or longer, while spot contracts have contract terms of less than 12 months.</w:t>
      </w:r>
    </w:p>
    <w:p>
      <w:pPr>
        <w:spacing w:after="0" w:line="200" w:lineRule="exact"/>
        <w:rPr>
          <w:sz w:val="20"/>
          <w:szCs w:val="20"/>
          <w:color w:val="auto"/>
        </w:rPr>
      </w:pPr>
    </w:p>
    <w:p>
      <w:pPr>
        <w:spacing w:after="0" w:line="36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19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6" name="Picture 3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6"/>
                    <pic:cNvPicPr>
                      <a:picLocks noChangeAspect="1" noChangeArrowheads="1"/>
                    </pic:cNvPicPr>
                  </pic:nvPicPr>
                  <pic:blipFill>
                    <a:blip r:embed="rId32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0" w:name="page21"/>
    <w:bookmarkEnd w:id="20"/>
    <w:p>
      <w:pPr>
        <w:ind w:firstLine="562"/>
        <w:spacing w:after="0" w:line="293"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7"/>
                <w:szCs w:val="17"/>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 2021</w:t>
            </w:r>
          </w:p>
        </w:tc>
      </w:tr>
      <w:tr>
        <w:trPr>
          <w:trHeight w:val="25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Term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(7)% – (9)%</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 – (8)%</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 (4)%</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Spot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 (30)%</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 (15)%</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Coastal market (a):</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increase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Spot increase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r>
    </w:tbl>
    <w:p>
      <w:pPr>
        <w:spacing w:after="0" w:line="242" w:lineRule="exact"/>
        <w:rPr>
          <w:sz w:val="20"/>
          <w:szCs w:val="20"/>
          <w:color w:val="auto"/>
        </w:rPr>
      </w:pPr>
    </w:p>
    <w:p>
      <w:pPr>
        <w:ind w:left="900" w:hanging="330"/>
        <w:spacing w:after="0" w:line="293" w:lineRule="auto"/>
        <w:tabs>
          <w:tab w:leader="none" w:pos="900" w:val="left"/>
        </w:tabs>
        <w:numPr>
          <w:ilvl w:val="0"/>
          <w:numId w:val="13"/>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marine transportation segment operating margin was 5.0% for the 2021 third quarter compared with 10.1% for the 2020 third quarter and 3.8% for the 2021 first nine months compared to 12.2% for the 2020 first nine months.</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562"/>
        <w:spacing w:after="0" w:line="314" w:lineRule="auto"/>
        <w:rPr>
          <w:sz w:val="20"/>
          <w:szCs w:val="20"/>
          <w:color w:val="auto"/>
        </w:rPr>
      </w:pPr>
      <w:r>
        <w:rPr>
          <w:rFonts w:ascii="Arial" w:cs="Arial" w:eastAsia="Arial" w:hAnsi="Arial"/>
          <w:sz w:val="16"/>
          <w:szCs w:val="16"/>
          <w:color w:val="auto"/>
        </w:rPr>
        <w:t>The Company, through its distribution and services segment, sells genuine replacement parts, provides service mechanics to overhaul and repair engines, transmissions, reduction gears and related oilfield services equipment, rebuilds component parts or entire diesel engines, transmissions and reduction gears and related equipment used in oilfield services, marine, power generation, on-highway and other industrial applications. The Company also rents equipment including generators, industrial compressors, railcar movers, and high capacity lift trucks for use in a variety of industrial markets, and manufactures and remanufactures oilfield service equipment, including pressure pumping units, for land-based oilfield service customers.</w:t>
      </w:r>
    </w:p>
    <w:p>
      <w:pPr>
        <w:spacing w:after="0" w:line="173"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For the 2021 third quarter and first nine months, the distribution and services segment generated 43% and 41%, respectively, of the Company’s revenues, of which 87% and 86%, respectively, was generated from service and parts and 13% and 14%, respectively, from manufacturing. The results of the distribution and services segment are largely influenced by the economic cycles of the oilfield service and oil and gas operator and producer markets, marine, power generation, on-highway, and other industrial markets.</w:t>
      </w:r>
    </w:p>
    <w:p>
      <w:pPr>
        <w:spacing w:after="0" w:line="199" w:lineRule="exact"/>
        <w:rPr>
          <w:sz w:val="20"/>
          <w:szCs w:val="20"/>
          <w:color w:val="auto"/>
        </w:rPr>
      </w:pPr>
    </w:p>
    <w:p>
      <w:pPr>
        <w:jc w:val="both"/>
        <w:ind w:firstLine="569"/>
        <w:spacing w:after="0" w:line="269" w:lineRule="auto"/>
        <w:rPr>
          <w:sz w:val="20"/>
          <w:szCs w:val="20"/>
          <w:color w:val="auto"/>
        </w:rPr>
      </w:pPr>
      <w:r>
        <w:rPr>
          <w:rFonts w:ascii="Arial" w:cs="Arial" w:eastAsia="Arial" w:hAnsi="Arial"/>
          <w:sz w:val="18"/>
          <w:szCs w:val="18"/>
          <w:color w:val="auto"/>
        </w:rPr>
        <w:t>Distribution and services revenues for the 2021 third quarter and first nine months increased 48% and 18%, respectively, and operating income increased 900% and 316%, respectively, compared with the 2020 third quarter and first nine months revenues and operating income. In the commercial and industrial market, the increases in the 2021 third quarter and first nine months compared to the 2020 third quarter and first nine months were primarily attributable to improved economic activity across the U.S. which resulted in higher business levels in the power generation and on-highway businesses. Increased product sales in Thermo King also contributed favorably to the 2021 third quarter and first nine months results. The marine repair business was down slightly compared to the 2020 third quarter and first nine months due to reduced service activity. The commercial and industrial market 2021 first nine months was impacted by Winter Storm Uri with reduced activity levels at many locations across the Southern U.S. during the first quarter. For the 2021 third quarter and first nine months, the commercial and industrial market contributed 59% and 63%, respectively, of the distribution and services revenues.</w:t>
      </w:r>
    </w:p>
    <w:p>
      <w:pPr>
        <w:spacing w:after="0" w:line="207" w:lineRule="exact"/>
        <w:rPr>
          <w:sz w:val="20"/>
          <w:szCs w:val="20"/>
          <w:color w:val="auto"/>
        </w:rPr>
      </w:pPr>
    </w:p>
    <w:p>
      <w:pPr>
        <w:jc w:val="both"/>
        <w:ind w:firstLine="562"/>
        <w:spacing w:after="0" w:line="319" w:lineRule="auto"/>
        <w:rPr>
          <w:sz w:val="20"/>
          <w:szCs w:val="20"/>
          <w:color w:val="auto"/>
        </w:rPr>
      </w:pPr>
      <w:r>
        <w:rPr>
          <w:rFonts w:ascii="Arial" w:cs="Arial" w:eastAsia="Arial" w:hAnsi="Arial"/>
          <w:sz w:val="16"/>
          <w:szCs w:val="16"/>
          <w:color w:val="auto"/>
        </w:rPr>
        <w:t>In the oil and gas market, revenues improved compared to the 2020 third quarter and first nine months due to higher oilfield activity which resulted in increased demand for new and overhauled engines, transmissions, parts, and service. The manufacturing business also experienced increases in orders and deliveries of new and remanufactured pressure pumping equipment as well as power generation equipment for electric fracturing. For the 2021 third quarter and first nine months, the oil and gas market contributed 41% and 37%, respectively, of the distribution and services revenues.</w:t>
      </w:r>
    </w:p>
    <w:p>
      <w:pPr>
        <w:spacing w:after="0" w:line="169"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distribution and services segment operating margin for the 2021 third quarter was 4.2% compared with 0.6% for the 2020 third quarter and 2.9% for the 2021 first nine months compared to (1.6)% for the 2020 first nine months. The 2020 first nine months results were adversely impacted by the bankruptcy of a large oil and gas customer, resulting in a $3,339,000 bad debt expense charge and severance expenses of $1,354,000 as a result of workforce reductions.</w:t>
      </w:r>
    </w:p>
    <w:p>
      <w:pPr>
        <w:spacing w:after="0" w:line="34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7" name="Picture 3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7"/>
                    <pic:cNvPicPr>
                      <a:picLocks noChangeAspect="1" noChangeArrowheads="1"/>
                    </pic:cNvPicPr>
                  </pic:nvPicPr>
                  <pic:blipFill>
                    <a:blip r:embed="rId32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1" w:name="page22"/>
    <w:bookmarkEnd w:id="21"/>
    <w:p>
      <w:pPr>
        <w:spacing w:after="0"/>
        <w:rPr>
          <w:sz w:val="20"/>
          <w:szCs w:val="20"/>
          <w:color w:val="auto"/>
        </w:rPr>
      </w:pPr>
      <w:r>
        <w:rPr>
          <w:rFonts w:ascii="Arial" w:cs="Arial" w:eastAsia="Arial" w:hAnsi="Arial"/>
          <w:sz w:val="18"/>
          <w:szCs w:val="18"/>
          <w:b w:val="1"/>
          <w:bCs w:val="1"/>
          <w:color w:val="auto"/>
        </w:rPr>
        <w:t>Outlook</w:t>
      </w:r>
    </w:p>
    <w:p>
      <w:pPr>
        <w:spacing w:after="0" w:line="25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Although the COVID-19 delta variant in the U.S. and around the world has created some uncertainty which has slowed the pace of the economic recovery, the Company expects further growth in marine transportation during the 2021 fourth quarter. Supply chain and labor constraints and delays of key components, particularly in distribution and services, could defer some product sales and manufacturing deliveries into 2022 resulting in modest declines in revenue in distribution and services during the 2021 fourth quarter.</w:t>
      </w:r>
    </w:p>
    <w:p>
      <w:pPr>
        <w:spacing w:after="0" w:line="199"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8"/>
          <w:szCs w:val="18"/>
          <w:color w:val="auto"/>
        </w:rPr>
        <w:t>In the inland marine transportation market, barge utilization in October improved into the high 80% range and is expected to remain strong for the duration of the fourth quarter as Louisiana refinery and petrochemical plants restart and customers boost production levels to meet pend-up demand. While ongoing navigational issues in the wake of Hurricane Ida, which have resulted in extended closures of key waterways and contributed to some increases in barge utilization, should subside, the onset of seasonal winter weather and continued economic growth should result in improved barge utilization. Overall, increased inland activity levels should yield further improvements in the spot market, which currently represents approximately 35% of inland revenue, and contribute to improved revenues and operating margins. During the fourth quarter and into 2022, term contracts that renewed lower over the past year should reset to reflect the improved market conditions. Overall, inland revenues are expected to increase in the 2021 fourth quarter with operating margins around 10%.</w:t>
      </w:r>
    </w:p>
    <w:p>
      <w:pPr>
        <w:spacing w:after="0" w:line="210" w:lineRule="exact"/>
        <w:rPr>
          <w:sz w:val="20"/>
          <w:szCs w:val="20"/>
          <w:color w:val="auto"/>
        </w:rPr>
      </w:pPr>
    </w:p>
    <w:p>
      <w:pPr>
        <w:jc w:val="both"/>
        <w:ind w:firstLine="569"/>
        <w:spacing w:after="0" w:line="271" w:lineRule="auto"/>
        <w:rPr>
          <w:sz w:val="20"/>
          <w:szCs w:val="20"/>
          <w:color w:val="auto"/>
        </w:rPr>
      </w:pPr>
      <w:r>
        <w:rPr>
          <w:rFonts w:ascii="Arial" w:cs="Arial" w:eastAsia="Arial" w:hAnsi="Arial"/>
          <w:sz w:val="18"/>
          <w:szCs w:val="18"/>
          <w:color w:val="auto"/>
        </w:rPr>
        <w:t>As of September 30, 2021, the Company estimated there were approximately 4,000 inland tank barges in the industry fleet, of which approximately 350 were over 30 years old and approximately 285 of those over 40 years old. The Company estimates that approximately 60 to 75 new tank barges have been ordered for delivery in 2021 and many older tank barges, including an expected 28 by the Company, will be retired, dependent on 2021 market conditions. Historically, 75 to 150 older inland tank barges are retired from service each year industry-wide. The extent of the retirements is dependent on petrochemical and refinery production levels, and crude oil and natural gas condensate movements, both of which can have a direct effect on industry-wide tank barge utilization, as well as term and spot contract rates.</w:t>
      </w:r>
    </w:p>
    <w:p>
      <w:pPr>
        <w:spacing w:after="0" w:line="204" w:lineRule="exact"/>
        <w:rPr>
          <w:sz w:val="20"/>
          <w:szCs w:val="20"/>
          <w:color w:val="auto"/>
        </w:rPr>
      </w:pPr>
    </w:p>
    <w:p>
      <w:pPr>
        <w:jc w:val="both"/>
        <w:ind w:firstLine="562"/>
        <w:spacing w:after="0" w:line="314" w:lineRule="auto"/>
        <w:rPr>
          <w:sz w:val="20"/>
          <w:szCs w:val="20"/>
          <w:color w:val="auto"/>
        </w:rPr>
      </w:pPr>
      <w:r>
        <w:rPr>
          <w:rFonts w:ascii="Arial" w:cs="Arial" w:eastAsia="Arial" w:hAnsi="Arial"/>
          <w:sz w:val="16"/>
          <w:szCs w:val="16"/>
          <w:color w:val="auto"/>
        </w:rPr>
        <w:t>In the coastal marine transportation market, market conditions are expected to modestly improve in the 2021 fourth quarter. Combined with the recent sale of the Hawaiian marine equipment and the retirement of underutilized barges, coastal barge utilization is expected to be near 90% in the fourth quarter. Although the Hawaii equipment has been sold, the Company has chartered and will continue to operate the assets until existing customer contracts expire at the end of 2021. Elsewhere in the coastal market, planned shipyard activity on several large capacity barges will likely result in an overall sequential revenue reduction in the mid-single digits during the fourth quarter with operating margins at or slightly below breakeven.</w:t>
      </w:r>
    </w:p>
    <w:p>
      <w:pPr>
        <w:spacing w:after="0" w:line="173"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8"/>
          <w:szCs w:val="18"/>
          <w:color w:val="auto"/>
        </w:rPr>
        <w:t>As of September 30, 2021, the Company estimated there were approximately 270 tank barges operating in the 195,000 barrels or less coastal industry fleet, the sector of the market in which the Company operates, and approximately 20 of those were over 25 years old. The Company is aware of one announced small specialized coastal ATB in the 195,000 barrels or less category that was delivered in the 2021 first quarter with no further coastal barges currently under construction.</w:t>
      </w:r>
    </w:p>
    <w:p>
      <w:pPr>
        <w:spacing w:after="0" w:line="199"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7"/>
          <w:szCs w:val="17"/>
          <w:color w:val="auto"/>
        </w:rPr>
        <w:t>The results of the distribution and services segment are largely influenced by the cycles of the land-based oilfield service and oil and gas operator and producer markets, marine, power generation, on-highway and other industrial markets. Seasonality in the commercial and industrial market, including reduced marine repair activity, lower demand for Thermo King refrigeration parts and service, and reduced utilization of the power generation rental fleet, are all expected to contribute to sequential reductions in revenue and operating income in the 2021 fourth quarter.</w:t>
      </w:r>
    </w:p>
    <w:p>
      <w:pPr>
        <w:spacing w:after="0" w:line="183" w:lineRule="exact"/>
        <w:rPr>
          <w:sz w:val="20"/>
          <w:szCs w:val="20"/>
          <w:color w:val="auto"/>
        </w:rPr>
      </w:pPr>
    </w:p>
    <w:p>
      <w:pPr>
        <w:jc w:val="both"/>
        <w:ind w:firstLine="562"/>
        <w:spacing w:after="0" w:line="271" w:lineRule="auto"/>
        <w:rPr>
          <w:sz w:val="20"/>
          <w:szCs w:val="20"/>
          <w:color w:val="auto"/>
        </w:rPr>
      </w:pPr>
      <w:r>
        <w:rPr>
          <w:rFonts w:ascii="Arial" w:cs="Arial" w:eastAsia="Arial" w:hAnsi="Arial"/>
          <w:sz w:val="18"/>
          <w:szCs w:val="18"/>
          <w:color w:val="auto"/>
        </w:rPr>
        <w:t>In the distribution and services oil and gas market, strong commodity prices and oilfield activity levels are expected to yield robust demand for new transmissions, service, and parts for the duration of the year. In manufacturing, activity is also expected to remain strong driven by an increasing backlog of environmentally friendly pressure pumping equipment, frac related power generation equipment, and remanufacturing of existing conventional equipment. However, increasing original equipment manufacturer supply chain issues are expected to delay some sales into 2022 and result in a sequential reduction in oil and gas revenues and operating margins. Overall, compared to the 2021 third quarter, distribution and services revenues are expected to decline modestly with operating margins in the low to mid-single digits.</w:t>
      </w:r>
    </w:p>
    <w:p>
      <w:pPr>
        <w:spacing w:after="0" w:line="204"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8"/>
          <w:szCs w:val="18"/>
          <w:color w:val="auto"/>
        </w:rPr>
        <w:t>While the Company's outlook is dependent on developments regarding the COVID-19 pandemic and related supply chain constraints, the Company has maintained business continuity and expects to continue to do so.</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Acquisition</w:t>
      </w:r>
    </w:p>
    <w:p>
      <w:pPr>
        <w:spacing w:after="0" w:line="202" w:lineRule="exact"/>
        <w:rPr>
          <w:sz w:val="20"/>
          <w:szCs w:val="20"/>
          <w:color w:val="auto"/>
        </w:rPr>
      </w:pPr>
    </w:p>
    <w:p>
      <w:pPr>
        <w:jc w:val="both"/>
        <w:ind w:firstLine="569"/>
        <w:spacing w:after="0" w:line="359" w:lineRule="auto"/>
        <w:rPr>
          <w:sz w:val="20"/>
          <w:szCs w:val="20"/>
          <w:color w:val="auto"/>
        </w:rPr>
      </w:pPr>
      <w:r>
        <w:rPr>
          <w:rFonts w:ascii="Arial" w:cs="Arial" w:eastAsia="Arial" w:hAnsi="Arial"/>
          <w:sz w:val="16"/>
          <w:szCs w:val="16"/>
          <w:color w:val="auto"/>
        </w:rPr>
        <w:t>During the nine months ended September 30, 2021, the Company purchased four inland tank barges from a leasing company for $7,470,000 in cash. The Company had been leasing the barges prior to the purchase. Financing of the purchase was through cash provided by operating activities.</w:t>
      </w:r>
    </w:p>
    <w:p>
      <w:pPr>
        <w:spacing w:after="0" w:line="57"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18" name="Picture 31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8"/>
                    <pic:cNvPicPr>
                      <a:picLocks noChangeAspect="1" noChangeArrowheads="1"/>
                    </pic:cNvPicPr>
                  </pic:nvPicPr>
                  <pic:blipFill>
                    <a:blip r:embed="rId32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2" w:name="page23"/>
    <w:bookmarkEnd w:id="22"/>
    <w:p>
      <w:pPr>
        <w:spacing w:after="0"/>
        <w:rPr>
          <w:sz w:val="20"/>
          <w:szCs w:val="20"/>
          <w:color w:val="auto"/>
        </w:rPr>
      </w:pPr>
      <w:r>
        <w:rPr>
          <w:rFonts w:ascii="Arial" w:cs="Arial" w:eastAsia="Arial" w:hAnsi="Arial"/>
          <w:sz w:val="18"/>
          <w:szCs w:val="18"/>
          <w:b w:val="1"/>
          <w:bCs w:val="1"/>
          <w:color w:val="auto"/>
        </w:rPr>
        <w:t>Results of Operations</w:t>
      </w:r>
    </w:p>
    <w:p>
      <w:pPr>
        <w:spacing w:after="0" w:line="256" w:lineRule="exact"/>
        <w:rPr>
          <w:sz w:val="20"/>
          <w:szCs w:val="20"/>
          <w:color w:val="auto"/>
        </w:rPr>
      </w:pPr>
    </w:p>
    <w:p>
      <w:pPr>
        <w:ind w:firstLine="562"/>
        <w:spacing w:after="0" w:line="293" w:lineRule="auto"/>
        <w:rPr>
          <w:sz w:val="20"/>
          <w:szCs w:val="20"/>
          <w:color w:val="auto"/>
        </w:rPr>
      </w:pPr>
      <w:r>
        <w:rPr>
          <w:rFonts w:ascii="Arial" w:cs="Arial" w:eastAsia="Arial" w:hAnsi="Arial"/>
          <w:sz w:val="18"/>
          <w:szCs w:val="18"/>
          <w:color w:val="auto"/>
        </w:rPr>
        <w:t>The following table sets forth the Company’s marine transportation and distribution and services revenues and the percentage of each to total revenues for the comparable periods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18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840" w:type="dxa"/>
            <w:vAlign w:val="bottom"/>
            <w:tcBorders>
              <w:bottom w:val="single" w:sz="8" w:color="auto"/>
            </w:tcBorders>
          </w:tcPr>
          <w:p>
            <w:pPr>
              <w:spacing w:after="0"/>
              <w:rPr>
                <w:sz w:val="16"/>
                <w:szCs w:val="16"/>
                <w:color w:val="auto"/>
              </w:rPr>
            </w:pPr>
          </w:p>
        </w:tc>
        <w:tc>
          <w:tcPr>
            <w:tcW w:w="2420" w:type="dxa"/>
            <w:vAlign w:val="bottom"/>
            <w:tcBorders>
              <w:bottom w:val="single" w:sz="8" w:color="auto"/>
            </w:tcBorders>
            <w:gridSpan w:val="5"/>
          </w:tcPr>
          <w:p>
            <w:pPr>
              <w:jc w:val="right"/>
              <w:ind w:right="95"/>
              <w:spacing w:after="0"/>
              <w:rPr>
                <w:sz w:val="20"/>
                <w:szCs w:val="20"/>
                <w:color w:val="auto"/>
              </w:rPr>
            </w:pPr>
            <w:r>
              <w:rPr>
                <w:rFonts w:ascii="Arial" w:cs="Arial" w:eastAsia="Arial" w:hAnsi="Arial"/>
                <w:sz w:val="14"/>
                <w:szCs w:val="14"/>
                <w:b w:val="1"/>
                <w:bCs w:val="1"/>
                <w:color w:val="auto"/>
                <w:w w:val="93"/>
              </w:rPr>
              <w:t>Three Months Ended September 30,</w:t>
            </w:r>
          </w:p>
        </w:tc>
        <w:tc>
          <w:tcPr>
            <w:tcW w:w="260" w:type="dxa"/>
            <w:vAlign w:val="bottom"/>
            <w:tcBorders>
              <w:bottom w:val="single" w:sz="8" w:color="auto"/>
            </w:tcBorders>
          </w:tcPr>
          <w:p>
            <w:pPr>
              <w:spacing w:after="0"/>
              <w:rPr>
                <w:sz w:val="16"/>
                <w:szCs w:val="16"/>
                <w:color w:val="auto"/>
              </w:rPr>
            </w:pPr>
          </w:p>
        </w:tc>
        <w:tc>
          <w:tcPr>
            <w:tcW w:w="680" w:type="dxa"/>
            <w:vAlign w:val="bottom"/>
            <w:tcBorders>
              <w:bottom w:val="single" w:sz="8" w:color="auto"/>
            </w:tcBorders>
          </w:tcPr>
          <w:p>
            <w:pPr>
              <w:spacing w:after="0"/>
              <w:rPr>
                <w:sz w:val="16"/>
                <w:szCs w:val="16"/>
                <w:color w:val="auto"/>
              </w:rPr>
            </w:pPr>
          </w:p>
        </w:tc>
        <w:tc>
          <w:tcPr>
            <w:tcW w:w="40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3200" w:type="dxa"/>
            <w:vAlign w:val="bottom"/>
            <w:tcBorders>
              <w:bottom w:val="single" w:sz="8" w:color="auto"/>
            </w:tcBorders>
            <w:gridSpan w:val="6"/>
          </w:tcPr>
          <w:p>
            <w:pPr>
              <w:jc w:val="right"/>
              <w:ind w:right="115"/>
              <w:spacing w:after="0"/>
              <w:rPr>
                <w:sz w:val="20"/>
                <w:szCs w:val="20"/>
                <w:color w:val="auto"/>
              </w:rPr>
            </w:pPr>
            <w:r>
              <w:rPr>
                <w:rFonts w:ascii="Arial" w:cs="Arial" w:eastAsia="Arial" w:hAnsi="Arial"/>
                <w:sz w:val="14"/>
                <w:szCs w:val="14"/>
                <w:b w:val="1"/>
                <w:bCs w:val="1"/>
                <w:color w:val="auto"/>
              </w:rPr>
              <w:t>Nine Months Ended September 30,</w:t>
            </w:r>
          </w:p>
        </w:tc>
        <w:tc>
          <w:tcPr>
            <w:tcW w:w="220" w:type="dxa"/>
            <w:vAlign w:val="bottom"/>
            <w:tcBorders>
              <w:bottom w:val="single" w:sz="8" w:color="auto"/>
            </w:tcBorders>
          </w:tcPr>
          <w:p>
            <w:pPr>
              <w:spacing w:after="0"/>
              <w:rPr>
                <w:sz w:val="16"/>
                <w:szCs w:val="16"/>
                <w:color w:val="auto"/>
              </w:rPr>
            </w:pPr>
          </w:p>
        </w:tc>
        <w:tc>
          <w:tcPr>
            <w:tcW w:w="66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c>
          <w:tcPr>
            <w:tcW w:w="0" w:type="dxa"/>
            <w:vAlign w:val="bottom"/>
          </w:tcPr>
          <w:p>
            <w:pPr>
              <w:spacing w:after="0"/>
              <w:rPr>
                <w:sz w:val="1"/>
                <w:szCs w:val="1"/>
                <w:color w:val="auto"/>
              </w:rPr>
            </w:pPr>
          </w:p>
        </w:tc>
      </w:tr>
      <w:tr>
        <w:trPr>
          <w:trHeight w:val="196"/>
        </w:trPr>
        <w:tc>
          <w:tcPr>
            <w:tcW w:w="18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35"/>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680" w:type="dxa"/>
            <w:vAlign w:val="bottom"/>
            <w:tcBorders>
              <w:bottom w:val="single" w:sz="8" w:color="auto"/>
            </w:tcBorders>
          </w:tcPr>
          <w:p>
            <w:pPr>
              <w:jc w:val="right"/>
              <w:ind w:right="176"/>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680" w:type="dxa"/>
            <w:vAlign w:val="bottom"/>
            <w:tcBorders>
              <w:bottom w:val="single" w:sz="8" w:color="auto"/>
            </w:tcBorders>
          </w:tcPr>
          <w:p>
            <w:pPr>
              <w:jc w:val="right"/>
              <w:ind w:right="199"/>
              <w:spacing w:after="0"/>
              <w:rPr>
                <w:sz w:val="20"/>
                <w:szCs w:val="20"/>
                <w:color w:val="auto"/>
              </w:rPr>
            </w:pPr>
            <w:r>
              <w:rPr>
                <w:rFonts w:ascii="Arial" w:cs="Arial" w:eastAsia="Arial" w:hAnsi="Arial"/>
                <w:sz w:val="14"/>
                <w:szCs w:val="14"/>
                <w:b w:val="1"/>
                <w:bCs w:val="1"/>
                <w:color w:val="auto"/>
              </w:rPr>
              <w:t>%</w:t>
            </w:r>
          </w:p>
        </w:tc>
        <w:tc>
          <w:tcPr>
            <w:tcW w:w="40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7"/>
              <w:spacing w:after="0"/>
              <w:rPr>
                <w:sz w:val="20"/>
                <w:szCs w:val="20"/>
                <w:color w:val="auto"/>
              </w:rPr>
            </w:pPr>
            <w:r>
              <w:rPr>
                <w:rFonts w:ascii="Arial" w:cs="Arial" w:eastAsia="Arial" w:hAnsi="Arial"/>
                <w:sz w:val="14"/>
                <w:szCs w:val="14"/>
                <w:b w:val="1"/>
                <w:bCs w:val="1"/>
                <w:color w:val="auto"/>
              </w:rPr>
              <w:t>2021</w:t>
            </w:r>
          </w:p>
        </w:tc>
        <w:tc>
          <w:tcPr>
            <w:tcW w:w="240" w:type="dxa"/>
            <w:vAlign w:val="bottom"/>
          </w:tcPr>
          <w:p>
            <w:pPr>
              <w:spacing w:after="0"/>
              <w:rPr>
                <w:sz w:val="17"/>
                <w:szCs w:val="17"/>
                <w:color w:val="auto"/>
              </w:rPr>
            </w:pPr>
          </w:p>
        </w:tc>
        <w:tc>
          <w:tcPr>
            <w:tcW w:w="64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38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15"/>
              <w:spacing w:after="0"/>
              <w:rPr>
                <w:sz w:val="20"/>
                <w:szCs w:val="20"/>
                <w:color w:val="auto"/>
              </w:rPr>
            </w:pPr>
            <w:r>
              <w:rPr>
                <w:rFonts w:ascii="Arial" w:cs="Arial" w:eastAsia="Arial" w:hAnsi="Arial"/>
                <w:sz w:val="14"/>
                <w:szCs w:val="14"/>
                <w:b w:val="1"/>
                <w:bCs w:val="1"/>
                <w:color w:val="auto"/>
              </w:rPr>
              <w:t>2020</w:t>
            </w:r>
          </w:p>
        </w:tc>
        <w:tc>
          <w:tcPr>
            <w:tcW w:w="220" w:type="dxa"/>
            <w:vAlign w:val="bottom"/>
          </w:tcPr>
          <w:p>
            <w:pPr>
              <w:spacing w:after="0"/>
              <w:rPr>
                <w:sz w:val="17"/>
                <w:szCs w:val="17"/>
                <w:color w:val="auto"/>
              </w:rPr>
            </w:pPr>
          </w:p>
        </w:tc>
        <w:tc>
          <w:tcPr>
            <w:tcW w:w="660" w:type="dxa"/>
            <w:vAlign w:val="bottom"/>
            <w:tcBorders>
              <w:bottom w:val="single" w:sz="8" w:color="auto"/>
            </w:tcBorders>
          </w:tcPr>
          <w:p>
            <w:pPr>
              <w:jc w:val="right"/>
              <w:ind w:right="179"/>
              <w:spacing w:after="0"/>
              <w:rPr>
                <w:sz w:val="20"/>
                <w:szCs w:val="20"/>
                <w:color w:val="auto"/>
              </w:rPr>
            </w:pPr>
            <w:r>
              <w:rPr>
                <w:rFonts w:ascii="Arial" w:cs="Arial" w:eastAsia="Arial" w:hAnsi="Arial"/>
                <w:sz w:val="14"/>
                <w:szCs w:val="14"/>
                <w:b w:val="1"/>
                <w:bCs w:val="1"/>
                <w:color w:val="auto"/>
              </w:rPr>
              <w:t>%</w:t>
            </w:r>
          </w:p>
        </w:tc>
        <w:tc>
          <w:tcPr>
            <w:tcW w:w="240" w:type="dxa"/>
            <w:vAlign w:val="bottom"/>
          </w:tcPr>
          <w:p>
            <w:pPr>
              <w:spacing w:after="0"/>
              <w:rPr>
                <w:sz w:val="17"/>
                <w:szCs w:val="17"/>
                <w:color w:val="auto"/>
              </w:rPr>
            </w:pPr>
          </w:p>
        </w:tc>
        <w:tc>
          <w:tcPr>
            <w:tcW w:w="0" w:type="dxa"/>
            <w:vAlign w:val="bottom"/>
          </w:tcPr>
          <w:p>
            <w:pPr>
              <w:spacing w:after="0"/>
              <w:rPr>
                <w:sz w:val="1"/>
                <w:szCs w:val="1"/>
                <w:color w:val="auto"/>
              </w:rPr>
            </w:pPr>
          </w:p>
        </w:tc>
      </w:tr>
      <w:tr>
        <w:trPr>
          <w:trHeight w:val="256"/>
        </w:trPr>
        <w:tc>
          <w:tcPr>
            <w:tcW w:w="2080" w:type="dxa"/>
            <w:vAlign w:val="bottom"/>
            <w:gridSpan w:val="2"/>
            <w:shd w:val="clear" w:color="auto" w:fill="CFF0FC"/>
          </w:tcPr>
          <w:p>
            <w:pPr>
              <w:ind w:left="20"/>
              <w:spacing w:after="0"/>
              <w:rPr>
                <w:sz w:val="20"/>
                <w:szCs w:val="20"/>
                <w:color w:val="auto"/>
              </w:rPr>
            </w:pPr>
            <w:r>
              <w:rPr>
                <w:rFonts w:ascii="Arial" w:cs="Arial" w:eastAsia="Arial" w:hAnsi="Arial"/>
                <w:sz w:val="18"/>
                <w:szCs w:val="18"/>
                <w:color w:val="auto"/>
              </w:rPr>
              <w:t>Marine transportation   $</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338,514</w:t>
            </w:r>
          </w:p>
        </w:tc>
        <w:tc>
          <w:tcPr>
            <w:tcW w:w="132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57 %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320,602</w:t>
            </w:r>
          </w:p>
        </w:tc>
        <w:tc>
          <w:tcPr>
            <w:tcW w:w="13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65 %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972,352</w:t>
            </w: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59 %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1,104,846</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66 %</w:t>
            </w:r>
          </w:p>
        </w:tc>
        <w:tc>
          <w:tcPr>
            <w:tcW w:w="0" w:type="dxa"/>
            <w:vAlign w:val="bottom"/>
          </w:tcPr>
          <w:p>
            <w:pPr>
              <w:spacing w:after="0"/>
              <w:rPr>
                <w:sz w:val="1"/>
                <w:szCs w:val="1"/>
                <w:color w:val="auto"/>
              </w:rPr>
            </w:pPr>
          </w:p>
        </w:tc>
      </w:tr>
      <w:tr>
        <w:trPr>
          <w:trHeight w:val="242"/>
        </w:trPr>
        <w:tc>
          <w:tcPr>
            <w:tcW w:w="2080" w:type="dxa"/>
            <w:vAlign w:val="bottom"/>
            <w:gridSpan w:val="2"/>
          </w:tcPr>
          <w:p>
            <w:pPr>
              <w:ind w:left="20"/>
              <w:spacing w:after="0"/>
              <w:rPr>
                <w:sz w:val="20"/>
                <w:szCs w:val="20"/>
                <w:color w:val="auto"/>
              </w:rPr>
            </w:pPr>
            <w:r>
              <w:rPr>
                <w:rFonts w:ascii="Arial" w:cs="Arial" w:eastAsia="Arial" w:hAnsi="Arial"/>
                <w:sz w:val="18"/>
                <w:szCs w:val="18"/>
                <w:color w:val="auto"/>
              </w:rPr>
              <w:t>Distribution and</w:t>
            </w: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260,406</w:t>
            </w:r>
          </w:p>
        </w:tc>
        <w:tc>
          <w:tcPr>
            <w:tcW w:w="240" w:type="dxa"/>
            <w:vAlign w:val="bottom"/>
            <w:vMerge w:val="restart"/>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43</w:t>
            </w:r>
          </w:p>
        </w:tc>
        <w:tc>
          <w:tcPr>
            <w:tcW w:w="40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40" w:type="dxa"/>
            <w:vAlign w:val="bottom"/>
            <w:vMerge w:val="restart"/>
          </w:tcPr>
          <w:p>
            <w:pPr>
              <w:jc w:val="right"/>
              <w:spacing w:after="0"/>
              <w:rPr>
                <w:sz w:val="20"/>
                <w:szCs w:val="20"/>
                <w:color w:val="auto"/>
              </w:rPr>
            </w:pPr>
            <w:r>
              <w:rPr>
                <w:rFonts w:ascii="Arial" w:cs="Arial" w:eastAsia="Arial" w:hAnsi="Arial"/>
                <w:sz w:val="18"/>
                <w:szCs w:val="18"/>
                <w:color w:val="auto"/>
              </w:rPr>
              <w:t>175,965</w:t>
            </w:r>
          </w:p>
        </w:tc>
        <w:tc>
          <w:tcPr>
            <w:tcW w:w="260" w:type="dxa"/>
            <w:vAlign w:val="bottom"/>
            <w:vMerge w:val="restart"/>
          </w:tcPr>
          <w:p>
            <w:pPr>
              <w:spacing w:after="0"/>
              <w:rPr>
                <w:sz w:val="21"/>
                <w:szCs w:val="21"/>
                <w:color w:val="auto"/>
              </w:rPr>
            </w:pPr>
          </w:p>
        </w:tc>
        <w:tc>
          <w:tcPr>
            <w:tcW w:w="680" w:type="dxa"/>
            <w:vAlign w:val="bottom"/>
            <w:vMerge w:val="restart"/>
          </w:tcPr>
          <w:p>
            <w:pPr>
              <w:jc w:val="right"/>
              <w:spacing w:after="0"/>
              <w:rPr>
                <w:sz w:val="20"/>
                <w:szCs w:val="20"/>
                <w:color w:val="auto"/>
              </w:rPr>
            </w:pPr>
            <w:r>
              <w:rPr>
                <w:rFonts w:ascii="Arial" w:cs="Arial" w:eastAsia="Arial" w:hAnsi="Arial"/>
                <w:sz w:val="18"/>
                <w:szCs w:val="18"/>
                <w:color w:val="auto"/>
              </w:rPr>
              <w:t>35</w:t>
            </w:r>
          </w:p>
        </w:tc>
        <w:tc>
          <w:tcPr>
            <w:tcW w:w="4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683,042</w:t>
            </w:r>
          </w:p>
        </w:tc>
        <w:tc>
          <w:tcPr>
            <w:tcW w:w="240" w:type="dxa"/>
            <w:vAlign w:val="bottom"/>
            <w:vMerge w:val="restart"/>
          </w:tcPr>
          <w:p>
            <w:pPr>
              <w:spacing w:after="0"/>
              <w:rPr>
                <w:sz w:val="21"/>
                <w:szCs w:val="21"/>
                <w:color w:val="auto"/>
              </w:rPr>
            </w:pPr>
          </w:p>
        </w:tc>
        <w:tc>
          <w:tcPr>
            <w:tcW w:w="640" w:type="dxa"/>
            <w:vAlign w:val="bottom"/>
            <w:vMerge w:val="restart"/>
          </w:tcPr>
          <w:p>
            <w:pPr>
              <w:jc w:val="right"/>
              <w:spacing w:after="0"/>
              <w:rPr>
                <w:sz w:val="20"/>
                <w:szCs w:val="20"/>
                <w:color w:val="auto"/>
              </w:rPr>
            </w:pPr>
            <w:r>
              <w:rPr>
                <w:rFonts w:ascii="Arial" w:cs="Arial" w:eastAsia="Arial" w:hAnsi="Arial"/>
                <w:sz w:val="18"/>
                <w:szCs w:val="18"/>
                <w:color w:val="auto"/>
              </w:rPr>
              <w:t>41</w:t>
            </w:r>
          </w:p>
        </w:tc>
        <w:tc>
          <w:tcPr>
            <w:tcW w:w="38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860" w:type="dxa"/>
            <w:vAlign w:val="bottom"/>
            <w:vMerge w:val="restart"/>
          </w:tcPr>
          <w:p>
            <w:pPr>
              <w:jc w:val="right"/>
              <w:spacing w:after="0"/>
              <w:rPr>
                <w:sz w:val="20"/>
                <w:szCs w:val="20"/>
                <w:color w:val="auto"/>
              </w:rPr>
            </w:pPr>
            <w:r>
              <w:rPr>
                <w:rFonts w:ascii="Arial" w:cs="Arial" w:eastAsia="Arial" w:hAnsi="Arial"/>
                <w:sz w:val="18"/>
                <w:szCs w:val="18"/>
                <w:color w:val="auto"/>
              </w:rPr>
              <w:t>576,806</w:t>
            </w:r>
          </w:p>
        </w:tc>
        <w:tc>
          <w:tcPr>
            <w:tcW w:w="220" w:type="dxa"/>
            <w:vAlign w:val="bottom"/>
            <w:vMerge w:val="restart"/>
          </w:tcPr>
          <w:p>
            <w:pPr>
              <w:spacing w:after="0"/>
              <w:rPr>
                <w:sz w:val="21"/>
                <w:szCs w:val="21"/>
                <w:color w:val="auto"/>
              </w:rPr>
            </w:pPr>
          </w:p>
        </w:tc>
        <w:tc>
          <w:tcPr>
            <w:tcW w:w="660" w:type="dxa"/>
            <w:vAlign w:val="bottom"/>
            <w:vMerge w:val="restart"/>
          </w:tcPr>
          <w:p>
            <w:pPr>
              <w:jc w:val="right"/>
              <w:spacing w:after="0"/>
              <w:rPr>
                <w:sz w:val="20"/>
                <w:szCs w:val="20"/>
                <w:color w:val="auto"/>
              </w:rPr>
            </w:pPr>
            <w:r>
              <w:rPr>
                <w:rFonts w:ascii="Arial" w:cs="Arial" w:eastAsia="Arial" w:hAnsi="Arial"/>
                <w:sz w:val="18"/>
                <w:szCs w:val="18"/>
                <w:color w:val="auto"/>
              </w:rPr>
              <w:t>34</w:t>
            </w:r>
          </w:p>
        </w:tc>
        <w:tc>
          <w:tcPr>
            <w:tcW w:w="240" w:type="dxa"/>
            <w:vAlign w:val="bottom"/>
          </w:tcPr>
          <w:p>
            <w:pPr>
              <w:spacing w:after="0"/>
              <w:rPr>
                <w:sz w:val="21"/>
                <w:szCs w:val="21"/>
                <w:color w:val="auto"/>
              </w:rPr>
            </w:pPr>
          </w:p>
        </w:tc>
        <w:tc>
          <w:tcPr>
            <w:tcW w:w="0" w:type="dxa"/>
            <w:vAlign w:val="bottom"/>
          </w:tcPr>
          <w:p>
            <w:pPr>
              <w:spacing w:after="0"/>
              <w:rPr>
                <w:sz w:val="1"/>
                <w:szCs w:val="1"/>
                <w:color w:val="auto"/>
              </w:rPr>
            </w:pPr>
          </w:p>
        </w:tc>
      </w:tr>
      <w:tr>
        <w:trPr>
          <w:trHeight w:val="230"/>
        </w:trPr>
        <w:tc>
          <w:tcPr>
            <w:tcW w:w="1820" w:type="dxa"/>
            <w:vAlign w:val="bottom"/>
          </w:tcPr>
          <w:p>
            <w:pPr>
              <w:ind w:left="20"/>
              <w:spacing w:after="0"/>
              <w:rPr>
                <w:sz w:val="20"/>
                <w:szCs w:val="20"/>
                <w:color w:val="auto"/>
              </w:rPr>
            </w:pPr>
            <w:r>
              <w:rPr>
                <w:rFonts w:ascii="Arial" w:cs="Arial" w:eastAsia="Arial" w:hAnsi="Arial"/>
                <w:sz w:val="18"/>
                <w:szCs w:val="18"/>
                <w:color w:val="auto"/>
              </w:rPr>
              <w:t>services</w:t>
            </w: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260" w:type="dxa"/>
            <w:vAlign w:val="bottom"/>
            <w:tcBorders>
              <w:bottom w:val="single" w:sz="8" w:color="auto"/>
            </w:tcBorders>
          </w:tcPr>
          <w:p>
            <w:pPr>
              <w:spacing w:after="0"/>
              <w:rPr>
                <w:sz w:val="20"/>
                <w:szCs w:val="20"/>
                <w:color w:val="auto"/>
              </w:rPr>
            </w:pPr>
          </w:p>
        </w:tc>
        <w:tc>
          <w:tcPr>
            <w:tcW w:w="840" w:type="dxa"/>
            <w:vAlign w:val="bottom"/>
            <w:tcBorders>
              <w:bottom w:val="single" w:sz="8" w:color="auto"/>
            </w:tcBorders>
            <w:vMerge w:val="continue"/>
          </w:tcPr>
          <w:p>
            <w:pPr>
              <w:spacing w:after="0"/>
              <w:rPr>
                <w:sz w:val="20"/>
                <w:szCs w:val="20"/>
                <w:color w:val="auto"/>
              </w:rPr>
            </w:pPr>
          </w:p>
        </w:tc>
        <w:tc>
          <w:tcPr>
            <w:tcW w:w="260" w:type="dxa"/>
            <w:vAlign w:val="bottom"/>
            <w:vMerge w:val="continue"/>
          </w:tcPr>
          <w:p>
            <w:pPr>
              <w:spacing w:after="0"/>
              <w:rPr>
                <w:sz w:val="20"/>
                <w:szCs w:val="20"/>
                <w:color w:val="auto"/>
              </w:rPr>
            </w:pPr>
          </w:p>
        </w:tc>
        <w:tc>
          <w:tcPr>
            <w:tcW w:w="680" w:type="dxa"/>
            <w:vAlign w:val="bottom"/>
            <w:tcBorders>
              <w:bottom w:val="single" w:sz="8" w:color="auto"/>
            </w:tcBorders>
            <w:vMerge w:val="continue"/>
          </w:tcPr>
          <w:p>
            <w:pPr>
              <w:spacing w:after="0"/>
              <w:rPr>
                <w:sz w:val="20"/>
                <w:szCs w:val="20"/>
                <w:color w:val="auto"/>
              </w:rPr>
            </w:pPr>
          </w:p>
        </w:tc>
        <w:tc>
          <w:tcPr>
            <w:tcW w:w="400" w:type="dxa"/>
            <w:vAlign w:val="bottom"/>
          </w:tcPr>
          <w:p>
            <w:pPr>
              <w:spacing w:after="0"/>
              <w:rPr>
                <w:sz w:val="20"/>
                <w:szCs w:val="20"/>
                <w:color w:val="auto"/>
              </w:rPr>
            </w:pPr>
          </w:p>
        </w:tc>
        <w:tc>
          <w:tcPr>
            <w:tcW w:w="24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40" w:type="dxa"/>
            <w:vAlign w:val="bottom"/>
            <w:vMerge w:val="continue"/>
          </w:tcPr>
          <w:p>
            <w:pPr>
              <w:spacing w:after="0"/>
              <w:rPr>
                <w:sz w:val="20"/>
                <w:szCs w:val="20"/>
                <w:color w:val="auto"/>
              </w:rPr>
            </w:pPr>
          </w:p>
        </w:tc>
        <w:tc>
          <w:tcPr>
            <w:tcW w:w="640" w:type="dxa"/>
            <w:vAlign w:val="bottom"/>
            <w:tcBorders>
              <w:bottom w:val="single" w:sz="8" w:color="auto"/>
            </w:tcBorders>
            <w:vMerge w:val="continue"/>
          </w:tcPr>
          <w:p>
            <w:pPr>
              <w:spacing w:after="0"/>
              <w:rPr>
                <w:sz w:val="20"/>
                <w:szCs w:val="20"/>
                <w:color w:val="auto"/>
              </w:rPr>
            </w:pPr>
          </w:p>
        </w:tc>
        <w:tc>
          <w:tcPr>
            <w:tcW w:w="380" w:type="dxa"/>
            <w:vAlign w:val="bottom"/>
          </w:tcPr>
          <w:p>
            <w:pPr>
              <w:spacing w:after="0"/>
              <w:rPr>
                <w:sz w:val="20"/>
                <w:szCs w:val="20"/>
                <w:color w:val="auto"/>
              </w:rPr>
            </w:pPr>
          </w:p>
        </w:tc>
        <w:tc>
          <w:tcPr>
            <w:tcW w:w="220" w:type="dxa"/>
            <w:vAlign w:val="bottom"/>
            <w:tcBorders>
              <w:bottom w:val="single" w:sz="8" w:color="auto"/>
            </w:tcBorders>
          </w:tcPr>
          <w:p>
            <w:pPr>
              <w:spacing w:after="0"/>
              <w:rPr>
                <w:sz w:val="20"/>
                <w:szCs w:val="20"/>
                <w:color w:val="auto"/>
              </w:rPr>
            </w:pPr>
          </w:p>
        </w:tc>
        <w:tc>
          <w:tcPr>
            <w:tcW w:w="860" w:type="dxa"/>
            <w:vAlign w:val="bottom"/>
            <w:tcBorders>
              <w:bottom w:val="single" w:sz="8" w:color="auto"/>
            </w:tcBorders>
            <w:vMerge w:val="continue"/>
          </w:tcPr>
          <w:p>
            <w:pPr>
              <w:spacing w:after="0"/>
              <w:rPr>
                <w:sz w:val="20"/>
                <w:szCs w:val="20"/>
                <w:color w:val="auto"/>
              </w:rPr>
            </w:pPr>
          </w:p>
        </w:tc>
        <w:tc>
          <w:tcPr>
            <w:tcW w:w="220" w:type="dxa"/>
            <w:vAlign w:val="bottom"/>
            <w:vMerge w:val="continue"/>
          </w:tcPr>
          <w:p>
            <w:pPr>
              <w:spacing w:after="0"/>
              <w:rPr>
                <w:sz w:val="20"/>
                <w:szCs w:val="20"/>
                <w:color w:val="auto"/>
              </w:rPr>
            </w:pPr>
          </w:p>
        </w:tc>
        <w:tc>
          <w:tcPr>
            <w:tcW w:w="660" w:type="dxa"/>
            <w:vAlign w:val="bottom"/>
            <w:tcBorders>
              <w:bottom w:val="single" w:sz="8" w:color="auto"/>
            </w:tcBorders>
            <w:vMerge w:val="continue"/>
          </w:tcPr>
          <w:p>
            <w:pPr>
              <w:spacing w:after="0"/>
              <w:rPr>
                <w:sz w:val="20"/>
                <w:szCs w:val="20"/>
                <w:color w:val="auto"/>
              </w:rPr>
            </w:pPr>
          </w:p>
        </w:tc>
        <w:tc>
          <w:tcPr>
            <w:tcW w:w="240" w:type="dxa"/>
            <w:vAlign w:val="bottom"/>
          </w:tcPr>
          <w:p>
            <w:pPr>
              <w:spacing w:after="0"/>
              <w:rPr>
                <w:sz w:val="20"/>
                <w:szCs w:val="20"/>
                <w:color w:val="auto"/>
              </w:rPr>
            </w:pPr>
          </w:p>
        </w:tc>
        <w:tc>
          <w:tcPr>
            <w:tcW w:w="0" w:type="dxa"/>
            <w:vAlign w:val="bottom"/>
          </w:tcPr>
          <w:p>
            <w:pPr>
              <w:spacing w:after="0"/>
              <w:rPr>
                <w:sz w:val="1"/>
                <w:szCs w:val="1"/>
                <w:color w:val="auto"/>
              </w:rPr>
            </w:pPr>
          </w:p>
        </w:tc>
      </w:tr>
      <w:tr>
        <w:trPr>
          <w:trHeight w:val="263"/>
        </w:trPr>
        <w:tc>
          <w:tcPr>
            <w:tcW w:w="182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598,920</w:t>
            </w:r>
          </w:p>
        </w:tc>
        <w:tc>
          <w:tcPr>
            <w:tcW w:w="240" w:type="dxa"/>
            <w:vAlign w:val="bottom"/>
            <w:shd w:val="clear" w:color="auto" w:fill="CFF0FC"/>
          </w:tcPr>
          <w:p>
            <w:pPr>
              <w:spacing w:after="0"/>
              <w:rPr>
                <w:sz w:val="22"/>
                <w:szCs w:val="22"/>
                <w:color w:val="auto"/>
              </w:rPr>
            </w:pPr>
          </w:p>
        </w:tc>
        <w:tc>
          <w:tcPr>
            <w:tcW w:w="1080" w:type="dxa"/>
            <w:vAlign w:val="bottom"/>
            <w:gridSpan w:val="2"/>
            <w:shd w:val="clear" w:color="auto" w:fill="CFF0FC"/>
          </w:tcPr>
          <w:p>
            <w:pPr>
              <w:jc w:val="right"/>
              <w:ind w:right="240"/>
              <w:spacing w:after="0"/>
              <w:rPr>
                <w:sz w:val="20"/>
                <w:szCs w:val="20"/>
                <w:color w:val="auto"/>
              </w:rPr>
            </w:pPr>
            <w:r>
              <w:rPr>
                <w:rFonts w:ascii="Arial" w:cs="Arial" w:eastAsia="Arial" w:hAnsi="Arial"/>
                <w:sz w:val="18"/>
                <w:szCs w:val="18"/>
                <w:color w:val="auto"/>
              </w:rPr>
              <w:t>100 %</w:t>
            </w: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496,567</w:t>
            </w:r>
          </w:p>
        </w:tc>
        <w:tc>
          <w:tcPr>
            <w:tcW w:w="1340" w:type="dxa"/>
            <w:vAlign w:val="bottom"/>
            <w:gridSpan w:val="3"/>
            <w:shd w:val="clear" w:color="auto" w:fill="CFF0FC"/>
          </w:tcPr>
          <w:p>
            <w:pPr>
              <w:jc w:val="right"/>
              <w:ind w:right="240"/>
              <w:spacing w:after="0"/>
              <w:rPr>
                <w:sz w:val="20"/>
                <w:szCs w:val="20"/>
                <w:color w:val="auto"/>
              </w:rPr>
            </w:pPr>
            <w:r>
              <w:rPr>
                <w:rFonts w:ascii="Arial" w:cs="Arial" w:eastAsia="Arial" w:hAnsi="Arial"/>
                <w:sz w:val="18"/>
                <w:szCs w:val="18"/>
                <w:color w:val="auto"/>
              </w:rPr>
              <w:t>100 %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1,655,394</w:t>
            </w:r>
          </w:p>
        </w:tc>
        <w:tc>
          <w:tcPr>
            <w:tcW w:w="1260" w:type="dxa"/>
            <w:vAlign w:val="bottom"/>
            <w:gridSpan w:val="3"/>
            <w:shd w:val="clear" w:color="auto" w:fill="CFF0FC"/>
          </w:tcPr>
          <w:p>
            <w:pPr>
              <w:jc w:val="right"/>
              <w:ind w:right="220"/>
              <w:spacing w:after="0"/>
              <w:rPr>
                <w:sz w:val="20"/>
                <w:szCs w:val="20"/>
                <w:color w:val="auto"/>
              </w:rPr>
            </w:pPr>
            <w:r>
              <w:rPr>
                <w:rFonts w:ascii="Arial" w:cs="Arial" w:eastAsia="Arial" w:hAnsi="Arial"/>
                <w:sz w:val="18"/>
                <w:szCs w:val="18"/>
                <w:color w:val="auto"/>
              </w:rPr>
              <w:t>100 %</w:t>
            </w: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1,681,652</w:t>
            </w:r>
          </w:p>
        </w:tc>
        <w:tc>
          <w:tcPr>
            <w:tcW w:w="1120" w:type="dxa"/>
            <w:vAlign w:val="bottom"/>
            <w:gridSpan w:val="3"/>
            <w:shd w:val="clear" w:color="auto" w:fill="CFF0FC"/>
          </w:tcPr>
          <w:p>
            <w:pPr>
              <w:jc w:val="right"/>
              <w:ind w:right="80"/>
              <w:spacing w:after="0"/>
              <w:rPr>
                <w:sz w:val="20"/>
                <w:szCs w:val="20"/>
                <w:color w:val="auto"/>
              </w:rPr>
            </w:pPr>
            <w:r>
              <w:rPr>
                <w:rFonts w:ascii="Arial" w:cs="Arial" w:eastAsia="Arial" w:hAnsi="Arial"/>
                <w:sz w:val="18"/>
                <w:szCs w:val="18"/>
                <w:color w:val="auto"/>
              </w:rPr>
              <w:t>100 %</w:t>
            </w:r>
          </w:p>
        </w:tc>
        <w:tc>
          <w:tcPr>
            <w:tcW w:w="0" w:type="dxa"/>
            <w:vAlign w:val="bottom"/>
          </w:tcPr>
          <w:p>
            <w:pPr>
              <w:spacing w:after="0"/>
              <w:rPr>
                <w:sz w:val="1"/>
                <w:szCs w:val="1"/>
                <w:color w:val="auto"/>
              </w:rPr>
            </w:pPr>
          </w:p>
        </w:tc>
      </w:tr>
      <w:tr>
        <w:trPr>
          <w:trHeight w:val="20"/>
        </w:trPr>
        <w:tc>
          <w:tcPr>
            <w:tcW w:w="182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60" w:type="dxa"/>
            <w:vAlign w:val="bottom"/>
            <w:tcBorders>
              <w:top w:val="single" w:sz="8" w:color="auto"/>
            </w:tcBorders>
            <w:shd w:val="clear" w:color="auto" w:fill="000000"/>
          </w:tcPr>
          <w:p>
            <w:pPr>
              <w:spacing w:after="0" w:line="20" w:lineRule="exact"/>
              <w:rPr>
                <w:sz w:val="1"/>
                <w:szCs w:val="1"/>
                <w:color w:val="auto"/>
              </w:rPr>
            </w:pPr>
          </w:p>
        </w:tc>
        <w:tc>
          <w:tcPr>
            <w:tcW w:w="840" w:type="dxa"/>
            <w:vAlign w:val="bottom"/>
            <w:tcBorders>
              <w:top w:val="single" w:sz="8" w:color="auto"/>
            </w:tcBorders>
            <w:shd w:val="clear" w:color="auto" w:fill="000000"/>
          </w:tcPr>
          <w:p>
            <w:pPr>
              <w:spacing w:after="0" w:line="20" w:lineRule="exact"/>
              <w:rPr>
                <w:sz w:val="1"/>
                <w:szCs w:val="1"/>
                <w:color w:val="auto"/>
              </w:rPr>
            </w:pPr>
          </w:p>
        </w:tc>
        <w:tc>
          <w:tcPr>
            <w:tcW w:w="260" w:type="dxa"/>
            <w:vAlign w:val="bottom"/>
            <w:tcBorders>
              <w:top w:val="single" w:sz="8" w:color="CFF0FC"/>
            </w:tcBorders>
            <w:shd w:val="clear" w:color="auto" w:fill="CFF0FC"/>
          </w:tcPr>
          <w:p>
            <w:pPr>
              <w:spacing w:after="0" w:line="20" w:lineRule="exact"/>
              <w:rPr>
                <w:sz w:val="1"/>
                <w:szCs w:val="1"/>
                <w:color w:val="auto"/>
              </w:rPr>
            </w:pPr>
          </w:p>
        </w:tc>
        <w:tc>
          <w:tcPr>
            <w:tcW w:w="68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640" w:type="dxa"/>
            <w:vAlign w:val="bottom"/>
            <w:tcBorders>
              <w:top w:val="single" w:sz="8" w:color="auto"/>
            </w:tcBorders>
            <w:shd w:val="clear" w:color="auto" w:fill="000000"/>
          </w:tcPr>
          <w:p>
            <w:pPr>
              <w:spacing w:after="0" w:line="20" w:lineRule="exact"/>
              <w:rPr>
                <w:sz w:val="1"/>
                <w:szCs w:val="1"/>
                <w:color w:val="auto"/>
              </w:rPr>
            </w:pPr>
          </w:p>
        </w:tc>
        <w:tc>
          <w:tcPr>
            <w:tcW w:w="38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860" w:type="dxa"/>
            <w:vAlign w:val="bottom"/>
            <w:tcBorders>
              <w:top w:val="single" w:sz="8" w:color="auto"/>
            </w:tcBorders>
            <w:shd w:val="clear" w:color="auto" w:fill="000000"/>
          </w:tcPr>
          <w:p>
            <w:pPr>
              <w:spacing w:after="0" w:line="20" w:lineRule="exact"/>
              <w:rPr>
                <w:sz w:val="1"/>
                <w:szCs w:val="1"/>
                <w:color w:val="auto"/>
              </w:rPr>
            </w:pPr>
          </w:p>
        </w:tc>
        <w:tc>
          <w:tcPr>
            <w:tcW w:w="220" w:type="dxa"/>
            <w:vAlign w:val="bottom"/>
            <w:tcBorders>
              <w:top w:val="single" w:sz="8" w:color="CFF0FC"/>
            </w:tcBorders>
            <w:shd w:val="clear" w:color="auto" w:fill="CFF0FC"/>
          </w:tcPr>
          <w:p>
            <w:pPr>
              <w:spacing w:after="0" w:line="20" w:lineRule="exact"/>
              <w:rPr>
                <w:sz w:val="1"/>
                <w:szCs w:val="1"/>
                <w:color w:val="auto"/>
              </w:rPr>
            </w:pPr>
          </w:p>
        </w:tc>
        <w:tc>
          <w:tcPr>
            <w:tcW w:w="660" w:type="dxa"/>
            <w:vAlign w:val="bottom"/>
            <w:tcBorders>
              <w:top w:val="single" w:sz="8" w:color="auto"/>
            </w:tcBorders>
            <w:shd w:val="clear" w:color="auto" w:fill="000000"/>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c>
          <w:tcPr>
            <w:tcW w:w="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1847850</wp:posOffset>
            </wp:positionH>
            <wp:positionV relativeFrom="paragraph">
              <wp:posOffset>-25400</wp:posOffset>
            </wp:positionV>
            <wp:extent cx="162560" cy="8255"/>
            <wp:wrapNone/>
            <wp:docPr id="319" name="Picture 3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19"/>
                    <pic:cNvPicPr>
                      <a:picLocks noChangeAspect="1" noChangeArrowheads="1"/>
                    </pic:cNvPicPr>
                  </pic:nvPicPr>
                  <pic:blipFill>
                    <a:blip r:embed="rId326">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1847850</wp:posOffset>
            </wp:positionH>
            <wp:positionV relativeFrom="paragraph">
              <wp:posOffset>-7620</wp:posOffset>
            </wp:positionV>
            <wp:extent cx="162560" cy="8255"/>
            <wp:wrapNone/>
            <wp:docPr id="320" name="Picture 32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0"/>
                    <pic:cNvPicPr>
                      <a:picLocks noChangeAspect="1" noChangeArrowheads="1"/>
                    </pic:cNvPicPr>
                  </pic:nvPicPr>
                  <pic:blipFill>
                    <a:blip r:embed="rId327">
                      <a:extLst>
                        <a:ext uri="{28A0092B-C50C-407E-A947-70E740481C1C}"/>
                      </a:extLst>
                    </a:blip>
                    <a:srcRect/>
                    <a:stretch>
                      <a:fillRect/>
                    </a:stretch>
                  </pic:blipFill>
                  <pic:spPr bwMode="auto">
                    <a:xfrm>
                      <a:off x="0" y="0"/>
                      <a:ext cx="162560"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-25400</wp:posOffset>
            </wp:positionV>
            <wp:extent cx="257175" cy="8255"/>
            <wp:wrapNone/>
            <wp:docPr id="321" name="Picture 32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1"/>
                    <pic:cNvPicPr>
                      <a:picLocks noChangeAspect="1" noChangeArrowheads="1"/>
                    </pic:cNvPicPr>
                  </pic:nvPicPr>
                  <pic:blipFill>
                    <a:blip r:embed="rId328">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2439670</wp:posOffset>
            </wp:positionH>
            <wp:positionV relativeFrom="paragraph">
              <wp:posOffset>-7620</wp:posOffset>
            </wp:positionV>
            <wp:extent cx="257175" cy="8255"/>
            <wp:wrapNone/>
            <wp:docPr id="322" name="Picture 32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2"/>
                    <pic:cNvPicPr>
                      <a:picLocks noChangeAspect="1" noChangeArrowheads="1"/>
                    </pic:cNvPicPr>
                  </pic:nvPicPr>
                  <pic:blipFill>
                    <a:blip r:embed="rId329">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-25400</wp:posOffset>
            </wp:positionV>
            <wp:extent cx="163195" cy="8255"/>
            <wp:wrapNone/>
            <wp:docPr id="323" name="Picture 3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3"/>
                    <pic:cNvPicPr>
                      <a:picLocks noChangeAspect="1" noChangeArrowheads="1"/>
                    </pic:cNvPicPr>
                  </pic:nvPicPr>
                  <pic:blipFill>
                    <a:blip r:embed="rId330">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3390900</wp:posOffset>
            </wp:positionH>
            <wp:positionV relativeFrom="paragraph">
              <wp:posOffset>-7620</wp:posOffset>
            </wp:positionV>
            <wp:extent cx="163195" cy="8255"/>
            <wp:wrapNone/>
            <wp:docPr id="324" name="Picture 3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4"/>
                    <pic:cNvPicPr>
                      <a:picLocks noChangeAspect="1" noChangeArrowheads="1"/>
                    </pic:cNvPicPr>
                  </pic:nvPicPr>
                  <pic:blipFill>
                    <a:blip r:embed="rId331">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-25400</wp:posOffset>
            </wp:positionV>
            <wp:extent cx="257175" cy="8255"/>
            <wp:wrapNone/>
            <wp:docPr id="325" name="Picture 3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5"/>
                    <pic:cNvPicPr>
                      <a:picLocks noChangeAspect="1" noChangeArrowheads="1"/>
                    </pic:cNvPicPr>
                  </pic:nvPicPr>
                  <pic:blipFill>
                    <a:blip r:embed="rId332">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3982720</wp:posOffset>
            </wp:positionH>
            <wp:positionV relativeFrom="paragraph">
              <wp:posOffset>-7620</wp:posOffset>
            </wp:positionV>
            <wp:extent cx="257175" cy="8255"/>
            <wp:wrapNone/>
            <wp:docPr id="326" name="Picture 3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6"/>
                    <pic:cNvPicPr>
                      <a:picLocks noChangeAspect="1" noChangeArrowheads="1"/>
                    </pic:cNvPicPr>
                  </pic:nvPicPr>
                  <pic:blipFill>
                    <a:blip r:embed="rId333">
                      <a:extLst>
                        <a:ext uri="{28A0092B-C50C-407E-A947-70E740481C1C}"/>
                      </a:extLst>
                    </a:blip>
                    <a:srcRect/>
                    <a:stretch>
                      <a:fillRect/>
                    </a:stretch>
                  </pic:blipFill>
                  <pic:spPr bwMode="auto">
                    <a:xfrm>
                      <a:off x="0" y="0"/>
                      <a:ext cx="257175"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-25400</wp:posOffset>
            </wp:positionV>
            <wp:extent cx="146050" cy="8255"/>
            <wp:wrapNone/>
            <wp:docPr id="327" name="Picture 3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7"/>
                    <pic:cNvPicPr>
                      <a:picLocks noChangeAspect="1" noChangeArrowheads="1"/>
                    </pic:cNvPicPr>
                  </pic:nvPicPr>
                  <pic:blipFill>
                    <a:blip r:embed="rId334">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4942840</wp:posOffset>
            </wp:positionH>
            <wp:positionV relativeFrom="paragraph">
              <wp:posOffset>-7620</wp:posOffset>
            </wp:positionV>
            <wp:extent cx="146050" cy="8255"/>
            <wp:wrapNone/>
            <wp:docPr id="328" name="Picture 3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8"/>
                    <pic:cNvPicPr>
                      <a:picLocks noChangeAspect="1" noChangeArrowheads="1"/>
                    </pic:cNvPicPr>
                  </pic:nvPicPr>
                  <pic:blipFill>
                    <a:blip r:embed="rId335">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-25400</wp:posOffset>
            </wp:positionV>
            <wp:extent cx="240030" cy="8255"/>
            <wp:wrapNone/>
            <wp:docPr id="329" name="Picture 3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29"/>
                    <pic:cNvPicPr>
                      <a:picLocks noChangeAspect="1" noChangeArrowheads="1"/>
                    </pic:cNvPicPr>
                  </pic:nvPicPr>
                  <pic:blipFill>
                    <a:blip r:embed="rId336">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5499735</wp:posOffset>
            </wp:positionH>
            <wp:positionV relativeFrom="paragraph">
              <wp:posOffset>-7620</wp:posOffset>
            </wp:positionV>
            <wp:extent cx="240030" cy="8255"/>
            <wp:wrapNone/>
            <wp:docPr id="330" name="Picture 3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0"/>
                    <pic:cNvPicPr>
                      <a:picLocks noChangeAspect="1" noChangeArrowheads="1"/>
                    </pic:cNvPicPr>
                  </pic:nvPicPr>
                  <pic:blipFill>
                    <a:blip r:embed="rId337">
                      <a:extLst>
                        <a:ext uri="{28A0092B-C50C-407E-A947-70E740481C1C}"/>
                      </a:extLst>
                    </a:blip>
                    <a:srcRect/>
                    <a:stretch>
                      <a:fillRect/>
                    </a:stretch>
                  </pic:blipFill>
                  <pic:spPr bwMode="auto">
                    <a:xfrm>
                      <a:off x="0" y="0"/>
                      <a:ext cx="24003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-25400</wp:posOffset>
            </wp:positionV>
            <wp:extent cx="146050" cy="8255"/>
            <wp:wrapNone/>
            <wp:docPr id="331" name="Picture 3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1"/>
                    <pic:cNvPicPr>
                      <a:picLocks noChangeAspect="1" noChangeArrowheads="1"/>
                    </pic:cNvPicPr>
                  </pic:nvPicPr>
                  <pic:blipFill>
                    <a:blip r:embed="rId338">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6425565</wp:posOffset>
            </wp:positionH>
            <wp:positionV relativeFrom="paragraph">
              <wp:posOffset>-7620</wp:posOffset>
            </wp:positionV>
            <wp:extent cx="146050" cy="8255"/>
            <wp:wrapNone/>
            <wp:docPr id="332" name="Picture 3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2"/>
                    <pic:cNvPicPr>
                      <a:picLocks noChangeAspect="1" noChangeArrowheads="1"/>
                    </pic:cNvPicPr>
                  </pic:nvPicPr>
                  <pic:blipFill>
                    <a:blip r:embed="rId339">
                      <a:extLst>
                        <a:ext uri="{28A0092B-C50C-407E-A947-70E740481C1C}"/>
                      </a:extLst>
                    </a:blip>
                    <a:srcRect/>
                    <a:stretch>
                      <a:fillRect/>
                    </a:stretch>
                  </pic:blipFill>
                  <pic:spPr bwMode="auto">
                    <a:xfrm>
                      <a:off x="0" y="0"/>
                      <a:ext cx="146050"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-25400</wp:posOffset>
            </wp:positionV>
            <wp:extent cx="154305" cy="8255"/>
            <wp:wrapNone/>
            <wp:docPr id="333" name="Picture 33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3"/>
                    <pic:cNvPicPr>
                      <a:picLocks noChangeAspect="1" noChangeArrowheads="1"/>
                    </pic:cNvPicPr>
                  </pic:nvPicPr>
                  <pic:blipFill>
                    <a:blip r:embed="rId340">
                      <a:extLst>
                        <a:ext uri="{28A0092B-C50C-407E-A947-70E740481C1C}"/>
                      </a:extLst>
                    </a:blip>
                    <a:srcRect/>
                    <a:stretch>
                      <a:fillRect/>
                    </a:stretch>
                  </pic:blipFill>
                  <pic:spPr bwMode="auto">
                    <a:xfrm>
                      <a:off x="0" y="0"/>
                      <a:ext cx="154305" cy="8255"/>
                    </a:xfrm>
                    <a:prstGeom prst="rect">
                      <a:avLst/>
                    </a:prstGeom>
                    <a:noFill/>
                  </pic:spPr>
                </pic:pic>
              </a:graphicData>
            </a:graphic>
          </wp:anchor>
        </w:drawing>
        <w:drawing>
          <wp:anchor simplePos="0" relativeHeight="251657728" behindDoc="1" locked="0" layoutInCell="0" allowOverlap="1">
            <wp:simplePos x="0" y="0"/>
            <wp:positionH relativeFrom="column">
              <wp:posOffset>6983095</wp:posOffset>
            </wp:positionH>
            <wp:positionV relativeFrom="paragraph">
              <wp:posOffset>-7620</wp:posOffset>
            </wp:positionV>
            <wp:extent cx="154305" cy="8255"/>
            <wp:wrapNone/>
            <wp:docPr id="334" name="Picture 3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4"/>
                    <pic:cNvPicPr>
                      <a:picLocks noChangeAspect="1" noChangeArrowheads="1"/>
                    </pic:cNvPicPr>
                  </pic:nvPicPr>
                  <pic:blipFill>
                    <a:blip r:embed="rId341">
                      <a:extLst>
                        <a:ext uri="{28A0092B-C50C-407E-A947-70E740481C1C}"/>
                      </a:extLst>
                    </a:blip>
                    <a:srcRect/>
                    <a:stretch>
                      <a:fillRect/>
                    </a:stretch>
                  </pic:blipFill>
                  <pic:spPr bwMode="auto">
                    <a:xfrm>
                      <a:off x="0" y="0"/>
                      <a:ext cx="154305" cy="8255"/>
                    </a:xfrm>
                    <a:prstGeom prst="rect">
                      <a:avLst/>
                    </a:prstGeom>
                    <a:noFill/>
                  </pic:spPr>
                </pic:pic>
              </a:graphicData>
            </a:graphic>
          </wp:anchor>
        </w:drawing>
      </w:r>
    </w:p>
    <w:p>
      <w:pPr>
        <w:spacing w:after="0" w:line="20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Marine Transportation</w:t>
      </w:r>
    </w:p>
    <w:p>
      <w:pPr>
        <w:spacing w:after="0" w:line="25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sets forth the Company’s marine transportation segment’s revenues, costs and expenses, operating income, and operating margin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2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2720" w:type="dxa"/>
            <w:vAlign w:val="bottom"/>
            <w:tcBorders>
              <w:bottom w:val="single" w:sz="8" w:color="auto"/>
            </w:tcBorders>
            <w:gridSpan w:val="6"/>
          </w:tcPr>
          <w:p>
            <w:pPr>
              <w:ind w:left="500"/>
              <w:spacing w:after="0"/>
              <w:rPr>
                <w:sz w:val="20"/>
                <w:szCs w:val="20"/>
                <w:color w:val="auto"/>
              </w:rPr>
            </w:pPr>
            <w:r>
              <w:rPr>
                <w:rFonts w:ascii="Arial" w:cs="Arial" w:eastAsia="Arial" w:hAnsi="Arial"/>
                <w:sz w:val="14"/>
                <w:szCs w:val="14"/>
                <w:b w:val="1"/>
                <w:bCs w:val="1"/>
                <w:color w:val="auto"/>
                <w:w w:val="92"/>
              </w:rPr>
              <w:t>Three Months Ended September 30,</w:t>
            </w:r>
          </w:p>
        </w:tc>
        <w:tc>
          <w:tcPr>
            <w:tcW w:w="740" w:type="dxa"/>
            <w:vAlign w:val="bottom"/>
            <w:tcBorders>
              <w:bottom w:val="single" w:sz="8" w:color="auto"/>
            </w:tcBorders>
          </w:tcPr>
          <w:p>
            <w:pPr>
              <w:spacing w:after="0"/>
              <w:rPr>
                <w:sz w:val="16"/>
                <w:szCs w:val="16"/>
                <w:color w:val="auto"/>
              </w:rPr>
            </w:pPr>
          </w:p>
        </w:tc>
        <w:tc>
          <w:tcPr>
            <w:tcW w:w="48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2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w w:val="92"/>
              </w:rPr>
              <w:t>Nine Months Ended September 30,</w:t>
            </w:r>
          </w:p>
        </w:tc>
        <w:tc>
          <w:tcPr>
            <w:tcW w:w="720" w:type="dxa"/>
            <w:vAlign w:val="bottom"/>
            <w:tcBorders>
              <w:bottom w:val="single" w:sz="8" w:color="auto"/>
            </w:tcBorders>
          </w:tcPr>
          <w:p>
            <w:pPr>
              <w:spacing w:after="0"/>
              <w:rPr>
                <w:sz w:val="16"/>
                <w:szCs w:val="16"/>
                <w:color w:val="auto"/>
              </w:rPr>
            </w:pPr>
          </w:p>
        </w:tc>
        <w:tc>
          <w:tcPr>
            <w:tcW w:w="340" w:type="dxa"/>
            <w:vAlign w:val="bottom"/>
          </w:tcPr>
          <w:p>
            <w:pPr>
              <w:spacing w:after="0"/>
              <w:rPr>
                <w:sz w:val="16"/>
                <w:szCs w:val="16"/>
                <w:color w:val="auto"/>
              </w:rPr>
            </w:pPr>
          </w:p>
        </w:tc>
      </w:tr>
      <w:tr>
        <w:trPr>
          <w:trHeight w:val="196"/>
        </w:trPr>
        <w:tc>
          <w:tcPr>
            <w:tcW w:w="312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4"/>
              <w:spacing w:after="0"/>
              <w:rPr>
                <w:sz w:val="20"/>
                <w:szCs w:val="20"/>
                <w:color w:val="auto"/>
              </w:rPr>
            </w:pPr>
            <w:r>
              <w:rPr>
                <w:rFonts w:ascii="Arial" w:cs="Arial" w:eastAsia="Arial" w:hAnsi="Arial"/>
                <w:sz w:val="14"/>
                <w:szCs w:val="14"/>
                <w:b w:val="1"/>
                <w:bCs w:val="1"/>
                <w:color w:val="auto"/>
              </w:rPr>
              <w:t>2021</w:t>
            </w:r>
          </w:p>
        </w:tc>
        <w:tc>
          <w:tcPr>
            <w:tcW w:w="3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31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6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48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00" w:type="dxa"/>
            <w:vAlign w:val="bottom"/>
            <w:tcBorders>
              <w:bottom w:val="single" w:sz="8" w:color="auto"/>
            </w:tcBorders>
          </w:tcPr>
          <w:p>
            <w:pPr>
              <w:spacing w:after="0"/>
              <w:rPr>
                <w:sz w:val="17"/>
                <w:szCs w:val="17"/>
                <w:color w:val="auto"/>
              </w:rPr>
            </w:pPr>
          </w:p>
        </w:tc>
        <w:tc>
          <w:tcPr>
            <w:tcW w:w="840" w:type="dxa"/>
            <w:vAlign w:val="bottom"/>
            <w:tcBorders>
              <w:bottom w:val="single" w:sz="8" w:color="auto"/>
            </w:tcBorders>
          </w:tcPr>
          <w:p>
            <w:pPr>
              <w:jc w:val="right"/>
              <w:ind w:right="292"/>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40" w:type="dxa"/>
            <w:vAlign w:val="bottom"/>
            <w:tcBorders>
              <w:bottom w:val="single" w:sz="8" w:color="auto"/>
            </w:tcBorders>
          </w:tcPr>
          <w:p>
            <w:pPr>
              <w:spacing w:after="0"/>
              <w:rPr>
                <w:sz w:val="17"/>
                <w:szCs w:val="17"/>
                <w:color w:val="auto"/>
              </w:rPr>
            </w:pPr>
          </w:p>
        </w:tc>
        <w:tc>
          <w:tcPr>
            <w:tcW w:w="720" w:type="dxa"/>
            <w:vAlign w:val="bottom"/>
            <w:tcBorders>
              <w:bottom w:val="single" w:sz="8" w:color="auto"/>
            </w:tcBorders>
          </w:tcPr>
          <w:p>
            <w:pPr>
              <w:jc w:val="right"/>
              <w:spacing w:after="0"/>
              <w:rPr>
                <w:sz w:val="20"/>
                <w:szCs w:val="20"/>
                <w:color w:val="auto"/>
              </w:rPr>
            </w:pPr>
            <w:r>
              <w:rPr>
                <w:rFonts w:ascii="Arial" w:cs="Arial" w:eastAsia="Arial" w:hAnsi="Arial"/>
                <w:sz w:val="14"/>
                <w:szCs w:val="14"/>
                <w:b w:val="1"/>
                <w:bCs w:val="1"/>
                <w:color w:val="auto"/>
                <w:w w:val="94"/>
              </w:rPr>
              <w:t>% Change</w:t>
            </w:r>
          </w:p>
        </w:tc>
        <w:tc>
          <w:tcPr>
            <w:tcW w:w="340" w:type="dxa"/>
            <w:vAlign w:val="bottom"/>
          </w:tcPr>
          <w:p>
            <w:pPr>
              <w:spacing w:after="0"/>
              <w:rPr>
                <w:sz w:val="17"/>
                <w:szCs w:val="17"/>
                <w:color w:val="auto"/>
              </w:rPr>
            </w:pPr>
          </w:p>
        </w:tc>
      </w:tr>
      <w:tr>
        <w:trPr>
          <w:trHeight w:val="256"/>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Marine transportation revenues</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338,514</w:t>
            </w:r>
          </w:p>
        </w:tc>
        <w:tc>
          <w:tcPr>
            <w:tcW w:w="3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320,602</w:t>
            </w:r>
          </w:p>
        </w:tc>
        <w:tc>
          <w:tcPr>
            <w:tcW w:w="3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gridSpan w:val="2"/>
            <w:shd w:val="clear" w:color="auto" w:fill="CFF0FC"/>
          </w:tcPr>
          <w:p>
            <w:pPr>
              <w:jc w:val="right"/>
              <w:ind w:right="320"/>
              <w:spacing w:after="0"/>
              <w:rPr>
                <w:sz w:val="20"/>
                <w:szCs w:val="20"/>
                <w:color w:val="auto"/>
              </w:rPr>
            </w:pPr>
            <w:r>
              <w:rPr>
                <w:rFonts w:ascii="Arial" w:cs="Arial" w:eastAsia="Arial" w:hAnsi="Arial"/>
                <w:sz w:val="18"/>
                <w:szCs w:val="18"/>
                <w:color w:val="auto"/>
              </w:rPr>
              <w:t>6 %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972,352</w:t>
            </w:r>
          </w:p>
        </w:tc>
        <w:tc>
          <w:tcPr>
            <w:tcW w:w="3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1,104,846</w:t>
            </w:r>
          </w:p>
        </w:tc>
        <w:tc>
          <w:tcPr>
            <w:tcW w:w="3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(12 )%</w:t>
            </w:r>
          </w:p>
        </w:tc>
      </w:tr>
      <w:tr>
        <w:trPr>
          <w:trHeight w:val="250"/>
        </w:trPr>
        <w:tc>
          <w:tcPr>
            <w:tcW w:w="312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spacing w:after="0"/>
              <w:rPr>
                <w:sz w:val="21"/>
                <w:szCs w:val="21"/>
                <w:color w:val="auto"/>
              </w:rPr>
            </w:pP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720" w:type="dxa"/>
            <w:vAlign w:val="bottom"/>
          </w:tcPr>
          <w:p>
            <w:pPr>
              <w:spacing w:after="0"/>
              <w:rPr>
                <w:sz w:val="21"/>
                <w:szCs w:val="21"/>
                <w:color w:val="auto"/>
              </w:rPr>
            </w:pPr>
          </w:p>
        </w:tc>
        <w:tc>
          <w:tcPr>
            <w:tcW w:w="340" w:type="dxa"/>
            <w:vAlign w:val="bottom"/>
          </w:tcPr>
          <w:p>
            <w:pPr>
              <w:spacing w:after="0"/>
              <w:rPr>
                <w:sz w:val="21"/>
                <w:szCs w:val="21"/>
                <w:color w:val="auto"/>
              </w:rPr>
            </w:pPr>
          </w:p>
        </w:tc>
      </w:tr>
      <w:tr>
        <w:trPr>
          <w:trHeight w:val="257"/>
        </w:trPr>
        <w:tc>
          <w:tcPr>
            <w:tcW w:w="312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spacing w:after="0"/>
              <w:rPr>
                <w:sz w:val="22"/>
                <w:szCs w:val="22"/>
                <w:color w:val="auto"/>
              </w:rPr>
            </w:pPr>
          </w:p>
        </w:tc>
        <w:tc>
          <w:tcPr>
            <w:tcW w:w="3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720" w:type="dxa"/>
            <w:vAlign w:val="bottom"/>
            <w:shd w:val="clear" w:color="auto" w:fill="CFF0FC"/>
          </w:tcPr>
          <w:p>
            <w:pPr>
              <w:spacing w:after="0"/>
              <w:rPr>
                <w:sz w:val="22"/>
                <w:szCs w:val="22"/>
                <w:color w:val="auto"/>
              </w:rPr>
            </w:pPr>
          </w:p>
        </w:tc>
        <w:tc>
          <w:tcPr>
            <w:tcW w:w="340" w:type="dxa"/>
            <w:vAlign w:val="bottom"/>
            <w:shd w:val="clear" w:color="auto" w:fill="CFF0FC"/>
          </w:tcPr>
          <w:p>
            <w:pPr>
              <w:spacing w:after="0"/>
              <w:rPr>
                <w:sz w:val="22"/>
                <w:szCs w:val="22"/>
                <w:color w:val="auto"/>
              </w:rPr>
            </w:pPr>
          </w:p>
        </w:tc>
      </w:tr>
      <w:tr>
        <w:trPr>
          <w:trHeight w:val="250"/>
        </w:trPr>
        <w:tc>
          <w:tcPr>
            <w:tcW w:w="3120" w:type="dxa"/>
            <w:vAlign w:val="bottom"/>
          </w:tcPr>
          <w:p>
            <w:pPr>
              <w:ind w:left="200"/>
              <w:spacing w:after="0"/>
              <w:rPr>
                <w:sz w:val="20"/>
                <w:szCs w:val="20"/>
                <w:color w:val="auto"/>
              </w:rPr>
            </w:pPr>
            <w:r>
              <w:rPr>
                <w:rFonts w:ascii="Arial" w:cs="Arial" w:eastAsia="Arial" w:hAnsi="Arial"/>
                <w:sz w:val="18"/>
                <w:szCs w:val="18"/>
                <w:color w:val="auto"/>
                <w:w w:val="93"/>
              </w:rPr>
              <w:t>Costs of sales and operating expenses</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237,233</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207,038</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681,317</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717,923</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(5 )</w:t>
            </w:r>
          </w:p>
        </w:tc>
      </w:tr>
      <w:tr>
        <w:trPr>
          <w:trHeight w:val="263"/>
        </w:trPr>
        <w:tc>
          <w:tcPr>
            <w:tcW w:w="31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29,464</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26,554</w:t>
            </w:r>
          </w:p>
        </w:tc>
        <w:tc>
          <w:tcPr>
            <w:tcW w:w="380" w:type="dxa"/>
            <w:vAlign w:val="bottom"/>
            <w:shd w:val="clear" w:color="auto" w:fill="CFF0FC"/>
          </w:tcPr>
          <w:p>
            <w:pPr>
              <w:spacing w:after="0"/>
              <w:rPr>
                <w:sz w:val="22"/>
                <w:szCs w:val="22"/>
                <w:color w:val="auto"/>
              </w:rPr>
            </w:pPr>
          </w:p>
        </w:tc>
        <w:tc>
          <w:tcPr>
            <w:tcW w:w="6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w:t>
            </w:r>
          </w:p>
        </w:tc>
        <w:tc>
          <w:tcPr>
            <w:tcW w:w="4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88,314</w:t>
            </w:r>
          </w:p>
        </w:tc>
        <w:tc>
          <w:tcPr>
            <w:tcW w:w="3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8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85,294</w:t>
            </w:r>
          </w:p>
        </w:tc>
        <w:tc>
          <w:tcPr>
            <w:tcW w:w="380" w:type="dxa"/>
            <w:vAlign w:val="bottom"/>
            <w:shd w:val="clear" w:color="auto" w:fill="CFF0FC"/>
          </w:tcPr>
          <w:p>
            <w:pPr>
              <w:spacing w:after="0"/>
              <w:rPr>
                <w:sz w:val="22"/>
                <w:szCs w:val="22"/>
                <w:color w:val="auto"/>
              </w:rPr>
            </w:pPr>
          </w:p>
        </w:tc>
        <w:tc>
          <w:tcPr>
            <w:tcW w:w="40" w:type="dxa"/>
            <w:vAlign w:val="bottom"/>
            <w:shd w:val="clear" w:color="auto" w:fill="CFF0FC"/>
          </w:tcPr>
          <w:p>
            <w:pPr>
              <w:spacing w:after="0"/>
              <w:rPr>
                <w:sz w:val="22"/>
                <w:szCs w:val="22"/>
                <w:color w:val="auto"/>
              </w:rPr>
            </w:pPr>
          </w:p>
        </w:tc>
        <w:tc>
          <w:tcPr>
            <w:tcW w:w="7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w:t>
            </w:r>
          </w:p>
        </w:tc>
        <w:tc>
          <w:tcPr>
            <w:tcW w:w="340" w:type="dxa"/>
            <w:vAlign w:val="bottom"/>
            <w:shd w:val="clear" w:color="auto" w:fill="CFF0FC"/>
          </w:tcPr>
          <w:p>
            <w:pPr>
              <w:spacing w:after="0"/>
              <w:rPr>
                <w:sz w:val="22"/>
                <w:szCs w:val="22"/>
                <w:color w:val="auto"/>
              </w:rPr>
            </w:pPr>
          </w:p>
        </w:tc>
      </w:tr>
      <w:tr>
        <w:trPr>
          <w:trHeight w:val="250"/>
        </w:trPr>
        <w:tc>
          <w:tcPr>
            <w:tcW w:w="3120" w:type="dxa"/>
            <w:vAlign w:val="bottom"/>
          </w:tcPr>
          <w:p>
            <w:pPr>
              <w:ind w:left="200"/>
              <w:spacing w:after="0"/>
              <w:rPr>
                <w:sz w:val="20"/>
                <w:szCs w:val="20"/>
                <w:color w:val="auto"/>
              </w:rPr>
            </w:pPr>
            <w:r>
              <w:rPr>
                <w:rFonts w:ascii="Arial" w:cs="Arial" w:eastAsia="Arial" w:hAnsi="Arial"/>
                <w:sz w:val="18"/>
                <w:szCs w:val="18"/>
                <w:color w:val="auto"/>
              </w:rPr>
              <w:t>Taxes, other than on income</w:t>
            </w: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8,422</w:t>
            </w:r>
          </w:p>
        </w:tc>
        <w:tc>
          <w:tcPr>
            <w:tcW w:w="380" w:type="dxa"/>
            <w:vAlign w:val="bottom"/>
          </w:tcPr>
          <w:p>
            <w:pPr>
              <w:spacing w:after="0"/>
              <w:rPr>
                <w:sz w:val="21"/>
                <w:szCs w:val="21"/>
                <w:color w:val="auto"/>
              </w:rPr>
            </w:pPr>
          </w:p>
        </w:tc>
        <w:tc>
          <w:tcPr>
            <w:tcW w:w="26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7,307</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15</w:t>
            </w:r>
          </w:p>
        </w:tc>
        <w:tc>
          <w:tcPr>
            <w:tcW w:w="48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23,828</w:t>
            </w:r>
          </w:p>
        </w:tc>
        <w:tc>
          <w:tcPr>
            <w:tcW w:w="3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840" w:type="dxa"/>
            <w:vAlign w:val="bottom"/>
          </w:tcPr>
          <w:p>
            <w:pPr>
              <w:jc w:val="right"/>
              <w:spacing w:after="0"/>
              <w:rPr>
                <w:sz w:val="20"/>
                <w:szCs w:val="20"/>
                <w:color w:val="auto"/>
              </w:rPr>
            </w:pPr>
            <w:r>
              <w:rPr>
                <w:rFonts w:ascii="Arial" w:cs="Arial" w:eastAsia="Arial" w:hAnsi="Arial"/>
                <w:sz w:val="18"/>
                <w:szCs w:val="18"/>
                <w:color w:val="auto"/>
              </w:rPr>
              <w:t>27,852</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(14 )</w:t>
            </w:r>
          </w:p>
        </w:tc>
      </w:tr>
      <w:tr>
        <w:trPr>
          <w:trHeight w:val="263"/>
        </w:trPr>
        <w:tc>
          <w:tcPr>
            <w:tcW w:w="31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6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46,480</w:t>
            </w:r>
          </w:p>
        </w:tc>
        <w:tc>
          <w:tcPr>
            <w:tcW w:w="380" w:type="dxa"/>
            <w:vAlign w:val="bottom"/>
            <w:tcBorders>
              <w:bottom w:val="single" w:sz="8" w:color="CFF0FC"/>
            </w:tcBorders>
            <w:shd w:val="clear" w:color="auto" w:fill="CFF0FC"/>
          </w:tcPr>
          <w:p>
            <w:pPr>
              <w:spacing w:after="0"/>
              <w:rPr>
                <w:sz w:val="22"/>
                <w:szCs w:val="22"/>
                <w:color w:val="auto"/>
              </w:rPr>
            </w:pPr>
          </w:p>
        </w:tc>
        <w:tc>
          <w:tcPr>
            <w:tcW w:w="26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47,312</w:t>
            </w:r>
          </w:p>
        </w:tc>
        <w:tc>
          <w:tcPr>
            <w:tcW w:w="380" w:type="dxa"/>
            <w:vAlign w:val="bottom"/>
            <w:tcBorders>
              <w:bottom w:val="single" w:sz="8" w:color="CFF0FC"/>
            </w:tcBorders>
            <w:shd w:val="clear" w:color="auto" w:fill="CFF0FC"/>
          </w:tcPr>
          <w:p>
            <w:pPr>
              <w:spacing w:after="0"/>
              <w:rPr>
                <w:sz w:val="22"/>
                <w:szCs w:val="22"/>
                <w:color w:val="auto"/>
              </w:rPr>
            </w:pPr>
          </w:p>
        </w:tc>
        <w:tc>
          <w:tcPr>
            <w:tcW w:w="60" w:type="dxa"/>
            <w:vAlign w:val="bottom"/>
            <w:tcBorders>
              <w:bottom w:val="single" w:sz="8" w:color="CFF0FC"/>
            </w:tcBorders>
            <w:shd w:val="clear" w:color="auto" w:fill="CFF0FC"/>
          </w:tcPr>
          <w:p>
            <w:pPr>
              <w:spacing w:after="0"/>
              <w:rPr>
                <w:sz w:val="22"/>
                <w:szCs w:val="22"/>
                <w:color w:val="auto"/>
              </w:rPr>
            </w:pPr>
          </w:p>
        </w:tc>
        <w:tc>
          <w:tcPr>
            <w:tcW w:w="1220" w:type="dxa"/>
            <w:vAlign w:val="bottom"/>
            <w:tcBorders>
              <w:bottom w:val="single" w:sz="8" w:color="CFF0FC"/>
            </w:tcBorders>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(2 )</w:t>
            </w:r>
          </w:p>
        </w:tc>
        <w:tc>
          <w:tcPr>
            <w:tcW w:w="2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141,560</w:t>
            </w:r>
          </w:p>
        </w:tc>
        <w:tc>
          <w:tcPr>
            <w:tcW w:w="3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139,295</w:t>
            </w:r>
          </w:p>
        </w:tc>
        <w:tc>
          <w:tcPr>
            <w:tcW w:w="380" w:type="dxa"/>
            <w:vAlign w:val="bottom"/>
            <w:tcBorders>
              <w:bottom w:val="single" w:sz="8" w:color="CFF0FC"/>
            </w:tcBorders>
            <w:shd w:val="clear" w:color="auto" w:fill="CFF0FC"/>
          </w:tcPr>
          <w:p>
            <w:pPr>
              <w:spacing w:after="0"/>
              <w:rPr>
                <w:sz w:val="22"/>
                <w:szCs w:val="22"/>
                <w:color w:val="auto"/>
              </w:rPr>
            </w:pPr>
          </w:p>
        </w:tc>
        <w:tc>
          <w:tcPr>
            <w:tcW w:w="40" w:type="dxa"/>
            <w:vAlign w:val="bottom"/>
            <w:tcBorders>
              <w:bottom w:val="single" w:sz="8" w:color="CFF0FC"/>
            </w:tcBorders>
            <w:shd w:val="clear" w:color="auto" w:fill="CFF0FC"/>
          </w:tcPr>
          <w:p>
            <w:pPr>
              <w:spacing w:after="0"/>
              <w:rPr>
                <w:sz w:val="22"/>
                <w:szCs w:val="22"/>
                <w:color w:val="auto"/>
              </w:rPr>
            </w:pPr>
          </w:p>
        </w:tc>
        <w:tc>
          <w:tcPr>
            <w:tcW w:w="720" w:type="dxa"/>
            <w:vAlign w:val="bottom"/>
            <w:tcBorders>
              <w:bottom w:val="single" w:sz="8" w:color="CFF0FC"/>
            </w:tcBorders>
            <w:shd w:val="clear" w:color="auto" w:fill="CFF0FC"/>
          </w:tcPr>
          <w:p>
            <w:pPr>
              <w:jc w:val="right"/>
              <w:spacing w:after="0"/>
              <w:rPr>
                <w:sz w:val="20"/>
                <w:szCs w:val="20"/>
                <w:color w:val="auto"/>
              </w:rPr>
            </w:pPr>
            <w:r>
              <w:rPr>
                <w:rFonts w:ascii="Arial" w:cs="Arial" w:eastAsia="Arial" w:hAnsi="Arial"/>
                <w:sz w:val="18"/>
                <w:szCs w:val="18"/>
                <w:color w:val="auto"/>
              </w:rPr>
              <w:t>2</w:t>
            </w:r>
          </w:p>
        </w:tc>
        <w:tc>
          <w:tcPr>
            <w:tcW w:w="340" w:type="dxa"/>
            <w:vAlign w:val="bottom"/>
            <w:tcBorders>
              <w:bottom w:val="single" w:sz="8" w:color="CFF0FC"/>
            </w:tcBorders>
            <w:shd w:val="clear" w:color="auto" w:fill="CFF0FC"/>
          </w:tcPr>
          <w:p>
            <w:pPr>
              <w:spacing w:after="0"/>
              <w:rPr>
                <w:sz w:val="22"/>
                <w:szCs w:val="22"/>
                <w:color w:val="auto"/>
              </w:rPr>
            </w:pPr>
          </w:p>
        </w:tc>
      </w:tr>
      <w:tr>
        <w:trPr>
          <w:trHeight w:val="250"/>
        </w:trPr>
        <w:tc>
          <w:tcPr>
            <w:tcW w:w="312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321,599</w:t>
            </w:r>
          </w:p>
        </w:tc>
        <w:tc>
          <w:tcPr>
            <w:tcW w:w="380" w:type="dxa"/>
            <w:vAlign w:val="bottom"/>
          </w:tcPr>
          <w:p>
            <w:pPr>
              <w:spacing w:after="0"/>
              <w:rPr>
                <w:sz w:val="21"/>
                <w:szCs w:val="21"/>
                <w:color w:val="auto"/>
              </w:rPr>
            </w:pPr>
          </w:p>
        </w:tc>
        <w:tc>
          <w:tcPr>
            <w:tcW w:w="26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288,211</w:t>
            </w:r>
          </w:p>
        </w:tc>
        <w:tc>
          <w:tcPr>
            <w:tcW w:w="380" w:type="dxa"/>
            <w:vAlign w:val="bottom"/>
          </w:tcPr>
          <w:p>
            <w:pPr>
              <w:spacing w:after="0"/>
              <w:rPr>
                <w:sz w:val="21"/>
                <w:szCs w:val="21"/>
                <w:color w:val="auto"/>
              </w:rPr>
            </w:pPr>
          </w:p>
        </w:tc>
        <w:tc>
          <w:tcPr>
            <w:tcW w:w="6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12</w:t>
            </w:r>
          </w:p>
        </w:tc>
        <w:tc>
          <w:tcPr>
            <w:tcW w:w="48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935,019</w:t>
            </w:r>
          </w:p>
        </w:tc>
        <w:tc>
          <w:tcPr>
            <w:tcW w:w="360" w:type="dxa"/>
            <w:vAlign w:val="bottom"/>
          </w:tcPr>
          <w:p>
            <w:pPr>
              <w:spacing w:after="0"/>
              <w:rPr>
                <w:sz w:val="21"/>
                <w:szCs w:val="21"/>
                <w:color w:val="auto"/>
              </w:rPr>
            </w:pPr>
          </w:p>
        </w:tc>
        <w:tc>
          <w:tcPr>
            <w:tcW w:w="200" w:type="dxa"/>
            <w:vAlign w:val="bottom"/>
            <w:tcBorders>
              <w:bottom w:val="single" w:sz="8" w:color="auto"/>
            </w:tcBorders>
          </w:tcPr>
          <w:p>
            <w:pPr>
              <w:spacing w:after="0"/>
              <w:rPr>
                <w:sz w:val="21"/>
                <w:szCs w:val="21"/>
                <w:color w:val="auto"/>
              </w:rPr>
            </w:pPr>
          </w:p>
        </w:tc>
        <w:tc>
          <w:tcPr>
            <w:tcW w:w="8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970,364</w:t>
            </w:r>
          </w:p>
        </w:tc>
        <w:tc>
          <w:tcPr>
            <w:tcW w:w="380" w:type="dxa"/>
            <w:vAlign w:val="bottom"/>
          </w:tcPr>
          <w:p>
            <w:pPr>
              <w:spacing w:after="0"/>
              <w:rPr>
                <w:sz w:val="21"/>
                <w:szCs w:val="21"/>
                <w:color w:val="auto"/>
              </w:rPr>
            </w:pPr>
          </w:p>
        </w:tc>
        <w:tc>
          <w:tcPr>
            <w:tcW w:w="40" w:type="dxa"/>
            <w:vAlign w:val="bottom"/>
          </w:tcPr>
          <w:p>
            <w:pPr>
              <w:spacing w:after="0"/>
              <w:rPr>
                <w:sz w:val="21"/>
                <w:szCs w:val="21"/>
                <w:color w:val="auto"/>
              </w:rPr>
            </w:pPr>
          </w:p>
        </w:tc>
        <w:tc>
          <w:tcPr>
            <w:tcW w:w="1060" w:type="dxa"/>
            <w:vAlign w:val="bottom"/>
            <w:gridSpan w:val="2"/>
          </w:tcPr>
          <w:p>
            <w:pPr>
              <w:jc w:val="right"/>
              <w:ind w:right="260"/>
              <w:spacing w:after="0"/>
              <w:rPr>
                <w:sz w:val="20"/>
                <w:szCs w:val="20"/>
                <w:color w:val="auto"/>
              </w:rPr>
            </w:pPr>
            <w:r>
              <w:rPr>
                <w:rFonts w:ascii="Arial" w:cs="Arial" w:eastAsia="Arial" w:hAnsi="Arial"/>
                <w:sz w:val="18"/>
                <w:szCs w:val="18"/>
                <w:color w:val="auto"/>
              </w:rPr>
              <w:t>(4 )</w:t>
            </w:r>
          </w:p>
        </w:tc>
      </w:tr>
      <w:tr>
        <w:trPr>
          <w:trHeight w:val="290"/>
        </w:trPr>
        <w:tc>
          <w:tcPr>
            <w:tcW w:w="312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Operating income</w:t>
            </w:r>
          </w:p>
        </w:tc>
        <w:tc>
          <w:tcPr>
            <w:tcW w:w="26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16,915</w:t>
            </w:r>
          </w:p>
        </w:tc>
        <w:tc>
          <w:tcPr>
            <w:tcW w:w="380" w:type="dxa"/>
            <w:vAlign w:val="bottom"/>
            <w:tcBorders>
              <w:bottom w:val="single" w:sz="8" w:color="CFF0FC"/>
            </w:tcBorders>
            <w:shd w:val="clear" w:color="auto" w:fill="CFF0FC"/>
          </w:tcPr>
          <w:p>
            <w:pPr>
              <w:spacing w:after="0"/>
              <w:rPr>
                <w:sz w:val="24"/>
                <w:szCs w:val="24"/>
                <w:color w:val="auto"/>
              </w:rPr>
            </w:pPr>
          </w:p>
        </w:tc>
        <w:tc>
          <w:tcPr>
            <w:tcW w:w="260" w:type="dxa"/>
            <w:vAlign w:val="bottom"/>
            <w:tcBorders>
              <w:bottom w:val="single" w:sz="8" w:color="auto"/>
            </w:tcBorders>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32,391</w:t>
            </w:r>
          </w:p>
        </w:tc>
        <w:tc>
          <w:tcPr>
            <w:tcW w:w="380" w:type="dxa"/>
            <w:vAlign w:val="bottom"/>
            <w:tcBorders>
              <w:bottom w:val="single" w:sz="8" w:color="CFF0FC"/>
            </w:tcBorders>
            <w:shd w:val="clear" w:color="auto" w:fill="CFF0FC"/>
          </w:tcPr>
          <w:p>
            <w:pPr>
              <w:spacing w:after="0"/>
              <w:rPr>
                <w:sz w:val="24"/>
                <w:szCs w:val="24"/>
                <w:color w:val="auto"/>
              </w:rPr>
            </w:pPr>
          </w:p>
        </w:tc>
        <w:tc>
          <w:tcPr>
            <w:tcW w:w="60" w:type="dxa"/>
            <w:vAlign w:val="bottom"/>
            <w:tcBorders>
              <w:bottom w:val="single" w:sz="8" w:color="CFF0FC"/>
            </w:tcBorders>
            <w:shd w:val="clear" w:color="auto" w:fill="CFF0FC"/>
          </w:tcPr>
          <w:p>
            <w:pPr>
              <w:spacing w:after="0"/>
              <w:rPr>
                <w:sz w:val="24"/>
                <w:szCs w:val="24"/>
                <w:color w:val="auto"/>
              </w:rPr>
            </w:pPr>
          </w:p>
        </w:tc>
        <w:tc>
          <w:tcPr>
            <w:tcW w:w="1220" w:type="dxa"/>
            <w:vAlign w:val="bottom"/>
            <w:tcBorders>
              <w:bottom w:val="single" w:sz="8" w:color="CFF0FC"/>
            </w:tcBorders>
            <w:gridSpan w:val="2"/>
            <w:shd w:val="clear" w:color="auto" w:fill="CFF0FC"/>
          </w:tcPr>
          <w:p>
            <w:pPr>
              <w:jc w:val="right"/>
              <w:ind w:right="260"/>
              <w:spacing w:after="0"/>
              <w:rPr>
                <w:sz w:val="20"/>
                <w:szCs w:val="20"/>
                <w:color w:val="auto"/>
              </w:rPr>
            </w:pPr>
            <w:r>
              <w:rPr>
                <w:rFonts w:ascii="Arial" w:cs="Arial" w:eastAsia="Arial" w:hAnsi="Arial"/>
                <w:sz w:val="18"/>
                <w:szCs w:val="18"/>
                <w:color w:val="auto"/>
              </w:rPr>
              <w:t>(48 )%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37,333</w:t>
            </w:r>
          </w:p>
        </w:tc>
        <w:tc>
          <w:tcPr>
            <w:tcW w:w="36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8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134,482</w:t>
            </w:r>
          </w:p>
        </w:tc>
        <w:tc>
          <w:tcPr>
            <w:tcW w:w="380" w:type="dxa"/>
            <w:vAlign w:val="bottom"/>
            <w:tcBorders>
              <w:bottom w:val="single" w:sz="8" w:color="CFF0FC"/>
            </w:tcBorders>
            <w:shd w:val="clear" w:color="auto" w:fill="CFF0FC"/>
          </w:tcPr>
          <w:p>
            <w:pPr>
              <w:spacing w:after="0"/>
              <w:rPr>
                <w:sz w:val="24"/>
                <w:szCs w:val="24"/>
                <w:color w:val="auto"/>
              </w:rPr>
            </w:pPr>
          </w:p>
        </w:tc>
        <w:tc>
          <w:tcPr>
            <w:tcW w:w="40" w:type="dxa"/>
            <w:vAlign w:val="bottom"/>
            <w:tcBorders>
              <w:bottom w:val="single" w:sz="8" w:color="CFF0FC"/>
            </w:tcBorders>
            <w:shd w:val="clear" w:color="auto" w:fill="CFF0FC"/>
          </w:tcPr>
          <w:p>
            <w:pPr>
              <w:spacing w:after="0"/>
              <w:rPr>
                <w:sz w:val="24"/>
                <w:szCs w:val="24"/>
                <w:color w:val="auto"/>
              </w:rPr>
            </w:pPr>
          </w:p>
        </w:tc>
        <w:tc>
          <w:tcPr>
            <w:tcW w:w="1060" w:type="dxa"/>
            <w:vAlign w:val="bottom"/>
            <w:tcBorders>
              <w:bottom w:val="single" w:sz="8" w:color="CFF0FC"/>
            </w:tcBorders>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(72 )%</w:t>
            </w:r>
          </w:p>
        </w:tc>
      </w:tr>
      <w:tr>
        <w:trPr>
          <w:trHeight w:val="230"/>
        </w:trPr>
        <w:tc>
          <w:tcPr>
            <w:tcW w:w="3120" w:type="dxa"/>
            <w:vAlign w:val="bottom"/>
          </w:tcPr>
          <w:p>
            <w:pPr>
              <w:ind w:left="20"/>
              <w:spacing w:after="0"/>
              <w:rPr>
                <w:sz w:val="20"/>
                <w:szCs w:val="20"/>
                <w:color w:val="auto"/>
              </w:rPr>
            </w:pPr>
            <w:r>
              <w:rPr>
                <w:rFonts w:ascii="Arial" w:cs="Arial" w:eastAsia="Arial" w:hAnsi="Arial"/>
                <w:sz w:val="18"/>
                <w:szCs w:val="18"/>
                <w:color w:val="auto"/>
              </w:rPr>
              <w:t>Operating margins</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5.0 %</w:t>
            </w:r>
          </w:p>
        </w:tc>
        <w:tc>
          <w:tcPr>
            <w:tcW w:w="260" w:type="dxa"/>
            <w:vAlign w:val="bottom"/>
          </w:tcPr>
          <w:p>
            <w:pPr>
              <w:spacing w:after="0"/>
              <w:rPr>
                <w:sz w:val="20"/>
                <w:szCs w:val="20"/>
                <w:color w:val="auto"/>
              </w:rPr>
            </w:pPr>
          </w:p>
        </w:tc>
        <w:tc>
          <w:tcPr>
            <w:tcW w:w="1200" w:type="dxa"/>
            <w:vAlign w:val="bottom"/>
            <w:gridSpan w:val="2"/>
          </w:tcPr>
          <w:p>
            <w:pPr>
              <w:jc w:val="right"/>
              <w:ind w:right="220"/>
              <w:spacing w:after="0"/>
              <w:rPr>
                <w:sz w:val="20"/>
                <w:szCs w:val="20"/>
                <w:color w:val="auto"/>
              </w:rPr>
            </w:pPr>
            <w:r>
              <w:rPr>
                <w:rFonts w:ascii="Arial" w:cs="Arial" w:eastAsia="Arial" w:hAnsi="Arial"/>
                <w:sz w:val="18"/>
                <w:szCs w:val="18"/>
                <w:color w:val="auto"/>
              </w:rPr>
              <w:t>10.1 %</w:t>
            </w:r>
          </w:p>
        </w:tc>
        <w:tc>
          <w:tcPr>
            <w:tcW w:w="60" w:type="dxa"/>
            <w:vAlign w:val="bottom"/>
          </w:tcPr>
          <w:p>
            <w:pPr>
              <w:spacing w:after="0"/>
              <w:rPr>
                <w:sz w:val="20"/>
                <w:szCs w:val="20"/>
                <w:color w:val="auto"/>
              </w:rPr>
            </w:pPr>
          </w:p>
        </w:tc>
        <w:tc>
          <w:tcPr>
            <w:tcW w:w="740" w:type="dxa"/>
            <w:vAlign w:val="bottom"/>
          </w:tcPr>
          <w:p>
            <w:pPr>
              <w:spacing w:after="0"/>
              <w:rPr>
                <w:sz w:val="20"/>
                <w:szCs w:val="20"/>
                <w:color w:val="auto"/>
              </w:rPr>
            </w:pPr>
          </w:p>
        </w:tc>
        <w:tc>
          <w:tcPr>
            <w:tcW w:w="48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3.8 %</w:t>
            </w:r>
          </w:p>
        </w:tc>
        <w:tc>
          <w:tcPr>
            <w:tcW w:w="200" w:type="dxa"/>
            <w:vAlign w:val="bottom"/>
          </w:tcPr>
          <w:p>
            <w:pPr>
              <w:spacing w:after="0"/>
              <w:rPr>
                <w:sz w:val="20"/>
                <w:szCs w:val="20"/>
                <w:color w:val="auto"/>
              </w:rPr>
            </w:pPr>
          </w:p>
        </w:tc>
        <w:tc>
          <w:tcPr>
            <w:tcW w:w="1220" w:type="dxa"/>
            <w:vAlign w:val="bottom"/>
            <w:gridSpan w:val="2"/>
          </w:tcPr>
          <w:p>
            <w:pPr>
              <w:jc w:val="right"/>
              <w:ind w:right="200"/>
              <w:spacing w:after="0"/>
              <w:rPr>
                <w:sz w:val="20"/>
                <w:szCs w:val="20"/>
                <w:color w:val="auto"/>
              </w:rPr>
            </w:pPr>
            <w:r>
              <w:rPr>
                <w:rFonts w:ascii="Arial" w:cs="Arial" w:eastAsia="Arial" w:hAnsi="Arial"/>
                <w:sz w:val="18"/>
                <w:szCs w:val="18"/>
                <w:color w:val="auto"/>
              </w:rPr>
              <w:t>12.2 %</w:t>
            </w:r>
          </w:p>
        </w:tc>
        <w:tc>
          <w:tcPr>
            <w:tcW w:w="40" w:type="dxa"/>
            <w:vAlign w:val="bottom"/>
          </w:tcPr>
          <w:p>
            <w:pPr>
              <w:spacing w:after="0"/>
              <w:rPr>
                <w:sz w:val="20"/>
                <w:szCs w:val="20"/>
                <w:color w:val="auto"/>
              </w:rPr>
            </w:pPr>
          </w:p>
        </w:tc>
        <w:tc>
          <w:tcPr>
            <w:tcW w:w="720" w:type="dxa"/>
            <w:vAlign w:val="bottom"/>
          </w:tcPr>
          <w:p>
            <w:pPr>
              <w:spacing w:after="0"/>
              <w:rPr>
                <w:sz w:val="20"/>
                <w:szCs w:val="20"/>
                <w:color w:val="auto"/>
              </w:rPr>
            </w:pPr>
          </w:p>
        </w:tc>
        <w:tc>
          <w:tcPr>
            <w:tcW w:w="340" w:type="dxa"/>
            <w:vAlign w:val="bottom"/>
          </w:tcPr>
          <w:p>
            <w:pPr>
              <w:spacing w:after="0"/>
              <w:rPr>
                <w:sz w:val="20"/>
                <w:szCs w:val="20"/>
                <w:color w:val="auto"/>
              </w:rPr>
            </w:pPr>
          </w:p>
        </w:tc>
      </w:tr>
      <w:tr>
        <w:trPr>
          <w:trHeight w:val="20"/>
        </w:trPr>
        <w:tc>
          <w:tcPr>
            <w:tcW w:w="312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26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60" w:type="dxa"/>
            <w:vAlign w:val="bottom"/>
          </w:tcPr>
          <w:p>
            <w:pPr>
              <w:spacing w:after="0" w:line="20" w:lineRule="exact"/>
              <w:rPr>
                <w:sz w:val="1"/>
                <w:szCs w:val="1"/>
                <w:color w:val="auto"/>
              </w:rPr>
            </w:pPr>
          </w:p>
        </w:tc>
        <w:tc>
          <w:tcPr>
            <w:tcW w:w="740" w:type="dxa"/>
            <w:vAlign w:val="bottom"/>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840" w:type="dxa"/>
            <w:vAlign w:val="bottom"/>
            <w:tcBorders>
              <w:top w:val="single" w:sz="8" w:color="auto"/>
              <w:bottom w:val="single" w:sz="8" w:color="auto"/>
            </w:tcBorders>
          </w:tcPr>
          <w:p>
            <w:pPr>
              <w:spacing w:after="0" w:line="20" w:lineRule="exact"/>
              <w:rPr>
                <w:sz w:val="1"/>
                <w:szCs w:val="1"/>
                <w:color w:val="auto"/>
              </w:rPr>
            </w:pPr>
          </w:p>
        </w:tc>
        <w:tc>
          <w:tcPr>
            <w:tcW w:w="380" w:type="dxa"/>
            <w:vAlign w:val="bottom"/>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720" w:type="dxa"/>
            <w:vAlign w:val="bottom"/>
          </w:tcPr>
          <w:p>
            <w:pPr>
              <w:spacing w:after="0" w:line="20" w:lineRule="exact"/>
              <w:rPr>
                <w:sz w:val="1"/>
                <w:szCs w:val="1"/>
                <w:color w:val="auto"/>
              </w:rPr>
            </w:pPr>
          </w:p>
        </w:tc>
        <w:tc>
          <w:tcPr>
            <w:tcW w:w="3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2662555</wp:posOffset>
            </wp:positionH>
            <wp:positionV relativeFrom="paragraph">
              <wp:posOffset>-1539240</wp:posOffset>
            </wp:positionV>
            <wp:extent cx="248285" cy="5715"/>
            <wp:wrapNone/>
            <wp:docPr id="335" name="Picture 33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5"/>
                    <pic:cNvPicPr>
                      <a:picLocks noChangeAspect="1" noChangeArrowheads="1"/>
                    </pic:cNvPicPr>
                  </pic:nvPicPr>
                  <pic:blipFill>
                    <a:blip r:embed="rId342">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-1539240</wp:posOffset>
            </wp:positionV>
            <wp:extent cx="248920" cy="5715"/>
            <wp:wrapNone/>
            <wp:docPr id="336" name="Picture 33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6"/>
                    <pic:cNvPicPr>
                      <a:picLocks noChangeAspect="1" noChangeArrowheads="1"/>
                    </pic:cNvPicPr>
                  </pic:nvPicPr>
                  <pic:blipFill>
                    <a:blip r:embed="rId343">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-1539240</wp:posOffset>
            </wp:positionV>
            <wp:extent cx="231775" cy="5715"/>
            <wp:wrapNone/>
            <wp:docPr id="337" name="Picture 3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7"/>
                    <pic:cNvPicPr>
                      <a:picLocks noChangeAspect="1" noChangeArrowheads="1"/>
                    </pic:cNvPicPr>
                  </pic:nvPicPr>
                  <pic:blipFill>
                    <a:blip r:embed="rId344">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-1539240</wp:posOffset>
            </wp:positionV>
            <wp:extent cx="231775" cy="5715"/>
            <wp:wrapNone/>
            <wp:docPr id="338" name="Picture 33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8"/>
                    <pic:cNvPicPr>
                      <a:picLocks noChangeAspect="1" noChangeArrowheads="1"/>
                    </pic:cNvPicPr>
                  </pic:nvPicPr>
                  <pic:blipFill>
                    <a:blip r:embed="rId34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-553720</wp:posOffset>
            </wp:positionV>
            <wp:extent cx="248285" cy="5715"/>
            <wp:wrapNone/>
            <wp:docPr id="339" name="Picture 33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39"/>
                    <pic:cNvPicPr>
                      <a:picLocks noChangeAspect="1" noChangeArrowheads="1"/>
                    </pic:cNvPicPr>
                  </pic:nvPicPr>
                  <pic:blipFill>
                    <a:blip r:embed="rId346">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-553720</wp:posOffset>
            </wp:positionV>
            <wp:extent cx="248920" cy="5715"/>
            <wp:wrapNone/>
            <wp:docPr id="340" name="Picture 3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0"/>
                    <pic:cNvPicPr>
                      <a:picLocks noChangeAspect="1" noChangeArrowheads="1"/>
                    </pic:cNvPicPr>
                  </pic:nvPicPr>
                  <pic:blipFill>
                    <a:blip r:embed="rId347">
                      <a:extLst>
                        <a:ext uri="{28A0092B-C50C-407E-A947-70E740481C1C}"/>
                      </a:extLst>
                    </a:blip>
                    <a:srcRect/>
                    <a:stretch>
                      <a:fillRect/>
                    </a:stretch>
                  </pic:blipFill>
                  <pic:spPr bwMode="auto">
                    <a:xfrm>
                      <a:off x="0" y="0"/>
                      <a:ext cx="248920" cy="571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-553720</wp:posOffset>
            </wp:positionV>
            <wp:extent cx="231775" cy="5715"/>
            <wp:wrapNone/>
            <wp:docPr id="341" name="Picture 34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1"/>
                    <pic:cNvPicPr>
                      <a:picLocks noChangeAspect="1" noChangeArrowheads="1"/>
                    </pic:cNvPicPr>
                  </pic:nvPicPr>
                  <pic:blipFill>
                    <a:blip r:embed="rId348">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-553720</wp:posOffset>
            </wp:positionV>
            <wp:extent cx="231775" cy="5715"/>
            <wp:wrapNone/>
            <wp:docPr id="342" name="Picture 3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2"/>
                    <pic:cNvPicPr>
                      <a:picLocks noChangeAspect="1" noChangeArrowheads="1"/>
                    </pic:cNvPicPr>
                  </pic:nvPicPr>
                  <pic:blipFill>
                    <a:blip r:embed="rId349">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-213995</wp:posOffset>
            </wp:positionV>
            <wp:extent cx="248285" cy="8255"/>
            <wp:wrapNone/>
            <wp:docPr id="343" name="Picture 3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3"/>
                    <pic:cNvPicPr>
                      <a:picLocks noChangeAspect="1" noChangeArrowheads="1"/>
                    </pic:cNvPicPr>
                  </pic:nvPicPr>
                  <pic:blipFill>
                    <a:blip r:embed="rId350">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2662555</wp:posOffset>
            </wp:positionH>
            <wp:positionV relativeFrom="paragraph">
              <wp:posOffset>-196215</wp:posOffset>
            </wp:positionV>
            <wp:extent cx="248285" cy="8255"/>
            <wp:wrapNone/>
            <wp:docPr id="344" name="Picture 3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4"/>
                    <pic:cNvPicPr>
                      <a:picLocks noChangeAspect="1" noChangeArrowheads="1"/>
                    </pic:cNvPicPr>
                  </pic:nvPicPr>
                  <pic:blipFill>
                    <a:blip r:embed="rId35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-213995</wp:posOffset>
            </wp:positionV>
            <wp:extent cx="248920" cy="8255"/>
            <wp:wrapNone/>
            <wp:docPr id="345" name="Picture 34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5"/>
                    <pic:cNvPicPr>
                      <a:picLocks noChangeAspect="1" noChangeArrowheads="1"/>
                    </pic:cNvPicPr>
                  </pic:nvPicPr>
                  <pic:blipFill>
                    <a:blip r:embed="rId352">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3588385</wp:posOffset>
            </wp:positionH>
            <wp:positionV relativeFrom="paragraph">
              <wp:posOffset>-196215</wp:posOffset>
            </wp:positionV>
            <wp:extent cx="248920" cy="8255"/>
            <wp:wrapNone/>
            <wp:docPr id="346" name="Picture 34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6"/>
                    <pic:cNvPicPr>
                      <a:picLocks noChangeAspect="1" noChangeArrowheads="1"/>
                    </pic:cNvPicPr>
                  </pic:nvPicPr>
                  <pic:blipFill>
                    <a:blip r:embed="rId353">
                      <a:extLst>
                        <a:ext uri="{28A0092B-C50C-407E-A947-70E740481C1C}"/>
                      </a:extLst>
                    </a:blip>
                    <a:srcRect/>
                    <a:stretch>
                      <a:fillRect/>
                    </a:stretch>
                  </pic:blipFill>
                  <pic:spPr bwMode="auto">
                    <a:xfrm>
                      <a:off x="0" y="0"/>
                      <a:ext cx="248920"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-213995</wp:posOffset>
            </wp:positionV>
            <wp:extent cx="231775" cy="8255"/>
            <wp:wrapNone/>
            <wp:docPr id="347" name="Picture 34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7"/>
                    <pic:cNvPicPr>
                      <a:picLocks noChangeAspect="1" noChangeArrowheads="1"/>
                    </pic:cNvPicPr>
                  </pic:nvPicPr>
                  <pic:blipFill>
                    <a:blip r:embed="rId354">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5302885</wp:posOffset>
            </wp:positionH>
            <wp:positionV relativeFrom="paragraph">
              <wp:posOffset>-196215</wp:posOffset>
            </wp:positionV>
            <wp:extent cx="231775" cy="8255"/>
            <wp:wrapNone/>
            <wp:docPr id="348" name="Picture 34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8"/>
                    <pic:cNvPicPr>
                      <a:picLocks noChangeAspect="1" noChangeArrowheads="1"/>
                    </pic:cNvPicPr>
                  </pic:nvPicPr>
                  <pic:blipFill>
                    <a:blip r:embed="rId35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-213995</wp:posOffset>
            </wp:positionV>
            <wp:extent cx="231775" cy="8255"/>
            <wp:wrapNone/>
            <wp:docPr id="349" name="Picture 34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49"/>
                    <pic:cNvPicPr>
                      <a:picLocks noChangeAspect="1" noChangeArrowheads="1"/>
                    </pic:cNvPicPr>
                  </pic:nvPicPr>
                  <pic:blipFill>
                    <a:blip r:embed="rId35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6202680</wp:posOffset>
            </wp:positionH>
            <wp:positionV relativeFrom="paragraph">
              <wp:posOffset>-196215</wp:posOffset>
            </wp:positionV>
            <wp:extent cx="231775" cy="8255"/>
            <wp:wrapNone/>
            <wp:docPr id="350" name="Picture 35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0"/>
                    <pic:cNvPicPr>
                      <a:picLocks noChangeAspect="1" noChangeArrowheads="1"/>
                    </pic:cNvPicPr>
                  </pic:nvPicPr>
                  <pic:blipFill>
                    <a:blip r:embed="rId357">
                      <a:extLst>
                        <a:ext uri="{28A0092B-C50C-407E-A947-70E740481C1C}"/>
                      </a:extLst>
                    </a:blip>
                    <a:srcRect/>
                    <a:stretch>
                      <a:fillRect/>
                    </a:stretch>
                  </pic:blipFill>
                  <pic:spPr bwMode="auto">
                    <a:xfrm>
                      <a:off x="0" y="0"/>
                      <a:ext cx="231775" cy="825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Revenues</w:t>
      </w:r>
    </w:p>
    <w:p>
      <w:pPr>
        <w:spacing w:after="0" w:line="252"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shows the marine transportation markets serviced by the Company, the marine transportation revenue distribution, products moved and the drivers of the demand for the products the Company transports: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18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97"/>
              </w:rPr>
              <w:t>2021 Third Quarter</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94"/>
              </w:rPr>
              <w:t>2021 Nine Months</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75"/>
        </w:trPr>
        <w:tc>
          <w:tcPr>
            <w:tcW w:w="1880" w:type="dxa"/>
            <w:vAlign w:val="bottom"/>
          </w:tcPr>
          <w:p>
            <w:pPr>
              <w:ind w:left="660"/>
              <w:spacing w:after="0"/>
              <w:rPr>
                <w:sz w:val="20"/>
                <w:szCs w:val="20"/>
                <w:color w:val="auto"/>
              </w:rPr>
            </w:pPr>
            <w:r>
              <w:rPr>
                <w:rFonts w:ascii="Arial" w:cs="Arial" w:eastAsia="Arial" w:hAnsi="Arial"/>
                <w:sz w:val="14"/>
                <w:szCs w:val="14"/>
                <w:b w:val="1"/>
                <w:bCs w:val="1"/>
                <w:color w:val="auto"/>
              </w:rPr>
              <w:t>Markets</w:t>
            </w:r>
          </w:p>
        </w:tc>
        <w:tc>
          <w:tcPr>
            <w:tcW w:w="160" w:type="dxa"/>
            <w:vAlign w:val="bottom"/>
          </w:tcPr>
          <w:p>
            <w:pPr>
              <w:spacing w:after="0"/>
              <w:rPr>
                <w:sz w:val="15"/>
                <w:szCs w:val="15"/>
                <w:color w:val="auto"/>
              </w:rPr>
            </w:pPr>
          </w:p>
        </w:tc>
        <w:tc>
          <w:tcPr>
            <w:tcW w:w="142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40" w:type="dxa"/>
            <w:vAlign w:val="bottom"/>
          </w:tcPr>
          <w:p>
            <w:pPr>
              <w:spacing w:after="0"/>
              <w:rPr>
                <w:sz w:val="15"/>
                <w:szCs w:val="15"/>
                <w:color w:val="auto"/>
              </w:rPr>
            </w:pPr>
          </w:p>
        </w:tc>
        <w:tc>
          <w:tcPr>
            <w:tcW w:w="1400" w:type="dxa"/>
            <w:vAlign w:val="bottom"/>
          </w:tcPr>
          <w:p>
            <w:pPr>
              <w:jc w:val="center"/>
              <w:spacing w:after="0"/>
              <w:rPr>
                <w:sz w:val="20"/>
                <w:szCs w:val="20"/>
                <w:color w:val="auto"/>
              </w:rPr>
            </w:pPr>
            <w:r>
              <w:rPr>
                <w:rFonts w:ascii="Arial" w:cs="Arial" w:eastAsia="Arial" w:hAnsi="Arial"/>
                <w:sz w:val="14"/>
                <w:szCs w:val="14"/>
                <w:b w:val="1"/>
                <w:bCs w:val="1"/>
                <w:color w:val="auto"/>
                <w:w w:val="89"/>
              </w:rPr>
              <w:t>Revenue</w:t>
            </w:r>
          </w:p>
        </w:tc>
        <w:tc>
          <w:tcPr>
            <w:tcW w:w="160" w:type="dxa"/>
            <w:vAlign w:val="bottom"/>
          </w:tcPr>
          <w:p>
            <w:pPr>
              <w:spacing w:after="0"/>
              <w:rPr>
                <w:sz w:val="15"/>
                <w:szCs w:val="15"/>
                <w:color w:val="auto"/>
              </w:rPr>
            </w:pPr>
          </w:p>
        </w:tc>
        <w:tc>
          <w:tcPr>
            <w:tcW w:w="3640" w:type="dxa"/>
            <w:vAlign w:val="bottom"/>
          </w:tcPr>
          <w:p>
            <w:pPr>
              <w:spacing w:after="0"/>
              <w:rPr>
                <w:sz w:val="15"/>
                <w:szCs w:val="15"/>
                <w:color w:val="auto"/>
              </w:rPr>
            </w:pPr>
          </w:p>
        </w:tc>
        <w:tc>
          <w:tcPr>
            <w:tcW w:w="140" w:type="dxa"/>
            <w:vAlign w:val="bottom"/>
          </w:tcPr>
          <w:p>
            <w:pPr>
              <w:spacing w:after="0"/>
              <w:rPr>
                <w:sz w:val="15"/>
                <w:szCs w:val="15"/>
                <w:color w:val="auto"/>
              </w:rPr>
            </w:pPr>
          </w:p>
        </w:tc>
        <w:tc>
          <w:tcPr>
            <w:tcW w:w="2300" w:type="dxa"/>
            <w:vAlign w:val="bottom"/>
          </w:tcPr>
          <w:p>
            <w:pPr>
              <w:spacing w:after="0"/>
              <w:rPr>
                <w:sz w:val="15"/>
                <w:szCs w:val="15"/>
                <w:color w:val="auto"/>
              </w:rPr>
            </w:pPr>
          </w:p>
        </w:tc>
      </w:tr>
      <w:tr>
        <w:trPr>
          <w:trHeight w:val="192"/>
        </w:trPr>
        <w:tc>
          <w:tcPr>
            <w:tcW w:w="1880" w:type="dxa"/>
            <w:vAlign w:val="bottom"/>
            <w:tcBorders>
              <w:bottom w:val="single" w:sz="8" w:color="auto"/>
            </w:tcBorders>
          </w:tcPr>
          <w:p>
            <w:pPr>
              <w:ind w:left="680"/>
              <w:spacing w:after="0"/>
              <w:rPr>
                <w:sz w:val="20"/>
                <w:szCs w:val="20"/>
                <w:color w:val="auto"/>
              </w:rPr>
            </w:pPr>
            <w:r>
              <w:rPr>
                <w:rFonts w:ascii="Arial" w:cs="Arial" w:eastAsia="Arial" w:hAnsi="Arial"/>
                <w:sz w:val="14"/>
                <w:szCs w:val="14"/>
                <w:b w:val="1"/>
                <w:bCs w:val="1"/>
                <w:color w:val="auto"/>
              </w:rPr>
              <w:t>Serviced</w:t>
            </w:r>
          </w:p>
        </w:tc>
        <w:tc>
          <w:tcPr>
            <w:tcW w:w="160" w:type="dxa"/>
            <w:vAlign w:val="bottom"/>
          </w:tcPr>
          <w:p>
            <w:pPr>
              <w:spacing w:after="0"/>
              <w:rPr>
                <w:sz w:val="16"/>
                <w:szCs w:val="16"/>
                <w:color w:val="auto"/>
              </w:rPr>
            </w:pPr>
          </w:p>
        </w:tc>
        <w:tc>
          <w:tcPr>
            <w:tcW w:w="142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40" w:type="dxa"/>
            <w:vAlign w:val="bottom"/>
          </w:tcPr>
          <w:p>
            <w:pPr>
              <w:spacing w:after="0"/>
              <w:rPr>
                <w:sz w:val="16"/>
                <w:szCs w:val="16"/>
                <w:color w:val="auto"/>
              </w:rPr>
            </w:pPr>
          </w:p>
        </w:tc>
        <w:tc>
          <w:tcPr>
            <w:tcW w:w="140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6"/>
              </w:rPr>
              <w:t>Distribution</w:t>
            </w:r>
          </w:p>
        </w:tc>
        <w:tc>
          <w:tcPr>
            <w:tcW w:w="160" w:type="dxa"/>
            <w:vAlign w:val="bottom"/>
          </w:tcPr>
          <w:p>
            <w:pPr>
              <w:spacing w:after="0"/>
              <w:rPr>
                <w:sz w:val="16"/>
                <w:szCs w:val="16"/>
                <w:color w:val="auto"/>
              </w:rPr>
            </w:pPr>
          </w:p>
        </w:tc>
        <w:tc>
          <w:tcPr>
            <w:tcW w:w="3640" w:type="dxa"/>
            <w:vAlign w:val="bottom"/>
            <w:tcBorders>
              <w:bottom w:val="single" w:sz="8" w:color="auto"/>
            </w:tcBorders>
          </w:tcPr>
          <w:p>
            <w:pPr>
              <w:ind w:left="1300"/>
              <w:spacing w:after="0"/>
              <w:rPr>
                <w:sz w:val="20"/>
                <w:szCs w:val="20"/>
                <w:color w:val="auto"/>
              </w:rPr>
            </w:pPr>
            <w:r>
              <w:rPr>
                <w:rFonts w:ascii="Arial" w:cs="Arial" w:eastAsia="Arial" w:hAnsi="Arial"/>
                <w:sz w:val="14"/>
                <w:szCs w:val="14"/>
                <w:b w:val="1"/>
                <w:bCs w:val="1"/>
                <w:color w:val="auto"/>
              </w:rPr>
              <w:t>Products Moved</w:t>
            </w:r>
          </w:p>
        </w:tc>
        <w:tc>
          <w:tcPr>
            <w:tcW w:w="140" w:type="dxa"/>
            <w:vAlign w:val="bottom"/>
          </w:tcPr>
          <w:p>
            <w:pPr>
              <w:spacing w:after="0"/>
              <w:rPr>
                <w:sz w:val="16"/>
                <w:szCs w:val="16"/>
                <w:color w:val="auto"/>
              </w:rPr>
            </w:pPr>
          </w:p>
        </w:tc>
        <w:tc>
          <w:tcPr>
            <w:tcW w:w="2300" w:type="dxa"/>
            <w:vAlign w:val="bottom"/>
            <w:tcBorders>
              <w:bottom w:val="single" w:sz="8" w:color="auto"/>
            </w:tcBorders>
          </w:tcPr>
          <w:p>
            <w:pPr>
              <w:ind w:left="920"/>
              <w:spacing w:after="0"/>
              <w:rPr>
                <w:sz w:val="20"/>
                <w:szCs w:val="20"/>
                <w:color w:val="auto"/>
              </w:rPr>
            </w:pPr>
            <w:r>
              <w:rPr>
                <w:rFonts w:ascii="Arial" w:cs="Arial" w:eastAsia="Arial" w:hAnsi="Arial"/>
                <w:sz w:val="14"/>
                <w:szCs w:val="14"/>
                <w:b w:val="1"/>
                <w:bCs w:val="1"/>
                <w:color w:val="auto"/>
              </w:rPr>
              <w:t>Drivers</w:t>
            </w:r>
          </w:p>
        </w:tc>
      </w:tr>
      <w:tr>
        <w:trPr>
          <w:trHeight w:val="242"/>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Petrochemicals</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51%</w:t>
            </w:r>
          </w:p>
        </w:tc>
        <w:tc>
          <w:tcPr>
            <w:tcW w:w="15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50%</w:t>
            </w: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Benzene, Styrene, Methanol, Acrylonitrile,</w:t>
            </w: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Consumer non-durables –</w:t>
            </w:r>
          </w:p>
        </w:tc>
      </w:tr>
      <w:tr>
        <w:trPr>
          <w:trHeight w:val="230"/>
        </w:trPr>
        <w:tc>
          <w:tcPr>
            <w:tcW w:w="18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Xylene, Naphtha, Caustic Soda, Butadiene,</w:t>
            </w:r>
          </w:p>
        </w:tc>
        <w:tc>
          <w:tcPr>
            <w:tcW w:w="140" w:type="dxa"/>
            <w:vAlign w:val="bottom"/>
            <w:shd w:val="clear" w:color="auto" w:fill="CFF0FC"/>
          </w:tcPr>
          <w:p>
            <w:pPr>
              <w:spacing w:after="0"/>
              <w:rPr>
                <w:sz w:val="19"/>
                <w:szCs w:val="19"/>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70%, Consumer durables –</w:t>
            </w:r>
          </w:p>
        </w:tc>
      </w:tr>
      <w:tr>
        <w:trPr>
          <w:trHeight w:val="244"/>
        </w:trPr>
        <w:tc>
          <w:tcPr>
            <w:tcW w:w="1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Propylene</w:t>
            </w:r>
          </w:p>
        </w:tc>
        <w:tc>
          <w:tcPr>
            <w:tcW w:w="2440" w:type="dxa"/>
            <w:vAlign w:val="bottom"/>
            <w:gridSpan w:val="2"/>
            <w:shd w:val="clear" w:color="auto" w:fill="CFF0FC"/>
          </w:tcPr>
          <w:p>
            <w:pPr>
              <w:ind w:left="160"/>
              <w:spacing w:after="0"/>
              <w:rPr>
                <w:sz w:val="20"/>
                <w:szCs w:val="20"/>
                <w:color w:val="auto"/>
              </w:rPr>
            </w:pPr>
            <w:r>
              <w:rPr>
                <w:rFonts w:ascii="Arial" w:cs="Arial" w:eastAsia="Arial" w:hAnsi="Arial"/>
                <w:sz w:val="18"/>
                <w:szCs w:val="18"/>
                <w:color w:val="auto"/>
              </w:rPr>
              <w:t>30%</w:t>
            </w:r>
          </w:p>
        </w:tc>
      </w:tr>
      <w:tr>
        <w:trPr>
          <w:trHeight w:val="242"/>
        </w:trPr>
        <w:tc>
          <w:tcPr>
            <w:tcW w:w="1880" w:type="dxa"/>
            <w:vAlign w:val="bottom"/>
          </w:tcPr>
          <w:p>
            <w:pPr>
              <w:ind w:left="20"/>
              <w:spacing w:after="0"/>
              <w:rPr>
                <w:sz w:val="20"/>
                <w:szCs w:val="20"/>
                <w:color w:val="auto"/>
              </w:rPr>
            </w:pPr>
            <w:r>
              <w:rPr>
                <w:rFonts w:ascii="Arial" w:cs="Arial" w:eastAsia="Arial" w:hAnsi="Arial"/>
                <w:sz w:val="18"/>
                <w:szCs w:val="18"/>
                <w:color w:val="auto"/>
              </w:rPr>
              <w:t>Black Oil</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25%</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88"/>
              </w:rPr>
              <w:t>26%</w:t>
            </w:r>
          </w:p>
        </w:tc>
        <w:tc>
          <w:tcPr>
            <w:tcW w:w="16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1"/>
              </w:rPr>
              <w:t>Residual Fuel Oil, Coker Feedstock, Vacuum Gas</w:t>
            </w:r>
          </w:p>
        </w:tc>
        <w:tc>
          <w:tcPr>
            <w:tcW w:w="14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Fuel for Power Plants and</w:t>
            </w:r>
          </w:p>
        </w:tc>
      </w:tr>
      <w:tr>
        <w:trPr>
          <w:trHeight w:val="229"/>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3"/>
              </w:rPr>
              <w:t>Oil, Asphalt, Carbon Black Feedstock, Crude Oil,</w:t>
            </w:r>
          </w:p>
        </w:tc>
        <w:tc>
          <w:tcPr>
            <w:tcW w:w="14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Ships, Feedstock for</w:t>
            </w:r>
          </w:p>
        </w:tc>
      </w:tr>
      <w:tr>
        <w:trPr>
          <w:trHeight w:val="237"/>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Natural Gas Condensate, Ship Bunkers</w:t>
            </w: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w w:val="94"/>
              </w:rPr>
              <w:t>Refineries, Road Construction</w:t>
            </w:r>
          </w:p>
        </w:tc>
      </w:tr>
      <w:tr>
        <w:trPr>
          <w:trHeight w:val="249"/>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Refined Petroleum</w:t>
            </w:r>
          </w:p>
        </w:tc>
        <w:tc>
          <w:tcPr>
            <w:tcW w:w="158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20%</w:t>
            </w:r>
          </w:p>
        </w:tc>
        <w:tc>
          <w:tcPr>
            <w:tcW w:w="1540" w:type="dxa"/>
            <w:vAlign w:val="bottom"/>
            <w:gridSpan w:val="2"/>
            <w:shd w:val="clear" w:color="auto" w:fill="CFF0FC"/>
          </w:tcPr>
          <w:p>
            <w:pPr>
              <w:jc w:val="center"/>
              <w:ind w:left="50"/>
              <w:spacing w:after="0"/>
              <w:rPr>
                <w:sz w:val="20"/>
                <w:szCs w:val="20"/>
                <w:color w:val="auto"/>
              </w:rPr>
            </w:pPr>
            <w:r>
              <w:rPr>
                <w:rFonts w:ascii="Arial" w:cs="Arial" w:eastAsia="Arial" w:hAnsi="Arial"/>
                <w:sz w:val="18"/>
                <w:szCs w:val="18"/>
                <w:color w:val="auto"/>
                <w:w w:val="88"/>
              </w:rPr>
              <w:t>20%</w:t>
            </w: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w w:val="94"/>
              </w:rPr>
              <w:t>Gasoline, No. 2 Oil, Jet Fuel, Heating Oil, Diesel</w:t>
            </w: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Vehicle Usage, Air Travel,</w:t>
            </w:r>
          </w:p>
        </w:tc>
      </w:tr>
      <w:tr>
        <w:trPr>
          <w:trHeight w:val="229"/>
        </w:trPr>
        <w:tc>
          <w:tcPr>
            <w:tcW w:w="1880" w:type="dxa"/>
            <w:vAlign w:val="bottom"/>
            <w:shd w:val="clear" w:color="auto" w:fill="CFF0FC"/>
          </w:tcPr>
          <w:p>
            <w:pPr>
              <w:ind w:left="20"/>
              <w:spacing w:after="0"/>
              <w:rPr>
                <w:sz w:val="20"/>
                <w:szCs w:val="20"/>
                <w:color w:val="auto"/>
              </w:rPr>
            </w:pPr>
            <w:r>
              <w:rPr>
                <w:rFonts w:ascii="Arial" w:cs="Arial" w:eastAsia="Arial" w:hAnsi="Arial"/>
                <w:sz w:val="18"/>
                <w:szCs w:val="18"/>
                <w:color w:val="auto"/>
              </w:rPr>
              <w:t>Products</w:t>
            </w:r>
          </w:p>
        </w:tc>
        <w:tc>
          <w:tcPr>
            <w:tcW w:w="160" w:type="dxa"/>
            <w:vAlign w:val="bottom"/>
            <w:shd w:val="clear" w:color="auto" w:fill="CFF0FC"/>
          </w:tcPr>
          <w:p>
            <w:pPr>
              <w:spacing w:after="0"/>
              <w:rPr>
                <w:sz w:val="19"/>
                <w:szCs w:val="19"/>
                <w:color w:val="auto"/>
              </w:rPr>
            </w:pPr>
          </w:p>
        </w:tc>
        <w:tc>
          <w:tcPr>
            <w:tcW w:w="1420" w:type="dxa"/>
            <w:vAlign w:val="bottom"/>
            <w:shd w:val="clear" w:color="auto" w:fill="CFF0FC"/>
          </w:tcPr>
          <w:p>
            <w:pPr>
              <w:spacing w:after="0"/>
              <w:rPr>
                <w:sz w:val="19"/>
                <w:szCs w:val="19"/>
                <w:color w:val="auto"/>
              </w:rPr>
            </w:pPr>
          </w:p>
        </w:tc>
        <w:tc>
          <w:tcPr>
            <w:tcW w:w="140" w:type="dxa"/>
            <w:vAlign w:val="bottom"/>
            <w:shd w:val="clear" w:color="auto" w:fill="CFF0FC"/>
          </w:tcPr>
          <w:p>
            <w:pPr>
              <w:spacing w:after="0"/>
              <w:rPr>
                <w:sz w:val="19"/>
                <w:szCs w:val="19"/>
                <w:color w:val="auto"/>
              </w:rPr>
            </w:pPr>
          </w:p>
        </w:tc>
        <w:tc>
          <w:tcPr>
            <w:tcW w:w="140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3640" w:type="dxa"/>
            <w:vAlign w:val="bottom"/>
            <w:shd w:val="clear" w:color="auto" w:fill="CFF0FC"/>
          </w:tcPr>
          <w:p>
            <w:pPr>
              <w:spacing w:after="0"/>
              <w:rPr>
                <w:sz w:val="20"/>
                <w:szCs w:val="20"/>
                <w:color w:val="auto"/>
              </w:rPr>
            </w:pPr>
            <w:r>
              <w:rPr>
                <w:rFonts w:ascii="Arial" w:cs="Arial" w:eastAsia="Arial" w:hAnsi="Arial"/>
                <w:sz w:val="18"/>
                <w:szCs w:val="18"/>
                <w:color w:val="auto"/>
              </w:rPr>
              <w:t>Fuel, Ethanol</w:t>
            </w:r>
          </w:p>
        </w:tc>
        <w:tc>
          <w:tcPr>
            <w:tcW w:w="140" w:type="dxa"/>
            <w:vAlign w:val="bottom"/>
            <w:shd w:val="clear" w:color="auto" w:fill="CFF0FC"/>
          </w:tcPr>
          <w:p>
            <w:pPr>
              <w:spacing w:after="0"/>
              <w:rPr>
                <w:sz w:val="19"/>
                <w:szCs w:val="19"/>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w w:val="96"/>
              </w:rPr>
              <w:t>Weather Conditions, Refinery</w:t>
            </w:r>
          </w:p>
        </w:tc>
      </w:tr>
      <w:tr>
        <w:trPr>
          <w:trHeight w:val="244"/>
        </w:trPr>
        <w:tc>
          <w:tcPr>
            <w:tcW w:w="18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42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140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3640" w:type="dxa"/>
            <w:vAlign w:val="bottom"/>
            <w:shd w:val="clear" w:color="auto" w:fill="CFF0FC"/>
          </w:tcPr>
          <w:p>
            <w:pPr>
              <w:spacing w:after="0"/>
              <w:rPr>
                <w:sz w:val="21"/>
                <w:szCs w:val="21"/>
                <w:color w:val="auto"/>
              </w:rPr>
            </w:pPr>
          </w:p>
        </w:tc>
        <w:tc>
          <w:tcPr>
            <w:tcW w:w="140" w:type="dxa"/>
            <w:vAlign w:val="bottom"/>
            <w:shd w:val="clear" w:color="auto" w:fill="CFF0FC"/>
          </w:tcPr>
          <w:p>
            <w:pPr>
              <w:spacing w:after="0"/>
              <w:rPr>
                <w:sz w:val="21"/>
                <w:szCs w:val="21"/>
                <w:color w:val="auto"/>
              </w:rPr>
            </w:pPr>
          </w:p>
        </w:tc>
        <w:tc>
          <w:tcPr>
            <w:tcW w:w="2300" w:type="dxa"/>
            <w:vAlign w:val="bottom"/>
            <w:shd w:val="clear" w:color="auto" w:fill="CFF0FC"/>
          </w:tcPr>
          <w:p>
            <w:pPr>
              <w:ind w:left="20"/>
              <w:spacing w:after="0"/>
              <w:rPr>
                <w:sz w:val="20"/>
                <w:szCs w:val="20"/>
                <w:color w:val="auto"/>
              </w:rPr>
            </w:pPr>
            <w:r>
              <w:rPr>
                <w:rFonts w:ascii="Arial" w:cs="Arial" w:eastAsia="Arial" w:hAnsi="Arial"/>
                <w:sz w:val="18"/>
                <w:szCs w:val="18"/>
                <w:color w:val="auto"/>
              </w:rPr>
              <w:t>Utilization</w:t>
            </w:r>
          </w:p>
        </w:tc>
      </w:tr>
      <w:tr>
        <w:trPr>
          <w:trHeight w:val="242"/>
        </w:trPr>
        <w:tc>
          <w:tcPr>
            <w:tcW w:w="1880" w:type="dxa"/>
            <w:vAlign w:val="bottom"/>
          </w:tcPr>
          <w:p>
            <w:pPr>
              <w:ind w:left="20"/>
              <w:spacing w:after="0"/>
              <w:rPr>
                <w:sz w:val="20"/>
                <w:szCs w:val="20"/>
                <w:color w:val="auto"/>
              </w:rPr>
            </w:pPr>
            <w:r>
              <w:rPr>
                <w:rFonts w:ascii="Arial" w:cs="Arial" w:eastAsia="Arial" w:hAnsi="Arial"/>
                <w:sz w:val="18"/>
                <w:szCs w:val="18"/>
                <w:color w:val="auto"/>
              </w:rPr>
              <w:t>Agricultural Chemicals</w:t>
            </w:r>
          </w:p>
        </w:tc>
        <w:tc>
          <w:tcPr>
            <w:tcW w:w="158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540" w:type="dxa"/>
            <w:vAlign w:val="bottom"/>
            <w:gridSpan w:val="2"/>
          </w:tcPr>
          <w:p>
            <w:pPr>
              <w:jc w:val="center"/>
              <w:ind w:left="50"/>
              <w:spacing w:after="0"/>
              <w:rPr>
                <w:sz w:val="20"/>
                <w:szCs w:val="20"/>
                <w:color w:val="auto"/>
              </w:rPr>
            </w:pPr>
            <w:r>
              <w:rPr>
                <w:rFonts w:ascii="Arial" w:cs="Arial" w:eastAsia="Arial" w:hAnsi="Arial"/>
                <w:sz w:val="18"/>
                <w:szCs w:val="18"/>
                <w:color w:val="auto"/>
                <w:w w:val="92"/>
              </w:rPr>
              <w:t>4%</w:t>
            </w:r>
          </w:p>
        </w:tc>
        <w:tc>
          <w:tcPr>
            <w:tcW w:w="160" w:type="dxa"/>
            <w:vAlign w:val="bottom"/>
          </w:tcPr>
          <w:p>
            <w:pPr>
              <w:spacing w:after="0"/>
              <w:rPr>
                <w:sz w:val="21"/>
                <w:szCs w:val="21"/>
                <w:color w:val="auto"/>
              </w:rPr>
            </w:pPr>
          </w:p>
        </w:tc>
        <w:tc>
          <w:tcPr>
            <w:tcW w:w="3640" w:type="dxa"/>
            <w:vAlign w:val="bottom"/>
          </w:tcPr>
          <w:p>
            <w:pPr>
              <w:spacing w:after="0"/>
              <w:rPr>
                <w:sz w:val="20"/>
                <w:szCs w:val="20"/>
                <w:color w:val="auto"/>
              </w:rPr>
            </w:pPr>
            <w:r>
              <w:rPr>
                <w:rFonts w:ascii="Arial" w:cs="Arial" w:eastAsia="Arial" w:hAnsi="Arial"/>
                <w:sz w:val="18"/>
                <w:szCs w:val="18"/>
                <w:color w:val="auto"/>
                <w:w w:val="98"/>
              </w:rPr>
              <w:t>Anhydrous Ammonia, Nitrogen – Based Liquid</w:t>
            </w:r>
          </w:p>
        </w:tc>
        <w:tc>
          <w:tcPr>
            <w:tcW w:w="140" w:type="dxa"/>
            <w:vAlign w:val="bottom"/>
          </w:tcPr>
          <w:p>
            <w:pPr>
              <w:spacing w:after="0"/>
              <w:rPr>
                <w:sz w:val="21"/>
                <w:szCs w:val="21"/>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Corn, Cotton and Wheat</w:t>
            </w:r>
          </w:p>
        </w:tc>
      </w:tr>
      <w:tr>
        <w:trPr>
          <w:trHeight w:val="230"/>
        </w:trPr>
        <w:tc>
          <w:tcPr>
            <w:tcW w:w="188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1420" w:type="dxa"/>
            <w:vAlign w:val="bottom"/>
          </w:tcPr>
          <w:p>
            <w:pPr>
              <w:spacing w:after="0"/>
              <w:rPr>
                <w:sz w:val="19"/>
                <w:szCs w:val="19"/>
                <w:color w:val="auto"/>
              </w:rPr>
            </w:pPr>
          </w:p>
        </w:tc>
        <w:tc>
          <w:tcPr>
            <w:tcW w:w="140" w:type="dxa"/>
            <w:vAlign w:val="bottom"/>
          </w:tcPr>
          <w:p>
            <w:pPr>
              <w:spacing w:after="0"/>
              <w:rPr>
                <w:sz w:val="19"/>
                <w:szCs w:val="19"/>
                <w:color w:val="auto"/>
              </w:rPr>
            </w:pPr>
          </w:p>
        </w:tc>
        <w:tc>
          <w:tcPr>
            <w:tcW w:w="1400" w:type="dxa"/>
            <w:vAlign w:val="bottom"/>
          </w:tcPr>
          <w:p>
            <w:pPr>
              <w:spacing w:after="0"/>
              <w:rPr>
                <w:sz w:val="19"/>
                <w:szCs w:val="19"/>
                <w:color w:val="auto"/>
              </w:rPr>
            </w:pPr>
          </w:p>
        </w:tc>
        <w:tc>
          <w:tcPr>
            <w:tcW w:w="160" w:type="dxa"/>
            <w:vAlign w:val="bottom"/>
          </w:tcPr>
          <w:p>
            <w:pPr>
              <w:spacing w:after="0"/>
              <w:rPr>
                <w:sz w:val="19"/>
                <w:szCs w:val="19"/>
                <w:color w:val="auto"/>
              </w:rPr>
            </w:pPr>
          </w:p>
        </w:tc>
        <w:tc>
          <w:tcPr>
            <w:tcW w:w="3640" w:type="dxa"/>
            <w:vAlign w:val="bottom"/>
          </w:tcPr>
          <w:p>
            <w:pPr>
              <w:spacing w:after="0"/>
              <w:rPr>
                <w:sz w:val="20"/>
                <w:szCs w:val="20"/>
                <w:color w:val="auto"/>
              </w:rPr>
            </w:pPr>
            <w:r>
              <w:rPr>
                <w:rFonts w:ascii="Arial" w:cs="Arial" w:eastAsia="Arial" w:hAnsi="Arial"/>
                <w:sz w:val="18"/>
                <w:szCs w:val="18"/>
                <w:color w:val="auto"/>
              </w:rPr>
              <w:t>Fertilizer, Industrial Ammonia</w:t>
            </w:r>
          </w:p>
        </w:tc>
        <w:tc>
          <w:tcPr>
            <w:tcW w:w="140" w:type="dxa"/>
            <w:vAlign w:val="bottom"/>
          </w:tcPr>
          <w:p>
            <w:pPr>
              <w:spacing w:after="0"/>
              <w:rPr>
                <w:sz w:val="19"/>
                <w:szCs w:val="19"/>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Production, Chemical</w:t>
            </w:r>
          </w:p>
        </w:tc>
      </w:tr>
      <w:tr>
        <w:trPr>
          <w:trHeight w:val="230"/>
        </w:trPr>
        <w:tc>
          <w:tcPr>
            <w:tcW w:w="188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142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1400" w:type="dxa"/>
            <w:vAlign w:val="bottom"/>
          </w:tcPr>
          <w:p>
            <w:pPr>
              <w:spacing w:after="0"/>
              <w:rPr>
                <w:sz w:val="20"/>
                <w:szCs w:val="20"/>
                <w:color w:val="auto"/>
              </w:rPr>
            </w:pPr>
          </w:p>
        </w:tc>
        <w:tc>
          <w:tcPr>
            <w:tcW w:w="160" w:type="dxa"/>
            <w:vAlign w:val="bottom"/>
          </w:tcPr>
          <w:p>
            <w:pPr>
              <w:spacing w:after="0"/>
              <w:rPr>
                <w:sz w:val="20"/>
                <w:szCs w:val="20"/>
                <w:color w:val="auto"/>
              </w:rPr>
            </w:pPr>
          </w:p>
        </w:tc>
        <w:tc>
          <w:tcPr>
            <w:tcW w:w="3640" w:type="dxa"/>
            <w:vAlign w:val="bottom"/>
          </w:tcPr>
          <w:p>
            <w:pPr>
              <w:spacing w:after="0"/>
              <w:rPr>
                <w:sz w:val="20"/>
                <w:szCs w:val="20"/>
                <w:color w:val="auto"/>
              </w:rPr>
            </w:pPr>
          </w:p>
        </w:tc>
        <w:tc>
          <w:tcPr>
            <w:tcW w:w="140" w:type="dxa"/>
            <w:vAlign w:val="bottom"/>
          </w:tcPr>
          <w:p>
            <w:pPr>
              <w:spacing w:after="0"/>
              <w:rPr>
                <w:sz w:val="20"/>
                <w:szCs w:val="20"/>
                <w:color w:val="auto"/>
              </w:rPr>
            </w:pPr>
          </w:p>
        </w:tc>
        <w:tc>
          <w:tcPr>
            <w:tcW w:w="2300" w:type="dxa"/>
            <w:vAlign w:val="bottom"/>
          </w:tcPr>
          <w:p>
            <w:pPr>
              <w:ind w:left="20"/>
              <w:spacing w:after="0"/>
              <w:rPr>
                <w:sz w:val="20"/>
                <w:szCs w:val="20"/>
                <w:color w:val="auto"/>
              </w:rPr>
            </w:pPr>
            <w:r>
              <w:rPr>
                <w:rFonts w:ascii="Arial" w:cs="Arial" w:eastAsia="Arial" w:hAnsi="Arial"/>
                <w:sz w:val="18"/>
                <w:szCs w:val="18"/>
                <w:color w:val="auto"/>
              </w:rPr>
              <w:t>Feedstock Usage</w:t>
            </w:r>
          </w:p>
        </w:tc>
      </w:tr>
      <w:tr>
        <w:trPr>
          <w:trHeight w:val="621"/>
        </w:trPr>
        <w:tc>
          <w:tcPr>
            <w:tcW w:w="188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1420" w:type="dxa"/>
            <w:vAlign w:val="bottom"/>
          </w:tcPr>
          <w:p>
            <w:pPr>
              <w:spacing w:after="0"/>
              <w:rPr>
                <w:sz w:val="24"/>
                <w:szCs w:val="24"/>
                <w:color w:val="auto"/>
              </w:rPr>
            </w:pPr>
          </w:p>
        </w:tc>
        <w:tc>
          <w:tcPr>
            <w:tcW w:w="14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3800" w:type="dxa"/>
            <w:vAlign w:val="bottom"/>
            <w:gridSpan w:val="2"/>
          </w:tcPr>
          <w:p>
            <w:pPr>
              <w:jc w:val="right"/>
              <w:ind w:right="2992"/>
              <w:spacing w:after="0"/>
              <w:rPr>
                <w:sz w:val="20"/>
                <w:szCs w:val="20"/>
                <w:color w:val="auto"/>
              </w:rPr>
            </w:pPr>
            <w:r>
              <w:rPr>
                <w:rFonts w:ascii="Arial" w:cs="Arial" w:eastAsia="Arial" w:hAnsi="Arial"/>
                <w:sz w:val="18"/>
                <w:szCs w:val="18"/>
                <w:color w:val="auto"/>
              </w:rPr>
              <w:t>22</w:t>
            </w:r>
          </w:p>
        </w:tc>
        <w:tc>
          <w:tcPr>
            <w:tcW w:w="140" w:type="dxa"/>
            <w:vAlign w:val="bottom"/>
          </w:tcPr>
          <w:p>
            <w:pPr>
              <w:spacing w:after="0"/>
              <w:rPr>
                <w:sz w:val="24"/>
                <w:szCs w:val="24"/>
                <w:color w:val="auto"/>
              </w:rPr>
            </w:pPr>
          </w:p>
        </w:tc>
        <w:tc>
          <w:tcPr>
            <w:tcW w:w="2300" w:type="dxa"/>
            <w:vAlign w:val="bottom"/>
          </w:tcPr>
          <w:p>
            <w:pPr>
              <w:spacing w:after="0"/>
              <w:rPr>
                <w:sz w:val="24"/>
                <w:szCs w:val="24"/>
                <w:color w:val="auto"/>
              </w:rPr>
            </w:pPr>
          </w:p>
        </w:tc>
      </w:tr>
      <w:tr>
        <w:trPr>
          <w:trHeight w:val="115"/>
        </w:trPr>
        <w:tc>
          <w:tcPr>
            <w:tcW w:w="188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142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1400" w:type="dxa"/>
            <w:vAlign w:val="bottom"/>
            <w:tcBorders>
              <w:bottom w:val="single" w:sz="8" w:color="9A9A9A"/>
            </w:tcBorders>
          </w:tcPr>
          <w:p>
            <w:pPr>
              <w:spacing w:after="0"/>
              <w:rPr>
                <w:sz w:val="10"/>
                <w:szCs w:val="10"/>
                <w:color w:val="auto"/>
              </w:rPr>
            </w:pPr>
          </w:p>
        </w:tc>
        <w:tc>
          <w:tcPr>
            <w:tcW w:w="160" w:type="dxa"/>
            <w:vAlign w:val="bottom"/>
            <w:tcBorders>
              <w:bottom w:val="single" w:sz="8" w:color="9A9A9A"/>
            </w:tcBorders>
          </w:tcPr>
          <w:p>
            <w:pPr>
              <w:spacing w:after="0"/>
              <w:rPr>
                <w:sz w:val="10"/>
                <w:szCs w:val="10"/>
                <w:color w:val="auto"/>
              </w:rPr>
            </w:pPr>
          </w:p>
        </w:tc>
        <w:tc>
          <w:tcPr>
            <w:tcW w:w="3640" w:type="dxa"/>
            <w:vAlign w:val="bottom"/>
            <w:tcBorders>
              <w:bottom w:val="single" w:sz="8" w:color="9A9A9A"/>
            </w:tcBorders>
          </w:tcPr>
          <w:p>
            <w:pPr>
              <w:spacing w:after="0"/>
              <w:rPr>
                <w:sz w:val="10"/>
                <w:szCs w:val="10"/>
                <w:color w:val="auto"/>
              </w:rPr>
            </w:pPr>
          </w:p>
        </w:tc>
        <w:tc>
          <w:tcPr>
            <w:tcW w:w="140" w:type="dxa"/>
            <w:vAlign w:val="bottom"/>
            <w:tcBorders>
              <w:bottom w:val="single" w:sz="8" w:color="9A9A9A"/>
            </w:tcBorders>
          </w:tcPr>
          <w:p>
            <w:pPr>
              <w:spacing w:after="0"/>
              <w:rPr>
                <w:sz w:val="10"/>
                <w:szCs w:val="10"/>
                <w:color w:val="auto"/>
              </w:rPr>
            </w:pPr>
          </w:p>
        </w:tc>
        <w:tc>
          <w:tcPr>
            <w:tcW w:w="2300" w:type="dxa"/>
            <w:vAlign w:val="bottom"/>
            <w:tcBorders>
              <w:bottom w:val="single" w:sz="8" w:color="9A9A9A"/>
            </w:tcBorders>
          </w:tcPr>
          <w:p>
            <w:pPr>
              <w:spacing w:after="0"/>
              <w:rPr>
                <w:sz w:val="10"/>
                <w:szCs w:val="10"/>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7115810</wp:posOffset>
            </wp:positionH>
            <wp:positionV relativeFrom="paragraph">
              <wp:posOffset>-29210</wp:posOffset>
            </wp:positionV>
            <wp:extent cx="33655" cy="42545"/>
            <wp:wrapNone/>
            <wp:docPr id="351" name="Picture 35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1"/>
                    <pic:cNvPicPr>
                      <a:picLocks noChangeAspect="1" noChangeArrowheads="1"/>
                    </pic:cNvPicPr>
                  </pic:nvPicPr>
                  <pic:blipFill>
                    <a:blip r:embed="rId358">
                      <a:extLst>
                        <a:ext uri="{28A0092B-C50C-407E-A947-70E740481C1C}"/>
                      </a:extLst>
                    </a:blip>
                    <a:srcRect/>
                    <a:stretch>
                      <a:fillRect/>
                    </a:stretch>
                  </pic:blipFill>
                  <pic:spPr bwMode="auto">
                    <a:xfrm>
                      <a:off x="0" y="0"/>
                      <a:ext cx="33655" cy="4254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-29210</wp:posOffset>
            </wp:positionV>
            <wp:extent cx="34290" cy="42545"/>
            <wp:wrapNone/>
            <wp:docPr id="352" name="Picture 35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2"/>
                    <pic:cNvPicPr>
                      <a:picLocks noChangeAspect="1" noChangeArrowheads="1"/>
                    </pic:cNvPicPr>
                  </pic:nvPicPr>
                  <pic:blipFill>
                    <a:blip r:embed="rId359">
                      <a:extLst>
                        <a:ext uri="{28A0092B-C50C-407E-A947-70E740481C1C}"/>
                      </a:extLst>
                    </a:blip>
                    <a:srcRect/>
                    <a:stretch>
                      <a:fillRect/>
                    </a:stretch>
                  </pic:blipFill>
                  <pic:spPr bwMode="auto">
                    <a:xfrm>
                      <a:off x="0" y="0"/>
                      <a:ext cx="3429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3" w:name="page24"/>
    <w:bookmarkEnd w:id="23"/>
    <w:p>
      <w:pPr>
        <w:jc w:val="both"/>
        <w:ind w:firstLine="569"/>
        <w:spacing w:after="0" w:line="303" w:lineRule="auto"/>
        <w:rPr>
          <w:sz w:val="20"/>
          <w:szCs w:val="20"/>
          <w:color w:val="auto"/>
        </w:rPr>
      </w:pPr>
      <w:r>
        <w:rPr>
          <w:rFonts w:ascii="Arial" w:cs="Arial" w:eastAsia="Arial" w:hAnsi="Arial"/>
          <w:sz w:val="16"/>
          <w:szCs w:val="16"/>
          <w:color w:val="auto"/>
        </w:rPr>
        <w:t>The Company’s marine transportation segment’s revenues for the 2021 third quarter and first nine months increased 6% and decreased 12%, respectively, compared with the 2020 third quarter and first nine months revenues. The increase for the 2021 third quarter was primarily due to increased fuel rebills in the inland and coastal markets and increased tank barge utilization in the inland market. The decrease for the 2021 first nine months was primarily due to reduced barge utilization in the inland and coastal markets as well as reduced term and spot pricing in the inland market when compared to 2020. The decrease was partially offset by the addition of the Savage fleet acquired on April 1, 2020. The 2021 third quarter benefited from improving business activity and inland market barge utilization which were largely offset by reduced term pricing when compared to the 2020 third quarter. 2021 third quarter revenues and operating income were also impacted by Hurricane Ida which shuttered almost the entire Southeast Louisiana refinery and chemical complex and key waterways for an extended period of time. The 2021 first nine months was also heavily impacted by Winter Storm Uri during the first quarter which shut down many Gulf Coast refineries and chemical plants for an extended period of time starting in mid-February. These emergency shutdowns resulted in significantly reduced liquids production and lower volumes for the Company’s inland marine transportation market during the 2021 first quarter. The 2021 and 2020 first quarters were also impacted by poor operating conditions including seasonal wind and fog along the Gulf Coast, flooding on the Mississippi River, and various lock closures along the Gulf Intracoastal Waterway, in addition to ice on the Illinois River during the 2021 first quarter and increased shipyard days on large capacity coastal vessels during the 2020 first quarter. For the 2021 third quarter and first nine months, the inland tank barge fleet contributed 76% and 75%, respectively, and the coastal fleet contributed 24% and 25%, respectively, of marine transportation revenues. For the 2020 third quarter and first nine months, the inland tank barge fleet contributed 77% and 79%, respectively, and the coastal fleet contributed 23% and 21%, respectively, of marine transportation revenues.</w:t>
      </w:r>
    </w:p>
    <w:p>
      <w:pPr>
        <w:spacing w:after="0" w:line="185"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7"/>
          <w:szCs w:val="17"/>
          <w:color w:val="auto"/>
        </w:rPr>
        <w:t>Inland tank barge utilization levels averaged in the mid-70% range during the 2021 first quarter, the low to mid-80% range during the 2021 second quarter, and the low 80% range during the 2021 third quarter. In 2020, inland tank barge utilization levels averaged in the low to mid-90% range during the 2020 first quarter, the mid-80% range during the 2020 second quarter, and the low 70% range during the 2020 third quarter. The 2021 first nine months and the 2020 second and third quarters were impacted by reduced demand as a result of the COVID-19 pandemic and the resulting economic slowdown. The 2021 second quarter was favorably impacted by the Colonial Pipeline outage in May. The 2021 first nine months was also impacted by reduced volumes as a result of Winter Storm Uri during the first quarter. The 2020 first quarter experienced strong demand from petrochemicals, black oil, and refined petroleum products customers. In addition, extensive delay days due to poor operating conditions and lock maintenance projects in the 2020 first quarter slowed the transport of customer cargoes and contributed to strong utilization.</w:t>
      </w:r>
    </w:p>
    <w:p>
      <w:pPr>
        <w:spacing w:after="0" w:line="195" w:lineRule="exact"/>
        <w:rPr>
          <w:sz w:val="20"/>
          <w:szCs w:val="20"/>
          <w:color w:val="auto"/>
        </w:rPr>
      </w:pPr>
    </w:p>
    <w:p>
      <w:pPr>
        <w:jc w:val="both"/>
        <w:ind w:firstLine="562"/>
        <w:spacing w:after="0" w:line="230" w:lineRule="exact"/>
        <w:rPr>
          <w:sz w:val="20"/>
          <w:szCs w:val="20"/>
          <w:color w:val="auto"/>
        </w:rPr>
      </w:pPr>
      <w:r>
        <w:rPr>
          <w:rFonts w:ascii="Arial" w:cs="Arial" w:eastAsia="Arial" w:hAnsi="Arial"/>
          <w:sz w:val="18"/>
          <w:szCs w:val="18"/>
          <w:color w:val="auto"/>
        </w:rPr>
        <w:t>Coastal tank barge utilization levels averaged in the mid-70% range during the 2021 first and third quarters and the low to mid</w:t>
      </w:r>
      <w:r>
        <w:rPr>
          <w:rFonts w:ascii="MS PGothic" w:cs="MS PGothic" w:eastAsia="MS PGothic" w:hAnsi="MS PGothic"/>
          <w:sz w:val="18"/>
          <w:szCs w:val="18"/>
          <w:color w:val="auto"/>
        </w:rPr>
        <w:t>‑</w:t>
      </w:r>
      <w:r>
        <w:rPr>
          <w:rFonts w:ascii="Arial" w:cs="Arial" w:eastAsia="Arial" w:hAnsi="Arial"/>
          <w:sz w:val="18"/>
          <w:szCs w:val="18"/>
          <w:color w:val="auto"/>
        </w:rPr>
        <w:t>70% range during the 2021 second quarter. Coastal tank barge utilization levels averaged in the low to mid-80% range during the 2020 first quarter and the mid-70% range during the 2020 second and third quarters. The 2021 first nine months and the 2020 second and third quarters were impacted by reduced demand as a result of the COVID-19 pandemic and the resulting economic slowdown. Barge utilization in the coastal marine fleet continued to be impacted by the oversupply of tank barges in the coastal industry in 2021 and 2020.</w:t>
      </w:r>
    </w:p>
    <w:p>
      <w:pPr>
        <w:spacing w:after="0" w:line="230"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7"/>
          <w:szCs w:val="17"/>
          <w:color w:val="auto"/>
        </w:rPr>
        <w:t>The petrochemical market, the Company’s largest market, contributed 51% and 50% of marine transportation revenues for the 2021 third quarter and first nine months, respectively, reflecting reduced volumes from Gulf Coast petrochemical plants for both domestic consumption and to terminals for export destinations as a result of the COVID-19 pandemic. During the 2021 first quarter, as much as 80% of U.S. chemical plant capacity was offline at the peak of Winter Storm Uri, contributing to significantly reduced volumes and revenues; however, volumes and revenues sequentially improved in the 2021 second quarter as chemical plants resumed full operations by May. During the 2021 third quarter, volumes declined again as numerous Louisiana chemical plants were shut down for an extended period of time as a result of Hurricane Ida.</w:t>
      </w:r>
    </w:p>
    <w:p>
      <w:pPr>
        <w:spacing w:after="0" w:line="189" w:lineRule="exact"/>
        <w:rPr>
          <w:sz w:val="20"/>
          <w:szCs w:val="20"/>
          <w:color w:val="auto"/>
        </w:rPr>
      </w:pPr>
    </w:p>
    <w:p>
      <w:pPr>
        <w:jc w:val="both"/>
        <w:ind w:firstLine="562"/>
        <w:spacing w:after="0" w:line="306" w:lineRule="auto"/>
        <w:rPr>
          <w:sz w:val="20"/>
          <w:szCs w:val="20"/>
          <w:color w:val="auto"/>
        </w:rPr>
      </w:pPr>
      <w:r>
        <w:rPr>
          <w:rFonts w:ascii="Arial" w:cs="Arial" w:eastAsia="Arial" w:hAnsi="Arial"/>
          <w:sz w:val="16"/>
          <w:szCs w:val="16"/>
          <w:color w:val="auto"/>
        </w:rPr>
        <w:t>The black oil market, which contributed 25% and 26% of marine transportation revenues for the 2021 third quarter and first nine months, respectively, reflected reduced demand as refinery production levels and the export of refined petroleum products and fuel oils declined as a result of the COVID-19 pandemic. During the 2021 first quarter, U.S. refinery utilization dropped to near 40% during the peak of Winter Storm Uri, contributing to significantly reduced volumes and revenues. Although refinery utilization increased back to near 90% in the 2021 second quarter contributing to sequentially increased volumes and revenues, volumes declined again during the 2021 third quarter as Louisiana refineries were shut down for an extended period of time as a result of Hurricane Ida. During the 2021 third quarter and first nine months, the Company continued to transport crude oil and natural gas condensate produced from the Permian Basin as well as reduced volumes from the Eagle Ford shale formation in Texas, both along the Gulf Intracoastal Waterway with inland vessels and in the Gulf of Mexico with coastal equipment. Additionally, the Company transported volumes of Utica natural gas condensate downriver from the Mid-Atlantic to the Gulf Coast and Canadian and Bakken crude downriver from the Midwest to the Gulf Coast.</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3" name="Picture 35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3"/>
                    <pic:cNvPicPr>
                      <a:picLocks noChangeAspect="1" noChangeArrowheads="1"/>
                    </pic:cNvPicPr>
                  </pic:nvPicPr>
                  <pic:blipFill>
                    <a:blip r:embed="rId36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4" w:name="page25"/>
    <w:bookmarkEnd w:id="24"/>
    <w:p>
      <w:pPr>
        <w:jc w:val="both"/>
        <w:ind w:firstLine="569"/>
        <w:spacing w:after="0" w:line="271" w:lineRule="auto"/>
        <w:rPr>
          <w:sz w:val="20"/>
          <w:szCs w:val="20"/>
          <w:color w:val="auto"/>
        </w:rPr>
      </w:pPr>
      <w:r>
        <w:rPr>
          <w:rFonts w:ascii="Arial" w:cs="Arial" w:eastAsia="Arial" w:hAnsi="Arial"/>
          <w:sz w:val="18"/>
          <w:szCs w:val="18"/>
          <w:color w:val="auto"/>
        </w:rPr>
        <w:t>The refined petroleum products market, which contributed 20% of marine transportation revenues for both the 2021 third quarter and first nine months, reflected lower volumes in both the inland and coastal markets as a result of reduced demand related to the COVID-19 pandemic. In addition, during the 2021 first quarter, U.S. refinery utilization dropped to near 40% during the peak of Winter Storm Uri, contributing to significantly reduced volumes and revenues. Although refinery utilization increased back to near 90% in the 2021 second quarter contributing to sequentially increased volumes and revenues, volumes declined again during the 2021 third quarter as Louisiana refineries were shut down for an extended period of time as a result of Hurricane Ida.</w:t>
      </w:r>
    </w:p>
    <w:p>
      <w:pPr>
        <w:spacing w:after="0" w:line="204"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agricultural chemical market, which contributed 4% of marine transportation revenues for both the 2021 third quarter and first nine months, saw modest reductions in demand for transportation of both domestically produced and imported products, primarily due to reduced demand associated with the COVID-19 pandemic.</w:t>
      </w:r>
    </w:p>
    <w:p>
      <w:pPr>
        <w:spacing w:after="0" w:line="196"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7"/>
          <w:szCs w:val="17"/>
          <w:color w:val="auto"/>
        </w:rPr>
        <w:t>For the 2021 third quarter, the inland operations incurred 1,499 delay days, 12% more than the 1,335 delay days that occurred during the 2020 third quarter. For the 2021 first nine months, the inland operations incurred 7,275 delay days, 16% fewer than the 8,640 delay days that occurred during the 2020 first nine months. Delay days measure the lost time incurred by a tow (towboat and one or more tank barges) during transit when the tow is stopped due to weather, lock conditions, or other navigational factors. Delay days for the 2021 and 2020 first nine months reflected poor operating conditions due to heavy wind and fog along the Gulf Coast, high water conditions on the Mississippi River System, and closures of key waterways as a result of lock maintenance projects during the 2021 and 2020 first quarters. The decrease in delay days in the 2021 first nine months reflects reduced volumes and barge utilization compared to the 2020 first nine months while the increase in delay days in the 2021 third quarter reflects the impacts of Hurricane Ida as well as significant lock closures along the Gulf Intracoastal Waterway compared to the 2020 third quarter.</w:t>
      </w:r>
    </w:p>
    <w:p>
      <w:pPr>
        <w:spacing w:after="0" w:line="195"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8"/>
          <w:szCs w:val="18"/>
          <w:color w:val="auto"/>
        </w:rPr>
        <w:t>During both the 2021 third quarter and first nine months, approximately 65% of marine transportation’s inland revenues were under term contracts and 35% were spot contract revenues. During the 2020 third quarter and first nine months, approximately 70% and 65%, respectively, of marine transportation’s inland revenues were under term contracts and 30% and 35%, respectively, were spot contract revenues. Inland time charters during the 2021 third quarter and first nine months represented 56% and 58%, respectively, of the inland revenues under term contracts compared with 67% in both the 2020 third quarter and first nine months. During both the 2021 third quarter and first nine months, approximately 80% of the coastal revenues were under term contracts and 20% were spot contract revenues. During both the 2020 third quarter and first nine months, approximately 85% of coastal revenues were under term contracts, and 15% were under spot contract revenues. Coastal time charters represented approximately 85% of coastal revenues under term contracts during both the 2021 third quarter and first nine months compared with approximately 90% during both the 2020 third quarter and first nine months.</w:t>
      </w:r>
    </w:p>
    <w:p>
      <w:pPr>
        <w:spacing w:after="0" w:line="207"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summarizes the average range of pricing changes in term and spot contracts renewed during 2021 compared to contracts renewed during the corresponding quarter of 2020:</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6520" w:type="dxa"/>
            <w:vAlign w:val="bottom"/>
          </w:tcPr>
          <w:p>
            <w:pPr>
              <w:spacing w:after="0"/>
              <w:rPr>
                <w:sz w:val="16"/>
                <w:szCs w:val="16"/>
                <w:color w:val="auto"/>
              </w:rPr>
            </w:pPr>
          </w:p>
        </w:tc>
        <w:tc>
          <w:tcPr>
            <w:tcW w:w="1480" w:type="dxa"/>
            <w:vAlign w:val="bottom"/>
            <w:tcBorders>
              <w:bottom w:val="single" w:sz="8" w:color="auto"/>
            </w:tcBorders>
          </w:tcPr>
          <w:p>
            <w:pPr>
              <w:spacing w:after="0"/>
              <w:rPr>
                <w:sz w:val="16"/>
                <w:szCs w:val="16"/>
                <w:color w:val="auto"/>
              </w:rPr>
            </w:pPr>
          </w:p>
        </w:tc>
        <w:tc>
          <w:tcPr>
            <w:tcW w:w="160" w:type="dxa"/>
            <w:vAlign w:val="bottom"/>
            <w:tcBorders>
              <w:bottom w:val="single" w:sz="8" w:color="auto"/>
            </w:tcBorders>
          </w:tcPr>
          <w:p>
            <w:pPr>
              <w:spacing w:after="0"/>
              <w:rPr>
                <w:sz w:val="16"/>
                <w:szCs w:val="16"/>
                <w:color w:val="auto"/>
              </w:rPr>
            </w:pPr>
          </w:p>
        </w:tc>
        <w:tc>
          <w:tcPr>
            <w:tcW w:w="1480" w:type="dxa"/>
            <w:vAlign w:val="bottom"/>
            <w:tcBorders>
              <w:bottom w:val="single" w:sz="8" w:color="auto"/>
            </w:tcBorders>
          </w:tcPr>
          <w:p>
            <w:pPr>
              <w:jc w:val="right"/>
              <w:ind w:right="16"/>
              <w:spacing w:after="0"/>
              <w:rPr>
                <w:sz w:val="20"/>
                <w:szCs w:val="20"/>
                <w:color w:val="auto"/>
              </w:rPr>
            </w:pPr>
            <w:r>
              <w:rPr>
                <w:rFonts w:ascii="Arial" w:cs="Arial" w:eastAsia="Arial" w:hAnsi="Arial"/>
                <w:sz w:val="14"/>
                <w:szCs w:val="14"/>
                <w:b w:val="1"/>
                <w:bCs w:val="1"/>
                <w:color w:val="auto"/>
                <w:w w:val="98"/>
              </w:rPr>
              <w:t>Three Months Ended</w:t>
            </w:r>
          </w:p>
        </w:tc>
        <w:tc>
          <w:tcPr>
            <w:tcW w:w="140" w:type="dxa"/>
            <w:vAlign w:val="bottom"/>
            <w:tcBorders>
              <w:bottom w:val="single" w:sz="8" w:color="auto"/>
            </w:tcBorders>
          </w:tcPr>
          <w:p>
            <w:pPr>
              <w:spacing w:after="0"/>
              <w:rPr>
                <w:sz w:val="16"/>
                <w:szCs w:val="16"/>
                <w:color w:val="auto"/>
              </w:rPr>
            </w:pPr>
          </w:p>
        </w:tc>
        <w:tc>
          <w:tcPr>
            <w:tcW w:w="1460" w:type="dxa"/>
            <w:vAlign w:val="bottom"/>
            <w:tcBorders>
              <w:bottom w:val="single" w:sz="8" w:color="auto"/>
            </w:tcBorders>
          </w:tcPr>
          <w:p>
            <w:pPr>
              <w:spacing w:after="0"/>
              <w:rPr>
                <w:sz w:val="16"/>
                <w:szCs w:val="16"/>
                <w:color w:val="auto"/>
              </w:rPr>
            </w:pPr>
          </w:p>
        </w:tc>
      </w:tr>
      <w:tr>
        <w:trPr>
          <w:trHeight w:val="196"/>
        </w:trPr>
        <w:tc>
          <w:tcPr>
            <w:tcW w:w="6520" w:type="dxa"/>
            <w:vAlign w:val="bottom"/>
          </w:tcPr>
          <w:p>
            <w:pPr>
              <w:spacing w:after="0"/>
              <w:rPr>
                <w:sz w:val="17"/>
                <w:szCs w:val="17"/>
                <w:color w:val="auto"/>
              </w:rPr>
            </w:pPr>
          </w:p>
        </w:tc>
        <w:tc>
          <w:tcPr>
            <w:tcW w:w="1480" w:type="dxa"/>
            <w:vAlign w:val="bottom"/>
            <w:tcBorders>
              <w:bottom w:val="single" w:sz="8" w:color="auto"/>
            </w:tcBorders>
          </w:tcPr>
          <w:p>
            <w:pPr>
              <w:jc w:val="right"/>
              <w:ind w:right="174"/>
              <w:spacing w:after="0"/>
              <w:rPr>
                <w:sz w:val="20"/>
                <w:szCs w:val="20"/>
                <w:color w:val="auto"/>
              </w:rPr>
            </w:pPr>
            <w:r>
              <w:rPr>
                <w:rFonts w:ascii="Arial" w:cs="Arial" w:eastAsia="Arial" w:hAnsi="Arial"/>
                <w:sz w:val="14"/>
                <w:szCs w:val="14"/>
                <w:b w:val="1"/>
                <w:bCs w:val="1"/>
                <w:color w:val="auto"/>
              </w:rPr>
              <w:t>March 31, 2021</w:t>
            </w:r>
          </w:p>
        </w:tc>
        <w:tc>
          <w:tcPr>
            <w:tcW w:w="160" w:type="dxa"/>
            <w:vAlign w:val="bottom"/>
          </w:tcPr>
          <w:p>
            <w:pPr>
              <w:spacing w:after="0"/>
              <w:rPr>
                <w:sz w:val="17"/>
                <w:szCs w:val="17"/>
                <w:color w:val="auto"/>
              </w:rPr>
            </w:pPr>
          </w:p>
        </w:tc>
        <w:tc>
          <w:tcPr>
            <w:tcW w:w="1480" w:type="dxa"/>
            <w:vAlign w:val="bottom"/>
            <w:tcBorders>
              <w:bottom w:val="single" w:sz="8" w:color="auto"/>
            </w:tcBorders>
          </w:tcPr>
          <w:p>
            <w:pPr>
              <w:jc w:val="right"/>
              <w:ind w:right="236"/>
              <w:spacing w:after="0"/>
              <w:rPr>
                <w:sz w:val="20"/>
                <w:szCs w:val="20"/>
                <w:color w:val="auto"/>
              </w:rPr>
            </w:pPr>
            <w:r>
              <w:rPr>
                <w:rFonts w:ascii="Arial" w:cs="Arial" w:eastAsia="Arial" w:hAnsi="Arial"/>
                <w:sz w:val="14"/>
                <w:szCs w:val="14"/>
                <w:b w:val="1"/>
                <w:bCs w:val="1"/>
                <w:color w:val="auto"/>
              </w:rPr>
              <w:t>June 30, 2021</w:t>
            </w:r>
          </w:p>
        </w:tc>
        <w:tc>
          <w:tcPr>
            <w:tcW w:w="140" w:type="dxa"/>
            <w:vAlign w:val="bottom"/>
          </w:tcPr>
          <w:p>
            <w:pPr>
              <w:spacing w:after="0"/>
              <w:rPr>
                <w:sz w:val="17"/>
                <w:szCs w:val="17"/>
                <w:color w:val="auto"/>
              </w:rPr>
            </w:pPr>
          </w:p>
        </w:tc>
        <w:tc>
          <w:tcPr>
            <w:tcW w:w="146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September 30, 2021</w:t>
            </w:r>
          </w:p>
        </w:tc>
      </w:tr>
      <w:tr>
        <w:trPr>
          <w:trHeight w:val="256"/>
        </w:trPr>
        <w:tc>
          <w:tcPr>
            <w:tcW w:w="6520" w:type="dxa"/>
            <w:vAlign w:val="bottom"/>
            <w:shd w:val="clear" w:color="auto" w:fill="CFF0FC"/>
          </w:tcPr>
          <w:p>
            <w:pPr>
              <w:ind w:left="20"/>
              <w:spacing w:after="0"/>
              <w:rPr>
                <w:sz w:val="20"/>
                <w:szCs w:val="20"/>
                <w:color w:val="auto"/>
              </w:rPr>
            </w:pPr>
            <w:r>
              <w:rPr>
                <w:rFonts w:ascii="Arial" w:cs="Arial" w:eastAsia="Arial" w:hAnsi="Arial"/>
                <w:sz w:val="18"/>
                <w:szCs w:val="18"/>
                <w:color w:val="auto"/>
              </w:rPr>
              <w:t>Inland market:</w:t>
            </w:r>
          </w:p>
        </w:tc>
        <w:tc>
          <w:tcPr>
            <w:tcW w:w="1480" w:type="dxa"/>
            <w:vAlign w:val="bottom"/>
            <w:shd w:val="clear" w:color="auto" w:fill="CFF0FC"/>
          </w:tcPr>
          <w:p>
            <w:pPr>
              <w:spacing w:after="0"/>
              <w:rPr>
                <w:sz w:val="22"/>
                <w:szCs w:val="22"/>
                <w:color w:val="auto"/>
              </w:rPr>
            </w:pP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spacing w:after="0"/>
              <w:rPr>
                <w:sz w:val="22"/>
                <w:szCs w:val="22"/>
                <w:color w:val="auto"/>
              </w:rPr>
            </w:pP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spacing w:after="0"/>
              <w:rPr>
                <w:sz w:val="22"/>
                <w:szCs w:val="22"/>
                <w:color w:val="auto"/>
              </w:rPr>
            </w:pPr>
          </w:p>
        </w:tc>
      </w:tr>
      <w:tr>
        <w:trPr>
          <w:trHeight w:val="250"/>
        </w:trPr>
        <w:tc>
          <w:tcPr>
            <w:tcW w:w="6520" w:type="dxa"/>
            <w:vAlign w:val="bottom"/>
          </w:tcPr>
          <w:p>
            <w:pPr>
              <w:ind w:left="200"/>
              <w:spacing w:after="0"/>
              <w:rPr>
                <w:sz w:val="20"/>
                <w:szCs w:val="20"/>
                <w:color w:val="auto"/>
              </w:rPr>
            </w:pPr>
            <w:r>
              <w:rPr>
                <w:rFonts w:ascii="Arial" w:cs="Arial" w:eastAsia="Arial" w:hAnsi="Arial"/>
                <w:sz w:val="18"/>
                <w:szCs w:val="18"/>
                <w:color w:val="auto"/>
              </w:rPr>
              <w:t>Term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(7)% – (9)%</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(6)% – (8)%</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(2)% – (4)%</w:t>
            </w: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Spot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(25)% – (30)%</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 – (15)%</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r>
      <w:tr>
        <w:trPr>
          <w:trHeight w:val="250"/>
        </w:trPr>
        <w:tc>
          <w:tcPr>
            <w:tcW w:w="6520" w:type="dxa"/>
            <w:vAlign w:val="bottom"/>
          </w:tcPr>
          <w:p>
            <w:pPr>
              <w:ind w:left="20"/>
              <w:spacing w:after="0"/>
              <w:rPr>
                <w:sz w:val="20"/>
                <w:szCs w:val="20"/>
                <w:color w:val="auto"/>
              </w:rPr>
            </w:pPr>
            <w:r>
              <w:rPr>
                <w:rFonts w:ascii="Arial" w:cs="Arial" w:eastAsia="Arial" w:hAnsi="Arial"/>
                <w:sz w:val="18"/>
                <w:szCs w:val="18"/>
                <w:color w:val="auto"/>
              </w:rPr>
              <w:t>Coastal market (a):</w:t>
            </w:r>
          </w:p>
        </w:tc>
        <w:tc>
          <w:tcPr>
            <w:tcW w:w="1480" w:type="dxa"/>
            <w:vAlign w:val="bottom"/>
          </w:tcPr>
          <w:p>
            <w:pPr>
              <w:spacing w:after="0"/>
              <w:rPr>
                <w:sz w:val="21"/>
                <w:szCs w:val="21"/>
                <w:color w:val="auto"/>
              </w:rPr>
            </w:pPr>
          </w:p>
        </w:tc>
        <w:tc>
          <w:tcPr>
            <w:tcW w:w="160" w:type="dxa"/>
            <w:vAlign w:val="bottom"/>
          </w:tcPr>
          <w:p>
            <w:pPr>
              <w:spacing w:after="0"/>
              <w:rPr>
                <w:sz w:val="21"/>
                <w:szCs w:val="21"/>
                <w:color w:val="auto"/>
              </w:rPr>
            </w:pPr>
          </w:p>
        </w:tc>
        <w:tc>
          <w:tcPr>
            <w:tcW w:w="1480" w:type="dxa"/>
            <w:vAlign w:val="bottom"/>
          </w:tcPr>
          <w:p>
            <w:pPr>
              <w:spacing w:after="0"/>
              <w:rPr>
                <w:sz w:val="21"/>
                <w:szCs w:val="21"/>
                <w:color w:val="auto"/>
              </w:rPr>
            </w:pPr>
          </w:p>
        </w:tc>
        <w:tc>
          <w:tcPr>
            <w:tcW w:w="140" w:type="dxa"/>
            <w:vAlign w:val="bottom"/>
          </w:tcPr>
          <w:p>
            <w:pPr>
              <w:spacing w:after="0"/>
              <w:rPr>
                <w:sz w:val="21"/>
                <w:szCs w:val="21"/>
                <w:color w:val="auto"/>
              </w:rPr>
            </w:pPr>
          </w:p>
        </w:tc>
        <w:tc>
          <w:tcPr>
            <w:tcW w:w="1460" w:type="dxa"/>
            <w:vAlign w:val="bottom"/>
          </w:tcPr>
          <w:p>
            <w:pPr>
              <w:spacing w:after="0"/>
              <w:rPr>
                <w:sz w:val="21"/>
                <w:szCs w:val="21"/>
                <w:color w:val="auto"/>
              </w:rPr>
            </w:pPr>
          </w:p>
        </w:tc>
      </w:tr>
      <w:tr>
        <w:trPr>
          <w:trHeight w:val="263"/>
        </w:trPr>
        <w:tc>
          <w:tcPr>
            <w:tcW w:w="65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increase (decrease)</w:t>
            </w: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shd w:val="clear" w:color="auto" w:fill="CFF0FC"/>
          </w:tcPr>
          <w:p>
            <w:pPr>
              <w:spacing w:after="0"/>
              <w:rPr>
                <w:sz w:val="22"/>
                <w:szCs w:val="22"/>
                <w:color w:val="auto"/>
              </w:rPr>
            </w:pPr>
          </w:p>
        </w:tc>
        <w:tc>
          <w:tcPr>
            <w:tcW w:w="14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shd w:val="clear" w:color="auto" w:fill="CFF0FC"/>
          </w:tcPr>
          <w:p>
            <w:pPr>
              <w:spacing w:after="0"/>
              <w:rPr>
                <w:sz w:val="22"/>
                <w:szCs w:val="22"/>
                <w:color w:val="auto"/>
              </w:rPr>
            </w:pPr>
          </w:p>
        </w:tc>
        <w:tc>
          <w:tcPr>
            <w:tcW w:w="14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No change</w:t>
            </w:r>
          </w:p>
        </w:tc>
      </w:tr>
      <w:tr>
        <w:trPr>
          <w:trHeight w:val="243"/>
        </w:trPr>
        <w:tc>
          <w:tcPr>
            <w:tcW w:w="6520" w:type="dxa"/>
            <w:vAlign w:val="bottom"/>
          </w:tcPr>
          <w:p>
            <w:pPr>
              <w:ind w:left="200"/>
              <w:spacing w:after="0"/>
              <w:rPr>
                <w:sz w:val="20"/>
                <w:szCs w:val="20"/>
                <w:color w:val="auto"/>
              </w:rPr>
            </w:pPr>
            <w:r>
              <w:rPr>
                <w:rFonts w:ascii="Arial" w:cs="Arial" w:eastAsia="Arial" w:hAnsi="Arial"/>
                <w:sz w:val="18"/>
                <w:szCs w:val="18"/>
                <w:color w:val="auto"/>
              </w:rPr>
              <w:t>Spot increase (decrease)</w:t>
            </w:r>
          </w:p>
        </w:tc>
        <w:tc>
          <w:tcPr>
            <w:tcW w:w="148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60" w:type="dxa"/>
            <w:vAlign w:val="bottom"/>
          </w:tcPr>
          <w:p>
            <w:pPr>
              <w:spacing w:after="0"/>
              <w:rPr>
                <w:sz w:val="21"/>
                <w:szCs w:val="21"/>
                <w:color w:val="auto"/>
              </w:rPr>
            </w:pPr>
          </w:p>
        </w:tc>
        <w:tc>
          <w:tcPr>
            <w:tcW w:w="1480" w:type="dxa"/>
            <w:vAlign w:val="bottom"/>
          </w:tcPr>
          <w:p>
            <w:pPr>
              <w:jc w:val="right"/>
              <w:spacing w:after="0"/>
              <w:rPr>
                <w:sz w:val="20"/>
                <w:szCs w:val="20"/>
                <w:color w:val="auto"/>
              </w:rPr>
            </w:pPr>
            <w:r>
              <w:rPr>
                <w:rFonts w:ascii="Arial" w:cs="Arial" w:eastAsia="Arial" w:hAnsi="Arial"/>
                <w:sz w:val="18"/>
                <w:szCs w:val="18"/>
                <w:color w:val="auto"/>
              </w:rPr>
              <w:t>No change</w:t>
            </w:r>
          </w:p>
        </w:tc>
        <w:tc>
          <w:tcPr>
            <w:tcW w:w="140" w:type="dxa"/>
            <w:vAlign w:val="bottom"/>
          </w:tcPr>
          <w:p>
            <w:pPr>
              <w:spacing w:after="0"/>
              <w:rPr>
                <w:sz w:val="21"/>
                <w:szCs w:val="21"/>
                <w:color w:val="auto"/>
              </w:rPr>
            </w:pPr>
          </w:p>
        </w:tc>
        <w:tc>
          <w:tcPr>
            <w:tcW w:w="1460" w:type="dxa"/>
            <w:vAlign w:val="bottom"/>
          </w:tcPr>
          <w:p>
            <w:pPr>
              <w:jc w:val="right"/>
              <w:spacing w:after="0"/>
              <w:rPr>
                <w:sz w:val="20"/>
                <w:szCs w:val="20"/>
                <w:color w:val="auto"/>
              </w:rPr>
            </w:pPr>
            <w:r>
              <w:rPr>
                <w:rFonts w:ascii="Arial" w:cs="Arial" w:eastAsia="Arial" w:hAnsi="Arial"/>
                <w:sz w:val="18"/>
                <w:szCs w:val="18"/>
                <w:color w:val="auto"/>
              </w:rPr>
              <w:t>No change</w:t>
            </w:r>
          </w:p>
        </w:tc>
      </w:tr>
    </w:tbl>
    <w:p>
      <w:pPr>
        <w:spacing w:after="0" w:line="242" w:lineRule="exact"/>
        <w:rPr>
          <w:sz w:val="20"/>
          <w:szCs w:val="20"/>
          <w:color w:val="auto"/>
        </w:rPr>
      </w:pPr>
    </w:p>
    <w:p>
      <w:pPr>
        <w:ind w:left="900" w:hanging="330"/>
        <w:spacing w:after="0" w:line="293" w:lineRule="auto"/>
        <w:tabs>
          <w:tab w:leader="none" w:pos="900" w:val="left"/>
        </w:tabs>
        <w:numPr>
          <w:ilvl w:val="0"/>
          <w:numId w:val="14"/>
        </w:numPr>
        <w:rPr>
          <w:rFonts w:ascii="Arial" w:cs="Arial" w:eastAsia="Arial" w:hAnsi="Arial"/>
          <w:sz w:val="18"/>
          <w:szCs w:val="18"/>
          <w:color w:val="auto"/>
        </w:rPr>
      </w:pPr>
      <w:r>
        <w:rPr>
          <w:rFonts w:ascii="Arial" w:cs="Arial" w:eastAsia="Arial" w:hAnsi="Arial"/>
          <w:sz w:val="18"/>
          <w:szCs w:val="18"/>
          <w:color w:val="auto"/>
        </w:rPr>
        <w:t>Spot and term contract pricing in the coastal market are contingent on various factors including geographic location, vessel capacity, vessel type, and product serviced.</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Effective January 1, 2021, annual escalators for labor and the producer price index on a number of inland multi-year contracts resulted in rate increases on those contracts of approximately 3%, excluding fuel.</w:t>
      </w:r>
    </w:p>
    <w:p>
      <w:pPr>
        <w:spacing w:after="0" w:line="183"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Marine Transportation Costs and Expenses</w:t>
      </w:r>
    </w:p>
    <w:p>
      <w:pPr>
        <w:spacing w:after="0" w:line="252"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7"/>
          <w:szCs w:val="17"/>
          <w:color w:val="auto"/>
        </w:rPr>
        <w:t>Costs and expenses for the 2021 third quarter and first nine months increased 12% and decreased 4%, respectively, compared with the 2020 third quarter and first nine months. Costs of sales and operating expenses for the 2021 third quarter and first nine months increased 15% and decreased 5%, respectively, compared with the 2020 third quarter and first nine months, respectively. The decreases during the 2021 first nine months primarily reflect to cost reductions across the segment, including a reduction in towboats during the 2020 last nine months and the 2021 first quarter and a reduction in maintenance expenses during the first half of the year, partially offset by the addition of the Savage fleet in April 2020. The increases during the 2021 third quarter primarily reflect increased fuel costs and maintenance expenses as business activity levels improved.</w:t>
      </w:r>
    </w:p>
    <w:p>
      <w:pPr>
        <w:spacing w:after="0" w:line="33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4" name="Picture 35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4"/>
                    <pic:cNvPicPr>
                      <a:picLocks noChangeAspect="1" noChangeArrowheads="1"/>
                    </pic:cNvPicPr>
                  </pic:nvPicPr>
                  <pic:blipFill>
                    <a:blip r:embed="rId36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5" w:name="page26"/>
    <w:bookmarkEnd w:id="25"/>
    <w:p>
      <w:pPr>
        <w:jc w:val="both"/>
        <w:ind w:firstLine="562"/>
        <w:spacing w:after="0" w:line="270" w:lineRule="auto"/>
        <w:rPr>
          <w:sz w:val="20"/>
          <w:szCs w:val="20"/>
          <w:color w:val="auto"/>
        </w:rPr>
      </w:pPr>
      <w:r>
        <w:rPr>
          <w:rFonts w:ascii="Arial" w:cs="Arial" w:eastAsia="Arial" w:hAnsi="Arial"/>
          <w:sz w:val="18"/>
          <w:szCs w:val="18"/>
          <w:color w:val="auto"/>
        </w:rPr>
        <w:t>The inland marine transportation fleet operated an average of 243 towboats during the 2021 third quarter, of which an average of 30 were chartered, compared with 265 during the 2020 third quarter, of which an average of 36 were chartered. The decrease was primarily due to reduced horsepower requirements as a result of a smaller barge fleet, crewing issues associated with the COVID-19 delta variant, and reduced activity as a result of the impacts of Hurricane Ida. Generally, as demand or anticipated demand increases or decreases, as new tank barges are added to or removed from the fleet, as chartered towboat availability changes, or as weather or water conditions dictate, the Company charters in or releases chartered towboats in an effort to balance horsepower needs with current requirements. The Company has historically used chartered towboats for approximately one-fourth of its horsepower requirements.</w:t>
      </w:r>
    </w:p>
    <w:p>
      <w:pPr>
        <w:spacing w:after="0" w:line="206" w:lineRule="exact"/>
        <w:rPr>
          <w:sz w:val="20"/>
          <w:szCs w:val="20"/>
          <w:color w:val="auto"/>
        </w:rPr>
      </w:pPr>
    </w:p>
    <w:p>
      <w:pPr>
        <w:jc w:val="both"/>
        <w:ind w:firstLine="569"/>
        <w:spacing w:after="0" w:line="288" w:lineRule="auto"/>
        <w:rPr>
          <w:sz w:val="20"/>
          <w:szCs w:val="20"/>
          <w:color w:val="auto"/>
        </w:rPr>
      </w:pPr>
      <w:r>
        <w:rPr>
          <w:rFonts w:ascii="Arial" w:cs="Arial" w:eastAsia="Arial" w:hAnsi="Arial"/>
          <w:sz w:val="17"/>
          <w:szCs w:val="17"/>
          <w:color w:val="auto"/>
        </w:rPr>
        <w:t>During the 2021 third quarter, the inland operations consumed 11.8 million gallons of diesel fuel compared to 10.2 million gallons consumed during the 2020 third quarter. The average price per gallon of diesel fuel consumed during the 2021 third quarter was $2.24 per gallon compared with $1.27 per gallon for the 2020 third quarter. During the 2021 first nine months, the inland operations consumed 34.4 million gallons of diesel fuel compared to 36.3 million gallons consumed during the 2020 first nine months. The average price per gallon of diesel fuel consumed during the 2021 first nine months was $1.99 per gallon compared with $1.47 per gallon for the 2020 first nine months. Fuel escalation and de-escalation clauses on term contracts are designed to rebate fuel costs when prices decline and recover additional fuel costs when fuel prices rise; however, there is generally a 30 to 90 day delay before contracts are adjusted. Spot contracts do not have escalators for fuel.</w:t>
      </w:r>
    </w:p>
    <w:p>
      <w:pPr>
        <w:spacing w:after="0" w:line="194"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Selling, general and administrative expenses for the 2021 third quarter and first nine months increased 11% and 4%, respectively, compared with the 2020 third quarter and first nine months. The increase in the 2021 third quarter was primarily due to higher incentive compensation accruals, medical costs, and professional fees.</w:t>
      </w:r>
    </w:p>
    <w:p>
      <w:pPr>
        <w:spacing w:after="0" w:line="19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Taxes, other than on income, for the 2021 third quarter and first nine months increased 15% and decreased 14%, respectively, compared with the 2020 third quarter and first nine months. The increase during the 2021 third quarter primarily reflected higher property taxes on marine transportation equipment due to a favorable adjustment in the 2020 third quarter and higher waterway use taxes, while the decrease for the first nine months reflected lower property taxes on marine transportation equipment during the first half of the year.</w:t>
      </w:r>
    </w:p>
    <w:p>
      <w:pPr>
        <w:spacing w:after="0" w:line="199" w:lineRule="exact"/>
        <w:rPr>
          <w:sz w:val="20"/>
          <w:szCs w:val="20"/>
          <w:color w:val="auto"/>
        </w:rPr>
      </w:pPr>
    </w:p>
    <w:p>
      <w:pPr>
        <w:jc w:val="both"/>
        <w:ind w:firstLine="562"/>
        <w:spacing w:after="0" w:line="303" w:lineRule="auto"/>
        <w:rPr>
          <w:sz w:val="20"/>
          <w:szCs w:val="20"/>
          <w:color w:val="auto"/>
        </w:rPr>
      </w:pPr>
      <w:r>
        <w:rPr>
          <w:rFonts w:ascii="Arial" w:cs="Arial" w:eastAsia="Arial" w:hAnsi="Arial"/>
          <w:sz w:val="17"/>
          <w:szCs w:val="17"/>
          <w:color w:val="auto"/>
        </w:rPr>
        <w:t>Depreciation and amortization for the 2021 third quarter and first nine months decreased 2% and increased 2%, respectively, compared to the 2020 third quarter and first nine months. The decrease in the 2021 third quarter primarily reflects retirements of marine equipment during the 2020 fourth quarter and the 2021 first nine months while the increase in the first nine months reflects the acquisition of the Savage fleet in April 2020.</w:t>
      </w:r>
    </w:p>
    <w:p>
      <w:pPr>
        <w:spacing w:after="0" w:line="178"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Marine Transportation Operating Income and Operating Margin</w:t>
      </w:r>
    </w:p>
    <w:p>
      <w:pPr>
        <w:spacing w:after="0" w:line="252" w:lineRule="exact"/>
        <w:rPr>
          <w:sz w:val="20"/>
          <w:szCs w:val="20"/>
          <w:color w:val="auto"/>
        </w:rPr>
      </w:pPr>
    </w:p>
    <w:p>
      <w:pPr>
        <w:jc w:val="both"/>
        <w:ind w:firstLine="562"/>
        <w:spacing w:after="0" w:line="270" w:lineRule="auto"/>
        <w:rPr>
          <w:sz w:val="20"/>
          <w:szCs w:val="20"/>
          <w:color w:val="auto"/>
        </w:rPr>
      </w:pPr>
      <w:r>
        <w:rPr>
          <w:rFonts w:ascii="Arial" w:cs="Arial" w:eastAsia="Arial" w:hAnsi="Arial"/>
          <w:sz w:val="18"/>
          <w:szCs w:val="18"/>
          <w:color w:val="auto"/>
        </w:rPr>
        <w:t>Marine transportation operating income for the 2021 third quarter and first nine months decreased 48% and 72%, respectively, compared with the 2020 third quarter and first nine months. The 2021 third quarter operating margin was 5.0% compared with 10.1% for the 2020 third quarter. The 2021 first nine months operating margin was 3.8% compared with 12.2% for the 2020 first nine months. The decreases in operating income and operating margin were primarily due to reduced barge utilization in the inland and coastal markets as well as decreased term and spot contract pricing in the inland market, each as a result of a reduction in demand due to the COVID-19 pandemic and reduced volumes as a result of Hurricane Ida and Winter Storm Uri along with increased maintenance costs during the 2021 third quarter. Operating margins for the 2021 third quarter and first nine months were also impacted by the increased cost of diesel fuel.</w:t>
      </w:r>
    </w:p>
    <w:p>
      <w:pPr>
        <w:spacing w:after="0" w:line="35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25</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55" name="Picture 35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5"/>
                    <pic:cNvPicPr>
                      <a:picLocks noChangeAspect="1" noChangeArrowheads="1"/>
                    </pic:cNvPicPr>
                  </pic:nvPicPr>
                  <pic:blipFill>
                    <a:blip r:embed="rId362">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6" w:name="page27"/>
    <w:bookmarkEnd w:id="26"/>
    <w:p>
      <w:pPr>
        <w:spacing w:after="0"/>
        <w:rPr>
          <w:sz w:val="20"/>
          <w:szCs w:val="20"/>
          <w:color w:val="auto"/>
        </w:rPr>
      </w:pPr>
      <w:r>
        <w:rPr>
          <w:rFonts w:ascii="Arial" w:cs="Arial" w:eastAsia="Arial" w:hAnsi="Arial"/>
          <w:sz w:val="18"/>
          <w:szCs w:val="18"/>
          <w:b w:val="1"/>
          <w:bCs w:val="1"/>
          <w:color w:val="auto"/>
        </w:rPr>
        <w:t>Distribution and Services</w:t>
      </w:r>
    </w:p>
    <w:p>
      <w:pPr>
        <w:spacing w:after="0" w:line="25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The following table sets forth the Company’s distribution and services segment’s revenues, costs and expenses, operating income (loss), and operating margin (dollars in thousands):</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1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76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92"/>
              </w:rPr>
              <w:t>Three Months Ended September 30,</w:t>
            </w:r>
          </w:p>
        </w:tc>
        <w:tc>
          <w:tcPr>
            <w:tcW w:w="780" w:type="dxa"/>
            <w:vAlign w:val="bottom"/>
            <w:tcBorders>
              <w:bottom w:val="single" w:sz="8" w:color="auto"/>
            </w:tcBorders>
          </w:tcPr>
          <w:p>
            <w:pPr>
              <w:spacing w:after="0"/>
              <w:rPr>
                <w:sz w:val="16"/>
                <w:szCs w:val="16"/>
                <w:color w:val="auto"/>
              </w:rPr>
            </w:pPr>
          </w:p>
        </w:tc>
        <w:tc>
          <w:tcPr>
            <w:tcW w:w="360" w:type="dxa"/>
            <w:vAlign w:val="bottom"/>
          </w:tcPr>
          <w:p>
            <w:pPr>
              <w:spacing w:after="0"/>
              <w:rPr>
                <w:sz w:val="16"/>
                <w:szCs w:val="16"/>
                <w:color w:val="auto"/>
              </w:rPr>
            </w:pPr>
          </w:p>
        </w:tc>
        <w:tc>
          <w:tcPr>
            <w:tcW w:w="240" w:type="dxa"/>
            <w:vAlign w:val="bottom"/>
            <w:tcBorders>
              <w:bottom w:val="single" w:sz="8" w:color="auto"/>
            </w:tcBorders>
          </w:tcPr>
          <w:p>
            <w:pPr>
              <w:spacing w:after="0"/>
              <w:rPr>
                <w:sz w:val="16"/>
                <w:szCs w:val="16"/>
                <w:color w:val="auto"/>
              </w:rPr>
            </w:pPr>
          </w:p>
        </w:tc>
        <w:tc>
          <w:tcPr>
            <w:tcW w:w="2680" w:type="dxa"/>
            <w:vAlign w:val="bottom"/>
            <w:tcBorders>
              <w:bottom w:val="single" w:sz="8" w:color="auto"/>
            </w:tcBorders>
            <w:gridSpan w:val="6"/>
          </w:tcPr>
          <w:p>
            <w:pPr>
              <w:ind w:left="540"/>
              <w:spacing w:after="0"/>
              <w:rPr>
                <w:sz w:val="20"/>
                <w:szCs w:val="20"/>
                <w:color w:val="auto"/>
              </w:rPr>
            </w:pPr>
            <w:r>
              <w:rPr>
                <w:rFonts w:ascii="Arial" w:cs="Arial" w:eastAsia="Arial" w:hAnsi="Arial"/>
                <w:sz w:val="14"/>
                <w:szCs w:val="14"/>
                <w:b w:val="1"/>
                <w:bCs w:val="1"/>
                <w:color w:val="auto"/>
                <w:w w:val="92"/>
              </w:rPr>
              <w:t>Nine Months Ended September 30,</w:t>
            </w:r>
          </w:p>
        </w:tc>
        <w:tc>
          <w:tcPr>
            <w:tcW w:w="780" w:type="dxa"/>
            <w:vAlign w:val="bottom"/>
            <w:tcBorders>
              <w:bottom w:val="single" w:sz="8" w:color="auto"/>
            </w:tcBorders>
          </w:tcPr>
          <w:p>
            <w:pPr>
              <w:spacing w:after="0"/>
              <w:rPr>
                <w:sz w:val="16"/>
                <w:szCs w:val="16"/>
                <w:color w:val="auto"/>
              </w:rPr>
            </w:pPr>
          </w:p>
        </w:tc>
        <w:tc>
          <w:tcPr>
            <w:tcW w:w="240" w:type="dxa"/>
            <w:vAlign w:val="bottom"/>
          </w:tcPr>
          <w:p>
            <w:pPr>
              <w:spacing w:after="0"/>
              <w:rPr>
                <w:sz w:val="16"/>
                <w:szCs w:val="16"/>
                <w:color w:val="auto"/>
              </w:rPr>
            </w:pPr>
          </w:p>
        </w:tc>
      </w:tr>
      <w:tr>
        <w:trPr>
          <w:trHeight w:val="196"/>
        </w:trPr>
        <w:tc>
          <w:tcPr>
            <w:tcW w:w="31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2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40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60" w:type="dxa"/>
            <w:vAlign w:val="bottom"/>
            <w:tcBorders>
              <w:bottom w:val="single" w:sz="8" w:color="auto"/>
            </w:tcBorders>
          </w:tcPr>
          <w:p>
            <w:pPr>
              <w:jc w:val="right"/>
              <w:ind w:right="272"/>
              <w:spacing w:after="0"/>
              <w:rPr>
                <w:sz w:val="20"/>
                <w:szCs w:val="20"/>
                <w:color w:val="auto"/>
              </w:rPr>
            </w:pPr>
            <w:r>
              <w:rPr>
                <w:rFonts w:ascii="Arial" w:cs="Arial" w:eastAsia="Arial" w:hAnsi="Arial"/>
                <w:sz w:val="14"/>
                <w:szCs w:val="14"/>
                <w:b w:val="1"/>
                <w:bCs w:val="1"/>
                <w:color w:val="auto"/>
              </w:rPr>
              <w:t>2020</w:t>
            </w:r>
          </w:p>
        </w:tc>
        <w:tc>
          <w:tcPr>
            <w:tcW w:w="440" w:type="dxa"/>
            <w:vAlign w:val="bottom"/>
          </w:tcPr>
          <w:p>
            <w:pPr>
              <w:spacing w:after="0"/>
              <w:rPr>
                <w:sz w:val="17"/>
                <w:szCs w:val="17"/>
                <w:color w:val="auto"/>
              </w:rPr>
            </w:pPr>
          </w:p>
        </w:tc>
        <w:tc>
          <w:tcPr>
            <w:tcW w:w="12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32"/>
              <w:spacing w:after="0"/>
              <w:rPr>
                <w:sz w:val="20"/>
                <w:szCs w:val="20"/>
                <w:color w:val="auto"/>
              </w:rPr>
            </w:pPr>
            <w:r>
              <w:rPr>
                <w:rFonts w:ascii="Arial" w:cs="Arial" w:eastAsia="Arial" w:hAnsi="Arial"/>
                <w:sz w:val="14"/>
                <w:szCs w:val="14"/>
                <w:b w:val="1"/>
                <w:bCs w:val="1"/>
                <w:color w:val="auto"/>
                <w:w w:val="94"/>
              </w:rPr>
              <w:t>% Change</w:t>
            </w:r>
          </w:p>
        </w:tc>
        <w:tc>
          <w:tcPr>
            <w:tcW w:w="360" w:type="dxa"/>
            <w:vAlign w:val="bottom"/>
          </w:tcPr>
          <w:p>
            <w:pPr>
              <w:spacing w:after="0"/>
              <w:rPr>
                <w:sz w:val="17"/>
                <w:szCs w:val="17"/>
                <w:color w:val="auto"/>
              </w:rPr>
            </w:pPr>
          </w:p>
        </w:tc>
        <w:tc>
          <w:tcPr>
            <w:tcW w:w="240" w:type="dxa"/>
            <w:vAlign w:val="bottom"/>
            <w:tcBorders>
              <w:bottom w:val="single" w:sz="8" w:color="auto"/>
            </w:tcBorders>
          </w:tcPr>
          <w:p>
            <w:pPr>
              <w:spacing w:after="0"/>
              <w:rPr>
                <w:sz w:val="17"/>
                <w:szCs w:val="17"/>
                <w:color w:val="auto"/>
              </w:rPr>
            </w:pPr>
          </w:p>
        </w:tc>
        <w:tc>
          <w:tcPr>
            <w:tcW w:w="800" w:type="dxa"/>
            <w:vAlign w:val="bottom"/>
            <w:tcBorders>
              <w:bottom w:val="single" w:sz="8" w:color="auto"/>
            </w:tcBorders>
          </w:tcPr>
          <w:p>
            <w:pPr>
              <w:jc w:val="right"/>
              <w:ind w:right="294"/>
              <w:spacing w:after="0"/>
              <w:rPr>
                <w:sz w:val="20"/>
                <w:szCs w:val="20"/>
                <w:color w:val="auto"/>
              </w:rPr>
            </w:pPr>
            <w:r>
              <w:rPr>
                <w:rFonts w:ascii="Arial" w:cs="Arial" w:eastAsia="Arial" w:hAnsi="Arial"/>
                <w:sz w:val="14"/>
                <w:szCs w:val="14"/>
                <w:b w:val="1"/>
                <w:bCs w:val="1"/>
                <w:color w:val="auto"/>
              </w:rPr>
              <w:t>2021</w:t>
            </w:r>
          </w:p>
        </w:tc>
        <w:tc>
          <w:tcPr>
            <w:tcW w:w="360" w:type="dxa"/>
            <w:vAlign w:val="bottom"/>
          </w:tcPr>
          <w:p>
            <w:pPr>
              <w:spacing w:after="0"/>
              <w:rPr>
                <w:sz w:val="17"/>
                <w:szCs w:val="17"/>
                <w:color w:val="auto"/>
              </w:rPr>
            </w:pPr>
          </w:p>
        </w:tc>
        <w:tc>
          <w:tcPr>
            <w:tcW w:w="220" w:type="dxa"/>
            <w:vAlign w:val="bottom"/>
            <w:tcBorders>
              <w:bottom w:val="single" w:sz="8" w:color="auto"/>
            </w:tcBorders>
          </w:tcPr>
          <w:p>
            <w:pPr>
              <w:spacing w:after="0"/>
              <w:rPr>
                <w:sz w:val="17"/>
                <w:szCs w:val="17"/>
                <w:color w:val="auto"/>
              </w:rPr>
            </w:pPr>
          </w:p>
        </w:tc>
        <w:tc>
          <w:tcPr>
            <w:tcW w:w="740" w:type="dxa"/>
            <w:vAlign w:val="bottom"/>
            <w:tcBorders>
              <w:bottom w:val="single" w:sz="8" w:color="auto"/>
            </w:tcBorders>
          </w:tcPr>
          <w:p>
            <w:pPr>
              <w:jc w:val="right"/>
              <w:ind w:right="252"/>
              <w:spacing w:after="0"/>
              <w:rPr>
                <w:sz w:val="20"/>
                <w:szCs w:val="20"/>
                <w:color w:val="auto"/>
              </w:rPr>
            </w:pPr>
            <w:r>
              <w:rPr>
                <w:rFonts w:ascii="Arial" w:cs="Arial" w:eastAsia="Arial" w:hAnsi="Arial"/>
                <w:sz w:val="14"/>
                <w:szCs w:val="14"/>
                <w:b w:val="1"/>
                <w:bCs w:val="1"/>
                <w:color w:val="auto"/>
              </w:rPr>
              <w:t>2020</w:t>
            </w:r>
          </w:p>
        </w:tc>
        <w:tc>
          <w:tcPr>
            <w:tcW w:w="480" w:type="dxa"/>
            <w:vAlign w:val="bottom"/>
          </w:tcPr>
          <w:p>
            <w:pPr>
              <w:spacing w:after="0"/>
              <w:rPr>
                <w:sz w:val="17"/>
                <w:szCs w:val="17"/>
                <w:color w:val="auto"/>
              </w:rPr>
            </w:pPr>
          </w:p>
        </w:tc>
        <w:tc>
          <w:tcPr>
            <w:tcW w:w="80" w:type="dxa"/>
            <w:vAlign w:val="bottom"/>
            <w:tcBorders>
              <w:bottom w:val="single" w:sz="8" w:color="auto"/>
            </w:tcBorders>
          </w:tcPr>
          <w:p>
            <w:pPr>
              <w:spacing w:after="0"/>
              <w:rPr>
                <w:sz w:val="17"/>
                <w:szCs w:val="17"/>
                <w:color w:val="auto"/>
              </w:rPr>
            </w:pPr>
          </w:p>
        </w:tc>
        <w:tc>
          <w:tcPr>
            <w:tcW w:w="780" w:type="dxa"/>
            <w:vAlign w:val="bottom"/>
            <w:tcBorders>
              <w:bottom w:val="single" w:sz="8" w:color="auto"/>
            </w:tcBorders>
          </w:tcPr>
          <w:p>
            <w:pPr>
              <w:jc w:val="right"/>
              <w:ind w:right="12"/>
              <w:spacing w:after="0"/>
              <w:rPr>
                <w:sz w:val="20"/>
                <w:szCs w:val="20"/>
                <w:color w:val="auto"/>
              </w:rPr>
            </w:pPr>
            <w:r>
              <w:rPr>
                <w:rFonts w:ascii="Arial" w:cs="Arial" w:eastAsia="Arial" w:hAnsi="Arial"/>
                <w:sz w:val="14"/>
                <w:szCs w:val="14"/>
                <w:b w:val="1"/>
                <w:bCs w:val="1"/>
                <w:color w:val="auto"/>
                <w:w w:val="97"/>
              </w:rPr>
              <w:t>% Change</w:t>
            </w:r>
          </w:p>
        </w:tc>
        <w:tc>
          <w:tcPr>
            <w:tcW w:w="240" w:type="dxa"/>
            <w:vAlign w:val="bottom"/>
          </w:tcPr>
          <w:p>
            <w:pPr>
              <w:spacing w:after="0"/>
              <w:rPr>
                <w:sz w:val="17"/>
                <w:szCs w:val="17"/>
                <w:color w:val="auto"/>
              </w:rPr>
            </w:pPr>
          </w:p>
        </w:tc>
      </w:tr>
      <w:tr>
        <w:trPr>
          <w:trHeight w:val="256"/>
        </w:trPr>
        <w:tc>
          <w:tcPr>
            <w:tcW w:w="3160" w:type="dxa"/>
            <w:vAlign w:val="bottom"/>
            <w:tcBorders>
              <w:bottom w:val="single" w:sz="8" w:color="CFF0FC"/>
            </w:tcBorders>
            <w:shd w:val="clear" w:color="auto" w:fill="CFF0FC"/>
          </w:tcPr>
          <w:p>
            <w:pPr>
              <w:ind w:left="20"/>
              <w:spacing w:after="0"/>
              <w:rPr>
                <w:sz w:val="20"/>
                <w:szCs w:val="20"/>
                <w:color w:val="auto"/>
              </w:rPr>
            </w:pPr>
            <w:r>
              <w:rPr>
                <w:rFonts w:ascii="Arial" w:cs="Arial" w:eastAsia="Arial" w:hAnsi="Arial"/>
                <w:sz w:val="18"/>
                <w:szCs w:val="18"/>
                <w:color w:val="auto"/>
              </w:rPr>
              <w:t>Distribution and services revenues</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260,406</w:t>
            </w:r>
          </w:p>
        </w:tc>
        <w:tc>
          <w:tcPr>
            <w:tcW w:w="4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175,965</w:t>
            </w:r>
          </w:p>
        </w:tc>
        <w:tc>
          <w:tcPr>
            <w:tcW w:w="4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48 %</w:t>
            </w:r>
          </w:p>
        </w:tc>
        <w:tc>
          <w:tcPr>
            <w:tcW w:w="240" w:type="dxa"/>
            <w:vAlign w:val="bottom"/>
            <w:tcBorders>
              <w:bottom w:val="single" w:sz="8" w:color="auto"/>
            </w:tcBorders>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683,042</w:t>
            </w:r>
          </w:p>
        </w:tc>
        <w:tc>
          <w:tcPr>
            <w:tcW w:w="3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576,806</w:t>
            </w:r>
          </w:p>
        </w:tc>
        <w:tc>
          <w:tcPr>
            <w:tcW w:w="4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18 %</w:t>
            </w:r>
          </w:p>
        </w:tc>
      </w:tr>
      <w:tr>
        <w:trPr>
          <w:trHeight w:val="250"/>
        </w:trPr>
        <w:tc>
          <w:tcPr>
            <w:tcW w:w="31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20" w:type="dxa"/>
            <w:vAlign w:val="bottom"/>
          </w:tcPr>
          <w:p>
            <w:pPr>
              <w:spacing w:after="0"/>
              <w:rPr>
                <w:sz w:val="21"/>
                <w:szCs w:val="21"/>
                <w:color w:val="auto"/>
              </w:rPr>
            </w:pP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spacing w:after="0"/>
              <w:rPr>
                <w:sz w:val="21"/>
                <w:szCs w:val="21"/>
                <w:color w:val="auto"/>
              </w:rPr>
            </w:pP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spacing w:after="0"/>
              <w:rPr>
                <w:sz w:val="21"/>
                <w:szCs w:val="21"/>
                <w:color w:val="auto"/>
              </w:rPr>
            </w:pP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spacing w:after="0"/>
              <w:rPr>
                <w:sz w:val="21"/>
                <w:szCs w:val="21"/>
                <w:color w:val="auto"/>
              </w:rPr>
            </w:pP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spacing w:after="0"/>
              <w:rPr>
                <w:sz w:val="21"/>
                <w:szCs w:val="21"/>
                <w:color w:val="auto"/>
              </w:rPr>
            </w:pPr>
          </w:p>
        </w:tc>
        <w:tc>
          <w:tcPr>
            <w:tcW w:w="240" w:type="dxa"/>
            <w:vAlign w:val="bottom"/>
          </w:tcPr>
          <w:p>
            <w:pPr>
              <w:spacing w:after="0"/>
              <w:rPr>
                <w:sz w:val="21"/>
                <w:szCs w:val="21"/>
                <w:color w:val="auto"/>
              </w:rPr>
            </w:pPr>
          </w:p>
        </w:tc>
      </w:tr>
      <w:tr>
        <w:trPr>
          <w:trHeight w:val="257"/>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Costs and expenses:</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spacing w:after="0"/>
              <w:rPr>
                <w:sz w:val="22"/>
                <w:szCs w:val="22"/>
                <w:color w:val="auto"/>
              </w:rPr>
            </w:pPr>
          </w:p>
        </w:tc>
        <w:tc>
          <w:tcPr>
            <w:tcW w:w="4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spacing w:after="0"/>
              <w:rPr>
                <w:sz w:val="22"/>
                <w:szCs w:val="22"/>
                <w:color w:val="auto"/>
              </w:rPr>
            </w:pPr>
          </w:p>
        </w:tc>
        <w:tc>
          <w:tcPr>
            <w:tcW w:w="4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spacing w:after="0"/>
              <w:rPr>
                <w:sz w:val="22"/>
                <w:szCs w:val="22"/>
                <w:color w:val="auto"/>
              </w:rPr>
            </w:pPr>
          </w:p>
        </w:tc>
        <w:tc>
          <w:tcPr>
            <w:tcW w:w="4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78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r>
      <w:tr>
        <w:trPr>
          <w:trHeight w:val="250"/>
        </w:trPr>
        <w:tc>
          <w:tcPr>
            <w:tcW w:w="3160" w:type="dxa"/>
            <w:vAlign w:val="bottom"/>
          </w:tcPr>
          <w:p>
            <w:pPr>
              <w:ind w:left="200"/>
              <w:spacing w:after="0"/>
              <w:rPr>
                <w:sz w:val="20"/>
                <w:szCs w:val="20"/>
                <w:color w:val="auto"/>
              </w:rPr>
            </w:pPr>
            <w:r>
              <w:rPr>
                <w:rFonts w:ascii="Arial" w:cs="Arial" w:eastAsia="Arial" w:hAnsi="Arial"/>
                <w:sz w:val="18"/>
                <w:szCs w:val="18"/>
                <w:color w:val="auto"/>
                <w:w w:val="94"/>
              </w:rPr>
              <w:t>Costs of sales and operating expenses</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207,877</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133,726</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55</w:t>
            </w:r>
          </w:p>
        </w:tc>
        <w:tc>
          <w:tcPr>
            <w:tcW w:w="36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537,100</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449,948</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19</w:t>
            </w:r>
          </w:p>
        </w:tc>
        <w:tc>
          <w:tcPr>
            <w:tcW w:w="240" w:type="dxa"/>
            <w:vAlign w:val="bottom"/>
          </w:tcPr>
          <w:p>
            <w:pPr>
              <w:spacing w:after="0"/>
              <w:rPr>
                <w:sz w:val="21"/>
                <w:szCs w:val="21"/>
                <w:color w:val="auto"/>
              </w:rPr>
            </w:pPr>
          </w:p>
        </w:tc>
      </w:tr>
      <w:tr>
        <w:trPr>
          <w:trHeight w:val="263"/>
        </w:trPr>
        <w:tc>
          <w:tcPr>
            <w:tcW w:w="31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Selling, general and administrative</w:t>
            </w:r>
          </w:p>
        </w:tc>
        <w:tc>
          <w:tcPr>
            <w:tcW w:w="240" w:type="dxa"/>
            <w:vAlign w:val="bottom"/>
            <w:shd w:val="clear" w:color="auto" w:fill="CFF0FC"/>
          </w:tcPr>
          <w:p>
            <w:pPr>
              <w:spacing w:after="0"/>
              <w:rPr>
                <w:sz w:val="22"/>
                <w:szCs w:val="22"/>
                <w:color w:val="auto"/>
              </w:rPr>
            </w:pP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35,002</w:t>
            </w:r>
          </w:p>
        </w:tc>
        <w:tc>
          <w:tcPr>
            <w:tcW w:w="40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33,098</w:t>
            </w:r>
          </w:p>
        </w:tc>
        <w:tc>
          <w:tcPr>
            <w:tcW w:w="440" w:type="dxa"/>
            <w:vAlign w:val="bottom"/>
            <w:shd w:val="clear" w:color="auto" w:fill="CFF0FC"/>
          </w:tcPr>
          <w:p>
            <w:pPr>
              <w:spacing w:after="0"/>
              <w:rPr>
                <w:sz w:val="22"/>
                <w:szCs w:val="22"/>
                <w:color w:val="auto"/>
              </w:rPr>
            </w:pPr>
          </w:p>
        </w:tc>
        <w:tc>
          <w:tcPr>
            <w:tcW w:w="120" w:type="dxa"/>
            <w:vAlign w:val="bottom"/>
            <w:shd w:val="clear" w:color="auto" w:fill="CFF0FC"/>
          </w:tcPr>
          <w:p>
            <w:pPr>
              <w:spacing w:after="0"/>
              <w:rPr>
                <w:sz w:val="22"/>
                <w:szCs w:val="22"/>
                <w:color w:val="auto"/>
              </w:rPr>
            </w:pPr>
          </w:p>
        </w:tc>
        <w:tc>
          <w:tcPr>
            <w:tcW w:w="7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w:t>
            </w:r>
          </w:p>
        </w:tc>
        <w:tc>
          <w:tcPr>
            <w:tcW w:w="360" w:type="dxa"/>
            <w:vAlign w:val="bottom"/>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104,477</w:t>
            </w:r>
          </w:p>
        </w:tc>
        <w:tc>
          <w:tcPr>
            <w:tcW w:w="360" w:type="dxa"/>
            <w:vAlign w:val="bottom"/>
            <w:shd w:val="clear" w:color="auto" w:fill="CFF0FC"/>
          </w:tcPr>
          <w:p>
            <w:pPr>
              <w:spacing w:after="0"/>
              <w:rPr>
                <w:sz w:val="22"/>
                <w:szCs w:val="22"/>
                <w:color w:val="auto"/>
              </w:rPr>
            </w:pPr>
          </w:p>
        </w:tc>
        <w:tc>
          <w:tcPr>
            <w:tcW w:w="220" w:type="dxa"/>
            <w:vAlign w:val="bottom"/>
            <w:shd w:val="clear" w:color="auto" w:fill="CFF0FC"/>
          </w:tcPr>
          <w:p>
            <w:pPr>
              <w:spacing w:after="0"/>
              <w:rPr>
                <w:sz w:val="22"/>
                <w:szCs w:val="22"/>
                <w:color w:val="auto"/>
              </w:rPr>
            </w:pPr>
          </w:p>
        </w:tc>
        <w:tc>
          <w:tcPr>
            <w:tcW w:w="7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108,295</w:t>
            </w:r>
          </w:p>
        </w:tc>
        <w:tc>
          <w:tcPr>
            <w:tcW w:w="480" w:type="dxa"/>
            <w:vAlign w:val="bottom"/>
            <w:shd w:val="clear" w:color="auto" w:fill="CFF0FC"/>
          </w:tcPr>
          <w:p>
            <w:pPr>
              <w:spacing w:after="0"/>
              <w:rPr>
                <w:sz w:val="22"/>
                <w:szCs w:val="22"/>
                <w:color w:val="auto"/>
              </w:rPr>
            </w:pPr>
          </w:p>
        </w:tc>
        <w:tc>
          <w:tcPr>
            <w:tcW w:w="80" w:type="dxa"/>
            <w:vAlign w:val="bottom"/>
            <w:shd w:val="clear" w:color="auto" w:fill="CFF0FC"/>
          </w:tcPr>
          <w:p>
            <w:pPr>
              <w:spacing w:after="0"/>
              <w:rPr>
                <w:sz w:val="22"/>
                <w:szCs w:val="22"/>
                <w:color w:val="auto"/>
              </w:rPr>
            </w:pPr>
          </w:p>
        </w:tc>
        <w:tc>
          <w:tcPr>
            <w:tcW w:w="1020" w:type="dxa"/>
            <w:vAlign w:val="bottom"/>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(4 )</w:t>
            </w:r>
          </w:p>
        </w:tc>
      </w:tr>
      <w:tr>
        <w:trPr>
          <w:trHeight w:val="250"/>
        </w:trPr>
        <w:tc>
          <w:tcPr>
            <w:tcW w:w="3160" w:type="dxa"/>
            <w:vAlign w:val="bottom"/>
          </w:tcPr>
          <w:p>
            <w:pPr>
              <w:ind w:left="200"/>
              <w:spacing w:after="0"/>
              <w:rPr>
                <w:sz w:val="20"/>
                <w:szCs w:val="20"/>
                <w:color w:val="auto"/>
              </w:rPr>
            </w:pPr>
            <w:r>
              <w:rPr>
                <w:rFonts w:ascii="Arial" w:cs="Arial" w:eastAsia="Arial" w:hAnsi="Arial"/>
                <w:sz w:val="18"/>
                <w:szCs w:val="18"/>
                <w:color w:val="auto"/>
              </w:rPr>
              <w:t>Taxes, other than on income</w:t>
            </w:r>
          </w:p>
        </w:tc>
        <w:tc>
          <w:tcPr>
            <w:tcW w:w="240" w:type="dxa"/>
            <w:vAlign w:val="bottom"/>
          </w:tcPr>
          <w:p>
            <w:pPr>
              <w:spacing w:after="0"/>
              <w:rPr>
                <w:sz w:val="21"/>
                <w:szCs w:val="21"/>
                <w:color w:val="auto"/>
              </w:rPr>
            </w:pPr>
          </w:p>
        </w:tc>
        <w:tc>
          <w:tcPr>
            <w:tcW w:w="820" w:type="dxa"/>
            <w:vAlign w:val="bottom"/>
          </w:tcPr>
          <w:p>
            <w:pPr>
              <w:jc w:val="right"/>
              <w:spacing w:after="0"/>
              <w:rPr>
                <w:sz w:val="20"/>
                <w:szCs w:val="20"/>
                <w:color w:val="auto"/>
              </w:rPr>
            </w:pPr>
            <w:r>
              <w:rPr>
                <w:rFonts w:ascii="Arial" w:cs="Arial" w:eastAsia="Arial" w:hAnsi="Arial"/>
                <w:sz w:val="18"/>
                <w:szCs w:val="18"/>
                <w:color w:val="auto"/>
              </w:rPr>
              <w:t>1,470</w:t>
            </w:r>
          </w:p>
        </w:tc>
        <w:tc>
          <w:tcPr>
            <w:tcW w:w="40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60" w:type="dxa"/>
            <w:vAlign w:val="bottom"/>
          </w:tcPr>
          <w:p>
            <w:pPr>
              <w:jc w:val="right"/>
              <w:spacing w:after="0"/>
              <w:rPr>
                <w:sz w:val="20"/>
                <w:szCs w:val="20"/>
                <w:color w:val="auto"/>
              </w:rPr>
            </w:pPr>
            <w:r>
              <w:rPr>
                <w:rFonts w:ascii="Arial" w:cs="Arial" w:eastAsia="Arial" w:hAnsi="Arial"/>
                <w:sz w:val="18"/>
                <w:szCs w:val="18"/>
                <w:color w:val="auto"/>
              </w:rPr>
              <w:t>1,754</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1140" w:type="dxa"/>
            <w:vAlign w:val="bottom"/>
            <w:gridSpan w:val="2"/>
          </w:tcPr>
          <w:p>
            <w:pPr>
              <w:jc w:val="right"/>
              <w:ind w:right="300"/>
              <w:spacing w:after="0"/>
              <w:rPr>
                <w:sz w:val="20"/>
                <w:szCs w:val="20"/>
                <w:color w:val="auto"/>
              </w:rPr>
            </w:pPr>
            <w:r>
              <w:rPr>
                <w:rFonts w:ascii="Arial" w:cs="Arial" w:eastAsia="Arial" w:hAnsi="Arial"/>
                <w:sz w:val="18"/>
                <w:szCs w:val="18"/>
                <w:color w:val="auto"/>
              </w:rPr>
              <w:t>(16 )</w:t>
            </w:r>
          </w:p>
        </w:tc>
        <w:tc>
          <w:tcPr>
            <w:tcW w:w="240" w:type="dxa"/>
            <w:vAlign w:val="bottom"/>
          </w:tcPr>
          <w:p>
            <w:pPr>
              <w:spacing w:after="0"/>
              <w:rPr>
                <w:sz w:val="21"/>
                <w:szCs w:val="21"/>
                <w:color w:val="auto"/>
              </w:rPr>
            </w:pPr>
          </w:p>
        </w:tc>
        <w:tc>
          <w:tcPr>
            <w:tcW w:w="800" w:type="dxa"/>
            <w:vAlign w:val="bottom"/>
          </w:tcPr>
          <w:p>
            <w:pPr>
              <w:jc w:val="right"/>
              <w:spacing w:after="0"/>
              <w:rPr>
                <w:sz w:val="20"/>
                <w:szCs w:val="20"/>
                <w:color w:val="auto"/>
              </w:rPr>
            </w:pPr>
            <w:r>
              <w:rPr>
                <w:rFonts w:ascii="Arial" w:cs="Arial" w:eastAsia="Arial" w:hAnsi="Arial"/>
                <w:sz w:val="18"/>
                <w:szCs w:val="18"/>
                <w:color w:val="auto"/>
              </w:rPr>
              <w:t>4,620</w:t>
            </w:r>
          </w:p>
        </w:tc>
        <w:tc>
          <w:tcPr>
            <w:tcW w:w="360" w:type="dxa"/>
            <w:vAlign w:val="bottom"/>
          </w:tcPr>
          <w:p>
            <w:pPr>
              <w:spacing w:after="0"/>
              <w:rPr>
                <w:sz w:val="21"/>
                <w:szCs w:val="21"/>
                <w:color w:val="auto"/>
              </w:rPr>
            </w:pPr>
          </w:p>
        </w:tc>
        <w:tc>
          <w:tcPr>
            <w:tcW w:w="220" w:type="dxa"/>
            <w:vAlign w:val="bottom"/>
          </w:tcPr>
          <w:p>
            <w:pPr>
              <w:spacing w:after="0"/>
              <w:rPr>
                <w:sz w:val="21"/>
                <w:szCs w:val="21"/>
                <w:color w:val="auto"/>
              </w:rPr>
            </w:pPr>
          </w:p>
        </w:tc>
        <w:tc>
          <w:tcPr>
            <w:tcW w:w="740" w:type="dxa"/>
            <w:vAlign w:val="bottom"/>
          </w:tcPr>
          <w:p>
            <w:pPr>
              <w:jc w:val="right"/>
              <w:spacing w:after="0"/>
              <w:rPr>
                <w:sz w:val="20"/>
                <w:szCs w:val="20"/>
                <w:color w:val="auto"/>
              </w:rPr>
            </w:pPr>
            <w:r>
              <w:rPr>
                <w:rFonts w:ascii="Arial" w:cs="Arial" w:eastAsia="Arial" w:hAnsi="Arial"/>
                <w:sz w:val="18"/>
                <w:szCs w:val="18"/>
                <w:color w:val="auto"/>
              </w:rPr>
              <w:t>5,636</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1020" w:type="dxa"/>
            <w:vAlign w:val="bottom"/>
            <w:gridSpan w:val="2"/>
          </w:tcPr>
          <w:p>
            <w:pPr>
              <w:jc w:val="right"/>
              <w:ind w:right="160"/>
              <w:spacing w:after="0"/>
              <w:rPr>
                <w:sz w:val="20"/>
                <w:szCs w:val="20"/>
                <w:color w:val="auto"/>
              </w:rPr>
            </w:pPr>
            <w:r>
              <w:rPr>
                <w:rFonts w:ascii="Arial" w:cs="Arial" w:eastAsia="Arial" w:hAnsi="Arial"/>
                <w:sz w:val="18"/>
                <w:szCs w:val="18"/>
                <w:color w:val="auto"/>
              </w:rPr>
              <w:t>(18 )</w:t>
            </w:r>
          </w:p>
        </w:tc>
      </w:tr>
      <w:tr>
        <w:trPr>
          <w:trHeight w:val="263"/>
        </w:trPr>
        <w:tc>
          <w:tcPr>
            <w:tcW w:w="31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Depreciation and amortization</w:t>
            </w:r>
          </w:p>
        </w:tc>
        <w:tc>
          <w:tcPr>
            <w:tcW w:w="240" w:type="dxa"/>
            <w:vAlign w:val="bottom"/>
            <w:tcBorders>
              <w:bottom w:val="single" w:sz="8" w:color="auto"/>
            </w:tcBorders>
            <w:shd w:val="clear" w:color="auto" w:fill="CFF0FC"/>
          </w:tcPr>
          <w:p>
            <w:pPr>
              <w:spacing w:after="0"/>
              <w:rPr>
                <w:sz w:val="22"/>
                <w:szCs w:val="22"/>
                <w:color w:val="auto"/>
              </w:rPr>
            </w:pPr>
          </w:p>
        </w:tc>
        <w:tc>
          <w:tcPr>
            <w:tcW w:w="8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5,018</w:t>
            </w:r>
          </w:p>
        </w:tc>
        <w:tc>
          <w:tcPr>
            <w:tcW w:w="40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6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6,283</w:t>
            </w:r>
          </w:p>
        </w:tc>
        <w:tc>
          <w:tcPr>
            <w:tcW w:w="440" w:type="dxa"/>
            <w:vAlign w:val="bottom"/>
            <w:tcBorders>
              <w:bottom w:val="single" w:sz="8" w:color="CFF0FC"/>
            </w:tcBorders>
            <w:shd w:val="clear" w:color="auto" w:fill="CFF0FC"/>
          </w:tcPr>
          <w:p>
            <w:pPr>
              <w:spacing w:after="0"/>
              <w:rPr>
                <w:sz w:val="22"/>
                <w:szCs w:val="22"/>
                <w:color w:val="auto"/>
              </w:rPr>
            </w:pPr>
          </w:p>
        </w:tc>
        <w:tc>
          <w:tcPr>
            <w:tcW w:w="120" w:type="dxa"/>
            <w:vAlign w:val="bottom"/>
            <w:tcBorders>
              <w:bottom w:val="single" w:sz="8" w:color="CFF0FC"/>
            </w:tcBorders>
            <w:shd w:val="clear" w:color="auto" w:fill="CFF0FC"/>
          </w:tcPr>
          <w:p>
            <w:pPr>
              <w:spacing w:after="0"/>
              <w:rPr>
                <w:sz w:val="22"/>
                <w:szCs w:val="22"/>
                <w:color w:val="auto"/>
              </w:rPr>
            </w:pPr>
          </w:p>
        </w:tc>
        <w:tc>
          <w:tcPr>
            <w:tcW w:w="1140" w:type="dxa"/>
            <w:vAlign w:val="bottom"/>
            <w:tcBorders>
              <w:bottom w:val="single" w:sz="8" w:color="CFF0FC"/>
            </w:tcBorders>
            <w:gridSpan w:val="2"/>
            <w:shd w:val="clear" w:color="auto" w:fill="CFF0FC"/>
          </w:tcPr>
          <w:p>
            <w:pPr>
              <w:jc w:val="right"/>
              <w:ind w:right="300"/>
              <w:spacing w:after="0"/>
              <w:rPr>
                <w:sz w:val="20"/>
                <w:szCs w:val="20"/>
                <w:color w:val="auto"/>
              </w:rPr>
            </w:pPr>
            <w:r>
              <w:rPr>
                <w:rFonts w:ascii="Arial" w:cs="Arial" w:eastAsia="Arial" w:hAnsi="Arial"/>
                <w:sz w:val="18"/>
                <w:szCs w:val="18"/>
                <w:color w:val="auto"/>
              </w:rPr>
              <w:t>(20 )</w:t>
            </w:r>
          </w:p>
        </w:tc>
        <w:tc>
          <w:tcPr>
            <w:tcW w:w="240" w:type="dxa"/>
            <w:vAlign w:val="bottom"/>
            <w:tcBorders>
              <w:bottom w:val="single" w:sz="8" w:color="auto"/>
            </w:tcBorders>
            <w:shd w:val="clear" w:color="auto" w:fill="CFF0FC"/>
          </w:tcPr>
          <w:p>
            <w:pPr>
              <w:spacing w:after="0"/>
              <w:rPr>
                <w:sz w:val="22"/>
                <w:szCs w:val="22"/>
                <w:color w:val="auto"/>
              </w:rPr>
            </w:pPr>
          </w:p>
        </w:tc>
        <w:tc>
          <w:tcPr>
            <w:tcW w:w="8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16,739</w:t>
            </w:r>
          </w:p>
        </w:tc>
        <w:tc>
          <w:tcPr>
            <w:tcW w:w="360" w:type="dxa"/>
            <w:vAlign w:val="bottom"/>
            <w:tcBorders>
              <w:bottom w:val="single" w:sz="8" w:color="CFF0FC"/>
            </w:tcBorders>
            <w:shd w:val="clear" w:color="auto" w:fill="CFF0FC"/>
          </w:tcPr>
          <w:p>
            <w:pPr>
              <w:spacing w:after="0"/>
              <w:rPr>
                <w:sz w:val="22"/>
                <w:szCs w:val="22"/>
                <w:color w:val="auto"/>
              </w:rPr>
            </w:pPr>
          </w:p>
        </w:tc>
        <w:tc>
          <w:tcPr>
            <w:tcW w:w="220" w:type="dxa"/>
            <w:vAlign w:val="bottom"/>
            <w:tcBorders>
              <w:bottom w:val="single" w:sz="8" w:color="auto"/>
            </w:tcBorders>
            <w:shd w:val="clear" w:color="auto" w:fill="CFF0FC"/>
          </w:tcPr>
          <w:p>
            <w:pPr>
              <w:spacing w:after="0"/>
              <w:rPr>
                <w:sz w:val="22"/>
                <w:szCs w:val="22"/>
                <w:color w:val="auto"/>
              </w:rPr>
            </w:pPr>
          </w:p>
        </w:tc>
        <w:tc>
          <w:tcPr>
            <w:tcW w:w="7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22,252</w:t>
            </w:r>
          </w:p>
        </w:tc>
        <w:tc>
          <w:tcPr>
            <w:tcW w:w="480" w:type="dxa"/>
            <w:vAlign w:val="bottom"/>
            <w:tcBorders>
              <w:bottom w:val="single" w:sz="8" w:color="CFF0FC"/>
            </w:tcBorders>
            <w:shd w:val="clear" w:color="auto" w:fill="CFF0FC"/>
          </w:tcPr>
          <w:p>
            <w:pPr>
              <w:spacing w:after="0"/>
              <w:rPr>
                <w:sz w:val="22"/>
                <w:szCs w:val="22"/>
                <w:color w:val="auto"/>
              </w:rPr>
            </w:pPr>
          </w:p>
        </w:tc>
        <w:tc>
          <w:tcPr>
            <w:tcW w:w="80" w:type="dxa"/>
            <w:vAlign w:val="bottom"/>
            <w:tcBorders>
              <w:bottom w:val="single" w:sz="8" w:color="CFF0FC"/>
            </w:tcBorders>
            <w:shd w:val="clear" w:color="auto" w:fill="CFF0FC"/>
          </w:tcPr>
          <w:p>
            <w:pPr>
              <w:spacing w:after="0"/>
              <w:rPr>
                <w:sz w:val="22"/>
                <w:szCs w:val="22"/>
                <w:color w:val="auto"/>
              </w:rPr>
            </w:pPr>
          </w:p>
        </w:tc>
        <w:tc>
          <w:tcPr>
            <w:tcW w:w="1020" w:type="dxa"/>
            <w:vAlign w:val="bottom"/>
            <w:tcBorders>
              <w:bottom w:val="single" w:sz="8" w:color="CFF0FC"/>
            </w:tcBorders>
            <w:gridSpan w:val="2"/>
            <w:shd w:val="clear" w:color="auto" w:fill="CFF0FC"/>
          </w:tcPr>
          <w:p>
            <w:pPr>
              <w:jc w:val="right"/>
              <w:ind w:right="160"/>
              <w:spacing w:after="0"/>
              <w:rPr>
                <w:sz w:val="20"/>
                <w:szCs w:val="20"/>
                <w:color w:val="auto"/>
              </w:rPr>
            </w:pPr>
            <w:r>
              <w:rPr>
                <w:rFonts w:ascii="Arial" w:cs="Arial" w:eastAsia="Arial" w:hAnsi="Arial"/>
                <w:sz w:val="18"/>
                <w:szCs w:val="18"/>
                <w:color w:val="auto"/>
              </w:rPr>
              <w:t>(25 )</w:t>
            </w:r>
          </w:p>
        </w:tc>
      </w:tr>
      <w:tr>
        <w:trPr>
          <w:trHeight w:val="250"/>
        </w:trPr>
        <w:tc>
          <w:tcPr>
            <w:tcW w:w="31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2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249,367</w:t>
            </w:r>
          </w:p>
        </w:tc>
        <w:tc>
          <w:tcPr>
            <w:tcW w:w="40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6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174,861</w:t>
            </w:r>
          </w:p>
        </w:tc>
        <w:tc>
          <w:tcPr>
            <w:tcW w:w="440" w:type="dxa"/>
            <w:vAlign w:val="bottom"/>
          </w:tcPr>
          <w:p>
            <w:pPr>
              <w:spacing w:after="0"/>
              <w:rPr>
                <w:sz w:val="21"/>
                <w:szCs w:val="21"/>
                <w:color w:val="auto"/>
              </w:rPr>
            </w:pPr>
          </w:p>
        </w:tc>
        <w:tc>
          <w:tcPr>
            <w:tcW w:w="12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43</w:t>
            </w:r>
          </w:p>
        </w:tc>
        <w:tc>
          <w:tcPr>
            <w:tcW w:w="360" w:type="dxa"/>
            <w:vAlign w:val="bottom"/>
          </w:tcPr>
          <w:p>
            <w:pPr>
              <w:spacing w:after="0"/>
              <w:rPr>
                <w:sz w:val="21"/>
                <w:szCs w:val="21"/>
                <w:color w:val="auto"/>
              </w:rPr>
            </w:pPr>
          </w:p>
        </w:tc>
        <w:tc>
          <w:tcPr>
            <w:tcW w:w="240" w:type="dxa"/>
            <w:vAlign w:val="bottom"/>
            <w:tcBorders>
              <w:bottom w:val="single" w:sz="8" w:color="auto"/>
            </w:tcBorders>
          </w:tcPr>
          <w:p>
            <w:pPr>
              <w:spacing w:after="0"/>
              <w:rPr>
                <w:sz w:val="21"/>
                <w:szCs w:val="21"/>
                <w:color w:val="auto"/>
              </w:rPr>
            </w:pPr>
          </w:p>
        </w:tc>
        <w:tc>
          <w:tcPr>
            <w:tcW w:w="8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662,936</w:t>
            </w:r>
          </w:p>
        </w:tc>
        <w:tc>
          <w:tcPr>
            <w:tcW w:w="360" w:type="dxa"/>
            <w:vAlign w:val="bottom"/>
          </w:tcPr>
          <w:p>
            <w:pPr>
              <w:spacing w:after="0"/>
              <w:rPr>
                <w:sz w:val="21"/>
                <w:szCs w:val="21"/>
                <w:color w:val="auto"/>
              </w:rPr>
            </w:pPr>
          </w:p>
        </w:tc>
        <w:tc>
          <w:tcPr>
            <w:tcW w:w="220" w:type="dxa"/>
            <w:vAlign w:val="bottom"/>
            <w:tcBorders>
              <w:bottom w:val="single" w:sz="8" w:color="auto"/>
            </w:tcBorders>
          </w:tcPr>
          <w:p>
            <w:pPr>
              <w:spacing w:after="0"/>
              <w:rPr>
                <w:sz w:val="21"/>
                <w:szCs w:val="21"/>
                <w:color w:val="auto"/>
              </w:rPr>
            </w:pPr>
          </w:p>
        </w:tc>
        <w:tc>
          <w:tcPr>
            <w:tcW w:w="7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586,131</w:t>
            </w:r>
          </w:p>
        </w:tc>
        <w:tc>
          <w:tcPr>
            <w:tcW w:w="480" w:type="dxa"/>
            <w:vAlign w:val="bottom"/>
          </w:tcPr>
          <w:p>
            <w:pPr>
              <w:spacing w:after="0"/>
              <w:rPr>
                <w:sz w:val="21"/>
                <w:szCs w:val="21"/>
                <w:color w:val="auto"/>
              </w:rPr>
            </w:pPr>
          </w:p>
        </w:tc>
        <w:tc>
          <w:tcPr>
            <w:tcW w:w="80" w:type="dxa"/>
            <w:vAlign w:val="bottom"/>
          </w:tcPr>
          <w:p>
            <w:pPr>
              <w:spacing w:after="0"/>
              <w:rPr>
                <w:sz w:val="21"/>
                <w:szCs w:val="21"/>
                <w:color w:val="auto"/>
              </w:rPr>
            </w:pPr>
          </w:p>
        </w:tc>
        <w:tc>
          <w:tcPr>
            <w:tcW w:w="780" w:type="dxa"/>
            <w:vAlign w:val="bottom"/>
          </w:tcPr>
          <w:p>
            <w:pPr>
              <w:jc w:val="right"/>
              <w:spacing w:after="0"/>
              <w:rPr>
                <w:sz w:val="20"/>
                <w:szCs w:val="20"/>
                <w:color w:val="auto"/>
              </w:rPr>
            </w:pPr>
            <w:r>
              <w:rPr>
                <w:rFonts w:ascii="Arial" w:cs="Arial" w:eastAsia="Arial" w:hAnsi="Arial"/>
                <w:sz w:val="18"/>
                <w:szCs w:val="18"/>
                <w:color w:val="auto"/>
              </w:rPr>
              <w:t>13</w:t>
            </w:r>
          </w:p>
        </w:tc>
        <w:tc>
          <w:tcPr>
            <w:tcW w:w="240" w:type="dxa"/>
            <w:vAlign w:val="bottom"/>
          </w:tcPr>
          <w:p>
            <w:pPr>
              <w:spacing w:after="0"/>
              <w:rPr>
                <w:sz w:val="21"/>
                <w:szCs w:val="21"/>
                <w:color w:val="auto"/>
              </w:rPr>
            </w:pPr>
          </w:p>
        </w:tc>
      </w:tr>
      <w:tr>
        <w:trPr>
          <w:trHeight w:val="270"/>
        </w:trPr>
        <w:tc>
          <w:tcPr>
            <w:tcW w:w="3160" w:type="dxa"/>
            <w:vAlign w:val="bottom"/>
            <w:shd w:val="clear" w:color="auto" w:fill="CFF0FC"/>
          </w:tcPr>
          <w:p>
            <w:pPr>
              <w:ind w:left="20"/>
              <w:spacing w:after="0"/>
              <w:rPr>
                <w:sz w:val="20"/>
                <w:szCs w:val="20"/>
                <w:color w:val="auto"/>
              </w:rPr>
            </w:pPr>
            <w:r>
              <w:rPr>
                <w:rFonts w:ascii="Arial" w:cs="Arial" w:eastAsia="Arial" w:hAnsi="Arial"/>
                <w:sz w:val="18"/>
                <w:szCs w:val="18"/>
                <w:color w:val="auto"/>
              </w:rPr>
              <w:t>Operating income (loss)</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11,039</w:t>
            </w:r>
          </w:p>
        </w:tc>
        <w:tc>
          <w:tcPr>
            <w:tcW w:w="40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7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1,104</w:t>
            </w:r>
          </w:p>
        </w:tc>
        <w:tc>
          <w:tcPr>
            <w:tcW w:w="440" w:type="dxa"/>
            <w:vAlign w:val="bottom"/>
            <w:shd w:val="clear" w:color="auto" w:fill="CFF0FC"/>
          </w:tcPr>
          <w:p>
            <w:pPr>
              <w:spacing w:after="0"/>
              <w:rPr>
                <w:sz w:val="23"/>
                <w:szCs w:val="23"/>
                <w:color w:val="auto"/>
              </w:rPr>
            </w:pPr>
          </w:p>
        </w:tc>
        <w:tc>
          <w:tcPr>
            <w:tcW w:w="120" w:type="dxa"/>
            <w:vAlign w:val="bottom"/>
            <w:shd w:val="clear" w:color="auto" w:fill="CFF0FC"/>
          </w:tcPr>
          <w:p>
            <w:pPr>
              <w:spacing w:after="0"/>
              <w:rPr>
                <w:sz w:val="23"/>
                <w:szCs w:val="23"/>
                <w:color w:val="auto"/>
              </w:rPr>
            </w:pP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900 %</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8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20,106</w:t>
            </w:r>
          </w:p>
        </w:tc>
        <w:tc>
          <w:tcPr>
            <w:tcW w:w="360" w:type="dxa"/>
            <w:vAlign w:val="bottom"/>
            <w:shd w:val="clear" w:color="auto" w:fill="CFF0FC"/>
          </w:tcPr>
          <w:p>
            <w:pPr>
              <w:spacing w:after="0"/>
              <w:rPr>
                <w:sz w:val="23"/>
                <w:szCs w:val="23"/>
                <w:color w:val="auto"/>
              </w:rPr>
            </w:pPr>
          </w:p>
        </w:tc>
        <w:tc>
          <w:tcPr>
            <w:tcW w:w="220" w:type="dxa"/>
            <w:vAlign w:val="bottom"/>
            <w:shd w:val="clear" w:color="auto" w:fill="CFF0FC"/>
          </w:tcPr>
          <w:p>
            <w:pPr>
              <w:jc w:val="right"/>
              <w:ind w:right="30"/>
              <w:spacing w:after="0"/>
              <w:rPr>
                <w:sz w:val="20"/>
                <w:szCs w:val="20"/>
                <w:color w:val="auto"/>
              </w:rPr>
            </w:pPr>
            <w:r>
              <w:rPr>
                <w:rFonts w:ascii="Arial" w:cs="Arial" w:eastAsia="Arial" w:hAnsi="Arial"/>
                <w:sz w:val="18"/>
                <w:szCs w:val="18"/>
                <w:color w:val="auto"/>
                <w:w w:val="79"/>
              </w:rPr>
              <w:t>$</w:t>
            </w:r>
          </w:p>
        </w:tc>
        <w:tc>
          <w:tcPr>
            <w:tcW w:w="1220" w:type="dxa"/>
            <w:vAlign w:val="bottom"/>
            <w:gridSpan w:val="2"/>
            <w:shd w:val="clear" w:color="auto" w:fill="CFF0FC"/>
          </w:tcPr>
          <w:p>
            <w:pPr>
              <w:jc w:val="right"/>
              <w:ind w:right="400"/>
              <w:spacing w:after="0"/>
              <w:rPr>
                <w:sz w:val="20"/>
                <w:szCs w:val="20"/>
                <w:color w:val="auto"/>
              </w:rPr>
            </w:pPr>
            <w:r>
              <w:rPr>
                <w:rFonts w:ascii="Arial" w:cs="Arial" w:eastAsia="Arial" w:hAnsi="Arial"/>
                <w:sz w:val="18"/>
                <w:szCs w:val="18"/>
                <w:color w:val="auto"/>
              </w:rPr>
              <w:t>(9,325 )</w:t>
            </w:r>
          </w:p>
        </w:tc>
        <w:tc>
          <w:tcPr>
            <w:tcW w:w="80" w:type="dxa"/>
            <w:vAlign w:val="bottom"/>
            <w:shd w:val="clear" w:color="auto" w:fill="CFF0FC"/>
          </w:tcPr>
          <w:p>
            <w:pPr>
              <w:spacing w:after="0"/>
              <w:rPr>
                <w:sz w:val="23"/>
                <w:szCs w:val="23"/>
                <w:color w:val="auto"/>
              </w:rPr>
            </w:pPr>
          </w:p>
        </w:tc>
        <w:tc>
          <w:tcPr>
            <w:tcW w:w="1020" w:type="dxa"/>
            <w:vAlign w:val="bottom"/>
            <w:gridSpan w:val="2"/>
            <w:shd w:val="clear" w:color="auto" w:fill="CFF0FC"/>
          </w:tcPr>
          <w:p>
            <w:pPr>
              <w:jc w:val="right"/>
              <w:ind w:right="80"/>
              <w:spacing w:after="0"/>
              <w:rPr>
                <w:sz w:val="20"/>
                <w:szCs w:val="20"/>
                <w:color w:val="auto"/>
              </w:rPr>
            </w:pPr>
            <w:r>
              <w:rPr>
                <w:rFonts w:ascii="Arial" w:cs="Arial" w:eastAsia="Arial" w:hAnsi="Arial"/>
                <w:sz w:val="18"/>
                <w:szCs w:val="18"/>
                <w:color w:val="auto"/>
              </w:rPr>
              <w:t>316 %</w:t>
            </w:r>
          </w:p>
        </w:tc>
      </w:tr>
      <w:tr>
        <w:trPr>
          <w:trHeight w:val="20"/>
        </w:trPr>
        <w:tc>
          <w:tcPr>
            <w:tcW w:w="31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20" w:type="dxa"/>
            <w:vAlign w:val="bottom"/>
            <w:tcBorders>
              <w:top w:val="single" w:sz="8" w:color="auto"/>
            </w:tcBorders>
            <w:shd w:val="clear" w:color="auto" w:fill="000000"/>
          </w:tcPr>
          <w:p>
            <w:pPr>
              <w:spacing w:after="0" w:line="20" w:lineRule="exact"/>
              <w:rPr>
                <w:sz w:val="1"/>
                <w:szCs w:val="1"/>
                <w:color w:val="auto"/>
              </w:rPr>
            </w:pPr>
          </w:p>
        </w:tc>
        <w:tc>
          <w:tcPr>
            <w:tcW w:w="40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60" w:type="dxa"/>
            <w:vAlign w:val="bottom"/>
            <w:tcBorders>
              <w:top w:val="single" w:sz="8" w:color="auto"/>
            </w:tcBorders>
            <w:shd w:val="clear" w:color="auto" w:fill="000000"/>
          </w:tcPr>
          <w:p>
            <w:pPr>
              <w:spacing w:after="0" w:line="20" w:lineRule="exact"/>
              <w:rPr>
                <w:sz w:val="1"/>
                <w:szCs w:val="1"/>
                <w:color w:val="auto"/>
              </w:rPr>
            </w:pPr>
          </w:p>
        </w:tc>
        <w:tc>
          <w:tcPr>
            <w:tcW w:w="440" w:type="dxa"/>
            <w:vAlign w:val="bottom"/>
            <w:tcBorders>
              <w:top w:val="single" w:sz="8" w:color="CFF0FC"/>
            </w:tcBorders>
            <w:shd w:val="clear" w:color="auto" w:fill="CFF0FC"/>
          </w:tcPr>
          <w:p>
            <w:pPr>
              <w:spacing w:after="0" w:line="20" w:lineRule="exact"/>
              <w:rPr>
                <w:sz w:val="1"/>
                <w:szCs w:val="1"/>
                <w:color w:val="auto"/>
              </w:rPr>
            </w:pPr>
          </w:p>
        </w:tc>
        <w:tc>
          <w:tcPr>
            <w:tcW w:w="12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auto"/>
            </w:tcBorders>
            <w:shd w:val="clear" w:color="auto" w:fill="000000"/>
          </w:tcPr>
          <w:p>
            <w:pPr>
              <w:spacing w:after="0" w:line="20" w:lineRule="exact"/>
              <w:rPr>
                <w:sz w:val="1"/>
                <w:szCs w:val="1"/>
                <w:color w:val="auto"/>
              </w:rPr>
            </w:pPr>
          </w:p>
        </w:tc>
        <w:tc>
          <w:tcPr>
            <w:tcW w:w="800" w:type="dxa"/>
            <w:vAlign w:val="bottom"/>
            <w:tcBorders>
              <w:top w:val="single" w:sz="8" w:color="auto"/>
            </w:tcBorders>
            <w:shd w:val="clear" w:color="auto" w:fill="000000"/>
          </w:tcPr>
          <w:p>
            <w:pPr>
              <w:spacing w:after="0" w:line="20" w:lineRule="exact"/>
              <w:rPr>
                <w:sz w:val="1"/>
                <w:szCs w:val="1"/>
                <w:color w:val="auto"/>
              </w:rPr>
            </w:pPr>
          </w:p>
        </w:tc>
        <w:tc>
          <w:tcPr>
            <w:tcW w:w="360" w:type="dxa"/>
            <w:vAlign w:val="bottom"/>
            <w:tcBorders>
              <w:top w:val="single" w:sz="8" w:color="CFF0FC"/>
            </w:tcBorders>
            <w:shd w:val="clear" w:color="auto" w:fill="CFF0FC"/>
          </w:tcPr>
          <w:p>
            <w:pPr>
              <w:spacing w:after="0" w:line="20" w:lineRule="exact"/>
              <w:rPr>
                <w:sz w:val="1"/>
                <w:szCs w:val="1"/>
                <w:color w:val="auto"/>
              </w:rPr>
            </w:pPr>
          </w:p>
        </w:tc>
        <w:tc>
          <w:tcPr>
            <w:tcW w:w="220" w:type="dxa"/>
            <w:vAlign w:val="bottom"/>
            <w:tcBorders>
              <w:top w:val="single" w:sz="8" w:color="auto"/>
            </w:tcBorders>
            <w:shd w:val="clear" w:color="auto" w:fill="000000"/>
          </w:tcPr>
          <w:p>
            <w:pPr>
              <w:spacing w:after="0" w:line="20" w:lineRule="exact"/>
              <w:rPr>
                <w:sz w:val="1"/>
                <w:szCs w:val="1"/>
                <w:color w:val="auto"/>
              </w:rPr>
            </w:pPr>
          </w:p>
        </w:tc>
        <w:tc>
          <w:tcPr>
            <w:tcW w:w="740" w:type="dxa"/>
            <w:vAlign w:val="bottom"/>
            <w:tcBorders>
              <w:top w:val="single" w:sz="8" w:color="auto"/>
            </w:tcBorders>
            <w:shd w:val="clear" w:color="auto" w:fill="000000"/>
          </w:tcPr>
          <w:p>
            <w:pPr>
              <w:spacing w:after="0" w:line="20" w:lineRule="exact"/>
              <w:rPr>
                <w:sz w:val="1"/>
                <w:szCs w:val="1"/>
                <w:color w:val="auto"/>
              </w:rPr>
            </w:pPr>
          </w:p>
        </w:tc>
        <w:tc>
          <w:tcPr>
            <w:tcW w:w="480" w:type="dxa"/>
            <w:vAlign w:val="bottom"/>
            <w:tcBorders>
              <w:top w:val="single" w:sz="8" w:color="CFF0FC"/>
            </w:tcBorders>
            <w:shd w:val="clear" w:color="auto" w:fill="CFF0FC"/>
          </w:tcPr>
          <w:p>
            <w:pPr>
              <w:spacing w:after="0" w:line="20" w:lineRule="exact"/>
              <w:rPr>
                <w:sz w:val="1"/>
                <w:szCs w:val="1"/>
                <w:color w:val="auto"/>
              </w:rPr>
            </w:pPr>
          </w:p>
        </w:tc>
        <w:tc>
          <w:tcPr>
            <w:tcW w:w="80" w:type="dxa"/>
            <w:vAlign w:val="bottom"/>
            <w:tcBorders>
              <w:top w:val="single" w:sz="8" w:color="CFF0FC"/>
            </w:tcBorders>
            <w:shd w:val="clear" w:color="auto" w:fill="CFF0FC"/>
          </w:tcPr>
          <w:p>
            <w:pPr>
              <w:spacing w:after="0" w:line="20" w:lineRule="exact"/>
              <w:rPr>
                <w:sz w:val="1"/>
                <w:szCs w:val="1"/>
                <w:color w:val="auto"/>
              </w:rPr>
            </w:pPr>
          </w:p>
        </w:tc>
        <w:tc>
          <w:tcPr>
            <w:tcW w:w="780" w:type="dxa"/>
            <w:vAlign w:val="bottom"/>
            <w:tcBorders>
              <w:top w:val="single" w:sz="8" w:color="CFF0FC"/>
            </w:tcBorders>
            <w:shd w:val="clear" w:color="auto" w:fill="CFF0FC"/>
          </w:tcPr>
          <w:p>
            <w:pPr>
              <w:spacing w:after="0" w:line="20" w:lineRule="exact"/>
              <w:rPr>
                <w:sz w:val="1"/>
                <w:szCs w:val="1"/>
                <w:color w:val="auto"/>
              </w:rPr>
            </w:pPr>
          </w:p>
        </w:tc>
        <w:tc>
          <w:tcPr>
            <w:tcW w:w="240" w:type="dxa"/>
            <w:vAlign w:val="bottom"/>
            <w:tcBorders>
              <w:top w:val="single" w:sz="8" w:color="CFF0FC"/>
            </w:tcBorders>
            <w:shd w:val="clear" w:color="auto" w:fill="CFF0FC"/>
          </w:tcPr>
          <w:p>
            <w:pPr>
              <w:spacing w:after="0" w:line="20" w:lineRule="exact"/>
              <w:rPr>
                <w:sz w:val="1"/>
                <w:szCs w:val="1"/>
                <w:color w:val="auto"/>
              </w:rPr>
            </w:pPr>
          </w:p>
        </w:tc>
      </w:tr>
      <w:tr>
        <w:trPr>
          <w:trHeight w:val="231"/>
        </w:trPr>
        <w:tc>
          <w:tcPr>
            <w:tcW w:w="3160" w:type="dxa"/>
            <w:vAlign w:val="bottom"/>
          </w:tcPr>
          <w:p>
            <w:pPr>
              <w:ind w:left="20"/>
              <w:spacing w:after="0"/>
              <w:rPr>
                <w:sz w:val="20"/>
                <w:szCs w:val="20"/>
                <w:color w:val="auto"/>
              </w:rPr>
            </w:pPr>
            <w:r>
              <w:rPr>
                <w:rFonts w:ascii="Arial" w:cs="Arial" w:eastAsia="Arial" w:hAnsi="Arial"/>
                <w:sz w:val="18"/>
                <w:szCs w:val="18"/>
                <w:color w:val="auto"/>
              </w:rPr>
              <w:t>Operating margins</w:t>
            </w:r>
          </w:p>
        </w:tc>
        <w:tc>
          <w:tcPr>
            <w:tcW w:w="240" w:type="dxa"/>
            <w:vAlign w:val="bottom"/>
          </w:tcPr>
          <w:p>
            <w:pPr>
              <w:spacing w:after="0"/>
              <w:rPr>
                <w:sz w:val="20"/>
                <w:szCs w:val="20"/>
                <w:color w:val="auto"/>
              </w:rPr>
            </w:pPr>
          </w:p>
        </w:tc>
        <w:tc>
          <w:tcPr>
            <w:tcW w:w="1220" w:type="dxa"/>
            <w:vAlign w:val="bottom"/>
            <w:gridSpan w:val="2"/>
          </w:tcPr>
          <w:p>
            <w:pPr>
              <w:jc w:val="right"/>
              <w:ind w:right="240"/>
              <w:spacing w:after="0"/>
              <w:rPr>
                <w:sz w:val="20"/>
                <w:szCs w:val="20"/>
                <w:color w:val="auto"/>
              </w:rPr>
            </w:pPr>
            <w:r>
              <w:rPr>
                <w:rFonts w:ascii="Arial" w:cs="Arial" w:eastAsia="Arial" w:hAnsi="Arial"/>
                <w:sz w:val="18"/>
                <w:szCs w:val="18"/>
                <w:color w:val="auto"/>
              </w:rPr>
              <w:t>4.2 %</w:t>
            </w:r>
          </w:p>
        </w:tc>
        <w:tc>
          <w:tcPr>
            <w:tcW w:w="220" w:type="dxa"/>
            <w:vAlign w:val="bottom"/>
          </w:tcPr>
          <w:p>
            <w:pPr>
              <w:spacing w:after="0"/>
              <w:rPr>
                <w:sz w:val="20"/>
                <w:szCs w:val="20"/>
                <w:color w:val="auto"/>
              </w:rPr>
            </w:pPr>
          </w:p>
        </w:tc>
        <w:tc>
          <w:tcPr>
            <w:tcW w:w="1200" w:type="dxa"/>
            <w:vAlign w:val="bottom"/>
            <w:gridSpan w:val="2"/>
          </w:tcPr>
          <w:p>
            <w:pPr>
              <w:jc w:val="right"/>
              <w:ind w:right="280"/>
              <w:spacing w:after="0"/>
              <w:rPr>
                <w:sz w:val="20"/>
                <w:szCs w:val="20"/>
                <w:color w:val="auto"/>
              </w:rPr>
            </w:pPr>
            <w:r>
              <w:rPr>
                <w:rFonts w:ascii="Arial" w:cs="Arial" w:eastAsia="Arial" w:hAnsi="Arial"/>
                <w:sz w:val="18"/>
                <w:szCs w:val="18"/>
                <w:color w:val="auto"/>
              </w:rPr>
              <w:t>0.6 %</w:t>
            </w:r>
          </w:p>
        </w:tc>
        <w:tc>
          <w:tcPr>
            <w:tcW w:w="12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360" w:type="dxa"/>
            <w:vAlign w:val="bottom"/>
          </w:tcPr>
          <w:p>
            <w:pPr>
              <w:spacing w:after="0"/>
              <w:rPr>
                <w:sz w:val="20"/>
                <w:szCs w:val="20"/>
                <w:color w:val="auto"/>
              </w:rPr>
            </w:pPr>
          </w:p>
        </w:tc>
        <w:tc>
          <w:tcPr>
            <w:tcW w:w="240" w:type="dxa"/>
            <w:vAlign w:val="bottom"/>
          </w:tcPr>
          <w:p>
            <w:pPr>
              <w:spacing w:after="0"/>
              <w:rPr>
                <w:sz w:val="20"/>
                <w:szCs w:val="20"/>
                <w:color w:val="auto"/>
              </w:rPr>
            </w:pPr>
          </w:p>
        </w:tc>
        <w:tc>
          <w:tcPr>
            <w:tcW w:w="1160" w:type="dxa"/>
            <w:vAlign w:val="bottom"/>
            <w:gridSpan w:val="2"/>
          </w:tcPr>
          <w:p>
            <w:pPr>
              <w:jc w:val="right"/>
              <w:ind w:right="200"/>
              <w:spacing w:after="0"/>
              <w:rPr>
                <w:sz w:val="20"/>
                <w:szCs w:val="20"/>
                <w:color w:val="auto"/>
              </w:rPr>
            </w:pPr>
            <w:r>
              <w:rPr>
                <w:rFonts w:ascii="Arial" w:cs="Arial" w:eastAsia="Arial" w:hAnsi="Arial"/>
                <w:sz w:val="18"/>
                <w:szCs w:val="18"/>
                <w:color w:val="auto"/>
              </w:rPr>
              <w:t>2.9 %</w:t>
            </w:r>
          </w:p>
        </w:tc>
        <w:tc>
          <w:tcPr>
            <w:tcW w:w="220" w:type="dxa"/>
            <w:vAlign w:val="bottom"/>
          </w:tcPr>
          <w:p>
            <w:pPr>
              <w:spacing w:after="0"/>
              <w:rPr>
                <w:sz w:val="20"/>
                <w:szCs w:val="20"/>
                <w:color w:val="auto"/>
              </w:rPr>
            </w:pPr>
          </w:p>
        </w:tc>
        <w:tc>
          <w:tcPr>
            <w:tcW w:w="1220" w:type="dxa"/>
            <w:vAlign w:val="bottom"/>
            <w:gridSpan w:val="2"/>
          </w:tcPr>
          <w:p>
            <w:pPr>
              <w:jc w:val="right"/>
              <w:ind w:right="260"/>
              <w:spacing w:after="0"/>
              <w:rPr>
                <w:sz w:val="20"/>
                <w:szCs w:val="20"/>
                <w:color w:val="auto"/>
              </w:rPr>
            </w:pPr>
            <w:r>
              <w:rPr>
                <w:rFonts w:ascii="Arial" w:cs="Arial" w:eastAsia="Arial" w:hAnsi="Arial"/>
                <w:sz w:val="18"/>
                <w:szCs w:val="18"/>
                <w:color w:val="auto"/>
              </w:rPr>
              <w:t>(1.6 )%</w:t>
            </w:r>
          </w:p>
        </w:tc>
        <w:tc>
          <w:tcPr>
            <w:tcW w:w="80" w:type="dxa"/>
            <w:vAlign w:val="bottom"/>
          </w:tcPr>
          <w:p>
            <w:pPr>
              <w:spacing w:after="0"/>
              <w:rPr>
                <w:sz w:val="20"/>
                <w:szCs w:val="20"/>
                <w:color w:val="auto"/>
              </w:rPr>
            </w:pPr>
          </w:p>
        </w:tc>
        <w:tc>
          <w:tcPr>
            <w:tcW w:w="780" w:type="dxa"/>
            <w:vAlign w:val="bottom"/>
          </w:tcPr>
          <w:p>
            <w:pPr>
              <w:spacing w:after="0"/>
              <w:rPr>
                <w:sz w:val="20"/>
                <w:szCs w:val="20"/>
                <w:color w:val="auto"/>
              </w:rPr>
            </w:pPr>
          </w:p>
        </w:tc>
        <w:tc>
          <w:tcPr>
            <w:tcW w:w="240" w:type="dxa"/>
            <w:vAlign w:val="bottom"/>
          </w:tcPr>
          <w:p>
            <w:pPr>
              <w:spacing w:after="0"/>
              <w:rPr>
                <w:sz w:val="20"/>
                <w:szCs w:val="20"/>
                <w:color w:val="auto"/>
              </w:rPr>
            </w:pPr>
          </w:p>
        </w:tc>
      </w:tr>
      <w:tr>
        <w:trPr>
          <w:trHeight w:val="20"/>
        </w:trPr>
        <w:tc>
          <w:tcPr>
            <w:tcW w:w="31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20" w:type="dxa"/>
            <w:vAlign w:val="bottom"/>
            <w:tcBorders>
              <w:top w:val="single" w:sz="8" w:color="auto"/>
              <w:bottom w:val="single" w:sz="8" w:color="auto"/>
            </w:tcBorders>
          </w:tcPr>
          <w:p>
            <w:pPr>
              <w:spacing w:after="0" w:line="20" w:lineRule="exact"/>
              <w:rPr>
                <w:sz w:val="1"/>
                <w:szCs w:val="1"/>
                <w:color w:val="auto"/>
              </w:rPr>
            </w:pPr>
          </w:p>
        </w:tc>
        <w:tc>
          <w:tcPr>
            <w:tcW w:w="40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60" w:type="dxa"/>
            <w:vAlign w:val="bottom"/>
            <w:tcBorders>
              <w:top w:val="single" w:sz="8" w:color="auto"/>
              <w:bottom w:val="single" w:sz="8" w:color="auto"/>
            </w:tcBorders>
          </w:tcPr>
          <w:p>
            <w:pPr>
              <w:spacing w:after="0" w:line="20" w:lineRule="exact"/>
              <w:rPr>
                <w:sz w:val="1"/>
                <w:szCs w:val="1"/>
                <w:color w:val="auto"/>
              </w:rPr>
            </w:pPr>
          </w:p>
        </w:tc>
        <w:tc>
          <w:tcPr>
            <w:tcW w:w="440" w:type="dxa"/>
            <w:vAlign w:val="bottom"/>
          </w:tcPr>
          <w:p>
            <w:pPr>
              <w:spacing w:after="0" w:line="20" w:lineRule="exact"/>
              <w:rPr>
                <w:sz w:val="1"/>
                <w:szCs w:val="1"/>
                <w:color w:val="auto"/>
              </w:rPr>
            </w:pPr>
          </w:p>
        </w:tc>
        <w:tc>
          <w:tcPr>
            <w:tcW w:w="12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40" w:type="dxa"/>
            <w:vAlign w:val="bottom"/>
            <w:tcBorders>
              <w:top w:val="single" w:sz="8" w:color="auto"/>
              <w:bottom w:val="single" w:sz="8" w:color="auto"/>
            </w:tcBorders>
          </w:tcPr>
          <w:p>
            <w:pPr>
              <w:spacing w:after="0" w:line="20" w:lineRule="exact"/>
              <w:rPr>
                <w:sz w:val="1"/>
                <w:szCs w:val="1"/>
                <w:color w:val="auto"/>
              </w:rPr>
            </w:pPr>
          </w:p>
        </w:tc>
        <w:tc>
          <w:tcPr>
            <w:tcW w:w="800" w:type="dxa"/>
            <w:vAlign w:val="bottom"/>
            <w:tcBorders>
              <w:top w:val="single" w:sz="8" w:color="auto"/>
              <w:bottom w:val="single" w:sz="8" w:color="auto"/>
            </w:tcBorders>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tcBorders>
              <w:top w:val="single" w:sz="8" w:color="auto"/>
              <w:bottom w:val="single" w:sz="8" w:color="auto"/>
            </w:tcBorders>
          </w:tcPr>
          <w:p>
            <w:pPr>
              <w:spacing w:after="0" w:line="20" w:lineRule="exact"/>
              <w:rPr>
                <w:sz w:val="1"/>
                <w:szCs w:val="1"/>
                <w:color w:val="auto"/>
              </w:rPr>
            </w:pPr>
          </w:p>
        </w:tc>
        <w:tc>
          <w:tcPr>
            <w:tcW w:w="740" w:type="dxa"/>
            <w:vAlign w:val="bottom"/>
            <w:tcBorders>
              <w:top w:val="single" w:sz="8" w:color="auto"/>
              <w:bottom w:val="single" w:sz="8" w:color="auto"/>
            </w:tcBorders>
          </w:tcPr>
          <w:p>
            <w:pPr>
              <w:spacing w:after="0" w:line="20" w:lineRule="exact"/>
              <w:rPr>
                <w:sz w:val="1"/>
                <w:szCs w:val="1"/>
                <w:color w:val="auto"/>
              </w:rPr>
            </w:pPr>
          </w:p>
        </w:tc>
        <w:tc>
          <w:tcPr>
            <w:tcW w:w="48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780" w:type="dxa"/>
            <w:vAlign w:val="bottom"/>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2679700</wp:posOffset>
            </wp:positionH>
            <wp:positionV relativeFrom="paragraph">
              <wp:posOffset>-1539240</wp:posOffset>
            </wp:positionV>
            <wp:extent cx="248285" cy="5715"/>
            <wp:wrapNone/>
            <wp:docPr id="356" name="Picture 35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6"/>
                    <pic:cNvPicPr>
                      <a:picLocks noChangeAspect="1" noChangeArrowheads="1"/>
                    </pic:cNvPicPr>
                  </pic:nvPicPr>
                  <pic:blipFill>
                    <a:blip r:embed="rId363">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-1539240</wp:posOffset>
            </wp:positionV>
            <wp:extent cx="282575" cy="5715"/>
            <wp:wrapNone/>
            <wp:docPr id="357" name="Picture 35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7"/>
                    <pic:cNvPicPr>
                      <a:picLocks noChangeAspect="1" noChangeArrowheads="1"/>
                    </pic:cNvPicPr>
                  </pic:nvPicPr>
                  <pic:blipFill>
                    <a:blip r:embed="rId364">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-1539240</wp:posOffset>
            </wp:positionV>
            <wp:extent cx="231775" cy="5715"/>
            <wp:wrapNone/>
            <wp:docPr id="358" name="Picture 35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8"/>
                    <pic:cNvPicPr>
                      <a:picLocks noChangeAspect="1" noChangeArrowheads="1"/>
                    </pic:cNvPicPr>
                  </pic:nvPicPr>
                  <pic:blipFill>
                    <a:blip r:embed="rId365">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-1539240</wp:posOffset>
            </wp:positionV>
            <wp:extent cx="300355" cy="5715"/>
            <wp:wrapNone/>
            <wp:docPr id="359" name="Picture 35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59"/>
                    <pic:cNvPicPr>
                      <a:picLocks noChangeAspect="1" noChangeArrowheads="1"/>
                    </pic:cNvPicPr>
                  </pic:nvPicPr>
                  <pic:blipFill>
                    <a:blip r:embed="rId366">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-553720</wp:posOffset>
            </wp:positionV>
            <wp:extent cx="248285" cy="5715"/>
            <wp:wrapNone/>
            <wp:docPr id="360" name="Picture 36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0"/>
                    <pic:cNvPicPr>
                      <a:picLocks noChangeAspect="1" noChangeArrowheads="1"/>
                    </pic:cNvPicPr>
                  </pic:nvPicPr>
                  <pic:blipFill>
                    <a:blip r:embed="rId367">
                      <a:extLst>
                        <a:ext uri="{28A0092B-C50C-407E-A947-70E740481C1C}"/>
                      </a:extLst>
                    </a:blip>
                    <a:srcRect/>
                    <a:stretch>
                      <a:fillRect/>
                    </a:stretch>
                  </pic:blipFill>
                  <pic:spPr bwMode="auto">
                    <a:xfrm>
                      <a:off x="0" y="0"/>
                      <a:ext cx="248285" cy="571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-553720</wp:posOffset>
            </wp:positionV>
            <wp:extent cx="282575" cy="5715"/>
            <wp:wrapNone/>
            <wp:docPr id="361" name="Picture 36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1"/>
                    <pic:cNvPicPr>
                      <a:picLocks noChangeAspect="1" noChangeArrowheads="1"/>
                    </pic:cNvPicPr>
                  </pic:nvPicPr>
                  <pic:blipFill>
                    <a:blip r:embed="rId368">
                      <a:extLst>
                        <a:ext uri="{28A0092B-C50C-407E-A947-70E740481C1C}"/>
                      </a:extLst>
                    </a:blip>
                    <a:srcRect/>
                    <a:stretch>
                      <a:fillRect/>
                    </a:stretch>
                  </pic:blipFill>
                  <pic:spPr bwMode="auto">
                    <a:xfrm>
                      <a:off x="0" y="0"/>
                      <a:ext cx="282575" cy="571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-553720</wp:posOffset>
            </wp:positionV>
            <wp:extent cx="231775" cy="5715"/>
            <wp:wrapNone/>
            <wp:docPr id="362" name="Picture 36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2"/>
                    <pic:cNvPicPr>
                      <a:picLocks noChangeAspect="1" noChangeArrowheads="1"/>
                    </pic:cNvPicPr>
                  </pic:nvPicPr>
                  <pic:blipFill>
                    <a:blip r:embed="rId369">
                      <a:extLst>
                        <a:ext uri="{28A0092B-C50C-407E-A947-70E740481C1C}"/>
                      </a:extLst>
                    </a:blip>
                    <a:srcRect/>
                    <a:stretch>
                      <a:fillRect/>
                    </a:stretch>
                  </pic:blipFill>
                  <pic:spPr bwMode="auto">
                    <a:xfrm>
                      <a:off x="0" y="0"/>
                      <a:ext cx="231775" cy="571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-553720</wp:posOffset>
            </wp:positionV>
            <wp:extent cx="300355" cy="5715"/>
            <wp:wrapNone/>
            <wp:docPr id="363" name="Picture 36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3"/>
                    <pic:cNvPicPr>
                      <a:picLocks noChangeAspect="1" noChangeArrowheads="1"/>
                    </pic:cNvPicPr>
                  </pic:nvPicPr>
                  <pic:blipFill>
                    <a:blip r:embed="rId370">
                      <a:extLst>
                        <a:ext uri="{28A0092B-C50C-407E-A947-70E740481C1C}"/>
                      </a:extLst>
                    </a:blip>
                    <a:srcRect/>
                    <a:stretch>
                      <a:fillRect/>
                    </a:stretch>
                  </pic:blipFill>
                  <pic:spPr bwMode="auto">
                    <a:xfrm>
                      <a:off x="0" y="0"/>
                      <a:ext cx="300355" cy="571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-213995</wp:posOffset>
            </wp:positionV>
            <wp:extent cx="248285" cy="8255"/>
            <wp:wrapNone/>
            <wp:docPr id="364" name="Picture 36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4"/>
                    <pic:cNvPicPr>
                      <a:picLocks noChangeAspect="1" noChangeArrowheads="1"/>
                    </pic:cNvPicPr>
                  </pic:nvPicPr>
                  <pic:blipFill>
                    <a:blip r:embed="rId371">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2679700</wp:posOffset>
            </wp:positionH>
            <wp:positionV relativeFrom="paragraph">
              <wp:posOffset>-196215</wp:posOffset>
            </wp:positionV>
            <wp:extent cx="248285" cy="8255"/>
            <wp:wrapNone/>
            <wp:docPr id="365" name="Picture 36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5"/>
                    <pic:cNvPicPr>
                      <a:picLocks noChangeAspect="1" noChangeArrowheads="1"/>
                    </pic:cNvPicPr>
                  </pic:nvPicPr>
                  <pic:blipFill>
                    <a:blip r:embed="rId372">
                      <a:extLst>
                        <a:ext uri="{28A0092B-C50C-407E-A947-70E740481C1C}"/>
                      </a:extLst>
                    </a:blip>
                    <a:srcRect/>
                    <a:stretch>
                      <a:fillRect/>
                    </a:stretch>
                  </pic:blipFill>
                  <pic:spPr bwMode="auto">
                    <a:xfrm>
                      <a:off x="0" y="0"/>
                      <a:ext cx="24828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-213995</wp:posOffset>
            </wp:positionV>
            <wp:extent cx="282575" cy="8255"/>
            <wp:wrapNone/>
            <wp:docPr id="366" name="Picture 3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6"/>
                    <pic:cNvPicPr>
                      <a:picLocks noChangeAspect="1" noChangeArrowheads="1"/>
                    </pic:cNvPicPr>
                  </pic:nvPicPr>
                  <pic:blipFill>
                    <a:blip r:embed="rId373">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3554095</wp:posOffset>
            </wp:positionH>
            <wp:positionV relativeFrom="paragraph">
              <wp:posOffset>-196215</wp:posOffset>
            </wp:positionV>
            <wp:extent cx="282575" cy="8255"/>
            <wp:wrapNone/>
            <wp:docPr id="367" name="Picture 36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7"/>
                    <pic:cNvPicPr>
                      <a:picLocks noChangeAspect="1" noChangeArrowheads="1"/>
                    </pic:cNvPicPr>
                  </pic:nvPicPr>
                  <pic:blipFill>
                    <a:blip r:embed="rId374">
                      <a:extLst>
                        <a:ext uri="{28A0092B-C50C-407E-A947-70E740481C1C}"/>
                      </a:extLst>
                    </a:blip>
                    <a:srcRect/>
                    <a:stretch>
                      <a:fillRect/>
                    </a:stretch>
                  </pic:blipFill>
                  <pic:spPr bwMode="auto">
                    <a:xfrm>
                      <a:off x="0" y="0"/>
                      <a:ext cx="28257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-213995</wp:posOffset>
            </wp:positionV>
            <wp:extent cx="231775" cy="8255"/>
            <wp:wrapNone/>
            <wp:docPr id="368" name="Picture 36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8"/>
                    <pic:cNvPicPr>
                      <a:picLocks noChangeAspect="1" noChangeArrowheads="1"/>
                    </pic:cNvPicPr>
                  </pic:nvPicPr>
                  <pic:blipFill>
                    <a:blip r:embed="rId375">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5293995</wp:posOffset>
            </wp:positionH>
            <wp:positionV relativeFrom="paragraph">
              <wp:posOffset>-196215</wp:posOffset>
            </wp:positionV>
            <wp:extent cx="231775" cy="8255"/>
            <wp:wrapNone/>
            <wp:docPr id="369" name="Picture 36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69"/>
                    <pic:cNvPicPr>
                      <a:picLocks noChangeAspect="1" noChangeArrowheads="1"/>
                    </pic:cNvPicPr>
                  </pic:nvPicPr>
                  <pic:blipFill>
                    <a:blip r:embed="rId376">
                      <a:extLst>
                        <a:ext uri="{28A0092B-C50C-407E-A947-70E740481C1C}"/>
                      </a:extLst>
                    </a:blip>
                    <a:srcRect/>
                    <a:stretch>
                      <a:fillRect/>
                    </a:stretch>
                  </pic:blipFill>
                  <pic:spPr bwMode="auto">
                    <a:xfrm>
                      <a:off x="0" y="0"/>
                      <a:ext cx="23177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-213995</wp:posOffset>
            </wp:positionV>
            <wp:extent cx="300355" cy="8255"/>
            <wp:wrapNone/>
            <wp:docPr id="370" name="Picture 37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0"/>
                    <pic:cNvPicPr>
                      <a:picLocks noChangeAspect="1" noChangeArrowheads="1"/>
                    </pic:cNvPicPr>
                  </pic:nvPicPr>
                  <pic:blipFill>
                    <a:blip r:embed="rId377">
                      <a:extLst>
                        <a:ext uri="{28A0092B-C50C-407E-A947-70E740481C1C}"/>
                      </a:extLst>
                    </a:blip>
                    <a:srcRect/>
                    <a:stretch>
                      <a:fillRect/>
                    </a:stretch>
                  </pic:blipFill>
                  <pic:spPr bwMode="auto">
                    <a:xfrm>
                      <a:off x="0" y="0"/>
                      <a:ext cx="300355" cy="8255"/>
                    </a:xfrm>
                    <a:prstGeom prst="rect">
                      <a:avLst/>
                    </a:prstGeom>
                    <a:noFill/>
                  </pic:spPr>
                </pic:pic>
              </a:graphicData>
            </a:graphic>
          </wp:anchor>
        </w:drawing>
        <w:drawing>
          <wp:anchor simplePos="0" relativeHeight="251657728" behindDoc="1" locked="0" layoutInCell="0" allowOverlap="1">
            <wp:simplePos x="0" y="0"/>
            <wp:positionH relativeFrom="column">
              <wp:posOffset>6134100</wp:posOffset>
            </wp:positionH>
            <wp:positionV relativeFrom="paragraph">
              <wp:posOffset>-196215</wp:posOffset>
            </wp:positionV>
            <wp:extent cx="300355" cy="8255"/>
            <wp:wrapNone/>
            <wp:docPr id="371" name="Picture 37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1"/>
                    <pic:cNvPicPr>
                      <a:picLocks noChangeAspect="1" noChangeArrowheads="1"/>
                    </pic:cNvPicPr>
                  </pic:nvPicPr>
                  <pic:blipFill>
                    <a:blip r:embed="rId378">
                      <a:extLst>
                        <a:ext uri="{28A0092B-C50C-407E-A947-70E740481C1C}"/>
                      </a:extLst>
                    </a:blip>
                    <a:srcRect/>
                    <a:stretch>
                      <a:fillRect/>
                    </a:stretch>
                  </pic:blipFill>
                  <pic:spPr bwMode="auto">
                    <a:xfrm>
                      <a:off x="0" y="0"/>
                      <a:ext cx="300355" cy="8255"/>
                    </a:xfrm>
                    <a:prstGeom prst="rect">
                      <a:avLst/>
                    </a:prstGeom>
                    <a:noFill/>
                  </pic:spPr>
                </pic:pic>
              </a:graphicData>
            </a:graphic>
          </wp:anchor>
        </w:drawing>
      </w:r>
    </w:p>
    <w:p>
      <w:pPr>
        <w:spacing w:after="0" w:line="20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Distribution and Services Revenues</w:t>
      </w:r>
    </w:p>
    <w:p>
      <w:pPr>
        <w:spacing w:after="0" w:line="252"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The following table shows the markets serviced by the Company’s distribution and services segment, the revenue distribution, and the customers for each market:</w:t>
      </w:r>
    </w:p>
    <w:p>
      <w:pPr>
        <w:spacing w:after="0" w:line="188"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7"/>
              </w:rPr>
              <w:t>2021 Third Quarter</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4"/>
              </w:rPr>
              <w:t>2021 Nine Months</w:t>
            </w:r>
          </w:p>
        </w:tc>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76"/>
        </w:trPr>
        <w:tc>
          <w:tcPr>
            <w:tcW w:w="3080" w:type="dxa"/>
            <w:vAlign w:val="bottom"/>
          </w:tcPr>
          <w:p>
            <w:pPr>
              <w:spacing w:after="0"/>
              <w:rPr>
                <w:sz w:val="15"/>
                <w:szCs w:val="15"/>
                <w:color w:val="auto"/>
              </w:rPr>
            </w:pPr>
          </w:p>
        </w:tc>
        <w:tc>
          <w:tcPr>
            <w:tcW w:w="160" w:type="dxa"/>
            <w:vAlign w:val="bottom"/>
          </w:tcPr>
          <w:p>
            <w:pPr>
              <w:spacing w:after="0"/>
              <w:rPr>
                <w:sz w:val="15"/>
                <w:szCs w:val="15"/>
                <w:color w:val="auto"/>
              </w:rPr>
            </w:pPr>
          </w:p>
        </w:tc>
        <w:tc>
          <w:tcPr>
            <w:tcW w:w="158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5"/>
                <w:szCs w:val="15"/>
                <w:color w:val="auto"/>
              </w:rPr>
            </w:pPr>
          </w:p>
        </w:tc>
        <w:tc>
          <w:tcPr>
            <w:tcW w:w="1560" w:type="dxa"/>
            <w:vAlign w:val="bottom"/>
          </w:tcPr>
          <w:p>
            <w:pPr>
              <w:jc w:val="center"/>
              <w:spacing w:after="0"/>
              <w:rPr>
                <w:sz w:val="20"/>
                <w:szCs w:val="20"/>
                <w:color w:val="auto"/>
              </w:rPr>
            </w:pPr>
            <w:r>
              <w:rPr>
                <w:rFonts w:ascii="Arial" w:cs="Arial" w:eastAsia="Arial" w:hAnsi="Arial"/>
                <w:sz w:val="14"/>
                <w:szCs w:val="14"/>
                <w:b w:val="1"/>
                <w:bCs w:val="1"/>
                <w:color w:val="auto"/>
                <w:w w:val="92"/>
              </w:rPr>
              <w:t>Revenue</w:t>
            </w:r>
          </w:p>
        </w:tc>
        <w:tc>
          <w:tcPr>
            <w:tcW w:w="160" w:type="dxa"/>
            <w:vAlign w:val="bottom"/>
          </w:tcPr>
          <w:p>
            <w:pPr>
              <w:spacing w:after="0"/>
              <w:rPr>
                <w:sz w:val="15"/>
                <w:szCs w:val="15"/>
                <w:color w:val="auto"/>
              </w:rPr>
            </w:pPr>
          </w:p>
        </w:tc>
        <w:tc>
          <w:tcPr>
            <w:tcW w:w="4540" w:type="dxa"/>
            <w:vAlign w:val="bottom"/>
          </w:tcPr>
          <w:p>
            <w:pPr>
              <w:spacing w:after="0"/>
              <w:rPr>
                <w:sz w:val="15"/>
                <w:szCs w:val="15"/>
                <w:color w:val="auto"/>
              </w:rPr>
            </w:pPr>
          </w:p>
        </w:tc>
      </w:tr>
      <w:tr>
        <w:trPr>
          <w:trHeight w:val="192"/>
        </w:trPr>
        <w:tc>
          <w:tcPr>
            <w:tcW w:w="3080" w:type="dxa"/>
            <w:vAlign w:val="bottom"/>
            <w:tcBorders>
              <w:bottom w:val="single" w:sz="8" w:color="auto"/>
            </w:tcBorders>
          </w:tcPr>
          <w:p>
            <w:pPr>
              <w:ind w:left="1000"/>
              <w:spacing w:after="0"/>
              <w:rPr>
                <w:sz w:val="20"/>
                <w:szCs w:val="20"/>
                <w:color w:val="auto"/>
              </w:rPr>
            </w:pPr>
            <w:r>
              <w:rPr>
                <w:rFonts w:ascii="Arial" w:cs="Arial" w:eastAsia="Arial" w:hAnsi="Arial"/>
                <w:sz w:val="14"/>
                <w:szCs w:val="14"/>
                <w:b w:val="1"/>
                <w:bCs w:val="1"/>
                <w:color w:val="auto"/>
              </w:rPr>
              <w:t>Markets Serviced</w:t>
            </w:r>
          </w:p>
        </w:tc>
        <w:tc>
          <w:tcPr>
            <w:tcW w:w="160" w:type="dxa"/>
            <w:vAlign w:val="bottom"/>
          </w:tcPr>
          <w:p>
            <w:pPr>
              <w:spacing w:after="0"/>
              <w:rPr>
                <w:sz w:val="16"/>
                <w:szCs w:val="16"/>
                <w:color w:val="auto"/>
              </w:rPr>
            </w:pPr>
          </w:p>
        </w:tc>
        <w:tc>
          <w:tcPr>
            <w:tcW w:w="158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1560" w:type="dxa"/>
            <w:vAlign w:val="bottom"/>
            <w:tcBorders>
              <w:bottom w:val="single" w:sz="8" w:color="auto"/>
            </w:tcBorders>
          </w:tcPr>
          <w:p>
            <w:pPr>
              <w:jc w:val="center"/>
              <w:spacing w:after="0"/>
              <w:rPr>
                <w:sz w:val="20"/>
                <w:szCs w:val="20"/>
                <w:color w:val="auto"/>
              </w:rPr>
            </w:pPr>
            <w:r>
              <w:rPr>
                <w:rFonts w:ascii="Arial" w:cs="Arial" w:eastAsia="Arial" w:hAnsi="Arial"/>
                <w:sz w:val="14"/>
                <w:szCs w:val="14"/>
                <w:b w:val="1"/>
                <w:bCs w:val="1"/>
                <w:color w:val="auto"/>
                <w:w w:val="94"/>
              </w:rPr>
              <w:t>Distribution</w:t>
            </w:r>
          </w:p>
        </w:tc>
        <w:tc>
          <w:tcPr>
            <w:tcW w:w="160" w:type="dxa"/>
            <w:vAlign w:val="bottom"/>
          </w:tcPr>
          <w:p>
            <w:pPr>
              <w:spacing w:after="0"/>
              <w:rPr>
                <w:sz w:val="16"/>
                <w:szCs w:val="16"/>
                <w:color w:val="auto"/>
              </w:rPr>
            </w:pPr>
          </w:p>
        </w:tc>
        <w:tc>
          <w:tcPr>
            <w:tcW w:w="4540" w:type="dxa"/>
            <w:vAlign w:val="bottom"/>
            <w:tcBorders>
              <w:bottom w:val="single" w:sz="8" w:color="auto"/>
            </w:tcBorders>
          </w:tcPr>
          <w:p>
            <w:pPr>
              <w:ind w:left="1940"/>
              <w:spacing w:after="0"/>
              <w:rPr>
                <w:sz w:val="20"/>
                <w:szCs w:val="20"/>
                <w:color w:val="auto"/>
              </w:rPr>
            </w:pPr>
            <w:r>
              <w:rPr>
                <w:rFonts w:ascii="Arial" w:cs="Arial" w:eastAsia="Arial" w:hAnsi="Arial"/>
                <w:sz w:val="14"/>
                <w:szCs w:val="14"/>
                <w:b w:val="1"/>
                <w:bCs w:val="1"/>
                <w:color w:val="auto"/>
              </w:rPr>
              <w:t>Customers</w:t>
            </w:r>
          </w:p>
        </w:tc>
      </w:tr>
      <w:tr>
        <w:trPr>
          <w:trHeight w:val="242"/>
        </w:trPr>
        <w:tc>
          <w:tcPr>
            <w:tcW w:w="3080" w:type="dxa"/>
            <w:vAlign w:val="bottom"/>
            <w:shd w:val="clear" w:color="auto" w:fill="CFF0FC"/>
          </w:tcPr>
          <w:p>
            <w:pPr>
              <w:ind w:left="20"/>
              <w:spacing w:after="0"/>
              <w:rPr>
                <w:sz w:val="20"/>
                <w:szCs w:val="20"/>
                <w:color w:val="auto"/>
              </w:rPr>
            </w:pPr>
            <w:r>
              <w:rPr>
                <w:rFonts w:ascii="Arial" w:cs="Arial" w:eastAsia="Arial" w:hAnsi="Arial"/>
                <w:sz w:val="18"/>
                <w:szCs w:val="18"/>
                <w:color w:val="auto"/>
              </w:rPr>
              <w:t>Commercial and Industrial</w:t>
            </w:r>
          </w:p>
        </w:tc>
        <w:tc>
          <w:tcPr>
            <w:tcW w:w="1740" w:type="dxa"/>
            <w:vAlign w:val="bottom"/>
            <w:gridSpan w:val="2"/>
            <w:shd w:val="clear" w:color="auto" w:fill="CFF0FC"/>
          </w:tcPr>
          <w:p>
            <w:pPr>
              <w:jc w:val="center"/>
              <w:ind w:left="70"/>
              <w:spacing w:after="0"/>
              <w:rPr>
                <w:sz w:val="20"/>
                <w:szCs w:val="20"/>
                <w:color w:val="auto"/>
              </w:rPr>
            </w:pPr>
            <w:r>
              <w:rPr>
                <w:rFonts w:ascii="Arial" w:cs="Arial" w:eastAsia="Arial" w:hAnsi="Arial"/>
                <w:sz w:val="18"/>
                <w:szCs w:val="18"/>
                <w:color w:val="auto"/>
                <w:w w:val="94"/>
              </w:rPr>
              <w:t>59%</w:t>
            </w:r>
          </w:p>
        </w:tc>
        <w:tc>
          <w:tcPr>
            <w:tcW w:w="1720" w:type="dxa"/>
            <w:vAlign w:val="bottom"/>
            <w:gridSpan w:val="2"/>
            <w:shd w:val="clear" w:color="auto" w:fill="CFF0FC"/>
          </w:tcPr>
          <w:p>
            <w:pPr>
              <w:jc w:val="center"/>
              <w:ind w:left="90"/>
              <w:spacing w:after="0"/>
              <w:rPr>
                <w:sz w:val="20"/>
                <w:szCs w:val="20"/>
                <w:color w:val="auto"/>
              </w:rPr>
            </w:pPr>
            <w:r>
              <w:rPr>
                <w:rFonts w:ascii="Arial" w:cs="Arial" w:eastAsia="Arial" w:hAnsi="Arial"/>
                <w:sz w:val="18"/>
                <w:szCs w:val="18"/>
                <w:color w:val="auto"/>
                <w:w w:val="94"/>
              </w:rPr>
              <w:t>63%</w:t>
            </w:r>
          </w:p>
        </w:tc>
        <w:tc>
          <w:tcPr>
            <w:tcW w:w="16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4"/>
              </w:rPr>
              <w:t>Inland River Carriers — Dry and Liquid, Offshore Towing —</w:t>
            </w:r>
          </w:p>
        </w:tc>
      </w:tr>
      <w:tr>
        <w:trPr>
          <w:trHeight w:val="230"/>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5"/>
              </w:rPr>
              <w:t>Dry and Liquid, Offshore Oilfield Services — Drilling Rigs &amp;</w:t>
            </w:r>
          </w:p>
        </w:tc>
      </w:tr>
      <w:tr>
        <w:trPr>
          <w:trHeight w:val="229"/>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w w:val="97"/>
              </w:rPr>
              <w:t>Supply Boats, Harbor Towing, Dredging, Great Lakes Ore</w:t>
            </w:r>
          </w:p>
        </w:tc>
      </w:tr>
      <w:tr>
        <w:trPr>
          <w:trHeight w:val="230"/>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Carriers, Pleasure Crafts, On and Off-Highway</w:t>
            </w:r>
          </w:p>
        </w:tc>
      </w:tr>
      <w:tr>
        <w:trPr>
          <w:trHeight w:val="230"/>
        </w:trPr>
        <w:tc>
          <w:tcPr>
            <w:tcW w:w="30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8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1560" w:type="dxa"/>
            <w:vAlign w:val="bottom"/>
            <w:shd w:val="clear" w:color="auto" w:fill="CFF0FC"/>
          </w:tcPr>
          <w:p>
            <w:pPr>
              <w:spacing w:after="0"/>
              <w:rPr>
                <w:sz w:val="19"/>
                <w:szCs w:val="19"/>
                <w:color w:val="auto"/>
              </w:rPr>
            </w:pPr>
          </w:p>
        </w:tc>
        <w:tc>
          <w:tcPr>
            <w:tcW w:w="160" w:type="dxa"/>
            <w:vAlign w:val="bottom"/>
            <w:shd w:val="clear" w:color="auto" w:fill="CFF0FC"/>
          </w:tcPr>
          <w:p>
            <w:pPr>
              <w:spacing w:after="0"/>
              <w:rPr>
                <w:sz w:val="19"/>
                <w:szCs w:val="19"/>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Transportation, Power Generation, Standby Power</w:t>
            </w:r>
          </w:p>
        </w:tc>
      </w:tr>
      <w:tr>
        <w:trPr>
          <w:trHeight w:val="244"/>
        </w:trPr>
        <w:tc>
          <w:tcPr>
            <w:tcW w:w="30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8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1560" w:type="dxa"/>
            <w:vAlign w:val="bottom"/>
            <w:shd w:val="clear" w:color="auto" w:fill="CFF0FC"/>
          </w:tcPr>
          <w:p>
            <w:pPr>
              <w:spacing w:after="0"/>
              <w:rPr>
                <w:sz w:val="21"/>
                <w:szCs w:val="21"/>
                <w:color w:val="auto"/>
              </w:rPr>
            </w:pPr>
          </w:p>
        </w:tc>
        <w:tc>
          <w:tcPr>
            <w:tcW w:w="160" w:type="dxa"/>
            <w:vAlign w:val="bottom"/>
            <w:shd w:val="clear" w:color="auto" w:fill="CFF0FC"/>
          </w:tcPr>
          <w:p>
            <w:pPr>
              <w:spacing w:after="0"/>
              <w:rPr>
                <w:sz w:val="21"/>
                <w:szCs w:val="21"/>
                <w:color w:val="auto"/>
              </w:rPr>
            </w:pPr>
          </w:p>
        </w:tc>
        <w:tc>
          <w:tcPr>
            <w:tcW w:w="4540" w:type="dxa"/>
            <w:vAlign w:val="bottom"/>
            <w:shd w:val="clear" w:color="auto" w:fill="CFF0FC"/>
          </w:tcPr>
          <w:p>
            <w:pPr>
              <w:ind w:left="20"/>
              <w:spacing w:after="0"/>
              <w:rPr>
                <w:sz w:val="20"/>
                <w:szCs w:val="20"/>
                <w:color w:val="auto"/>
              </w:rPr>
            </w:pPr>
            <w:r>
              <w:rPr>
                <w:rFonts w:ascii="Arial" w:cs="Arial" w:eastAsia="Arial" w:hAnsi="Arial"/>
                <w:sz w:val="18"/>
                <w:szCs w:val="18"/>
                <w:color w:val="auto"/>
              </w:rPr>
              <w:t>Generation, Pumping Stations, Mining</w:t>
            </w:r>
          </w:p>
        </w:tc>
      </w:tr>
      <w:tr>
        <w:trPr>
          <w:trHeight w:val="243"/>
        </w:trPr>
        <w:tc>
          <w:tcPr>
            <w:tcW w:w="3080" w:type="dxa"/>
            <w:vAlign w:val="bottom"/>
          </w:tcPr>
          <w:p>
            <w:pPr>
              <w:ind w:left="20"/>
              <w:spacing w:after="0"/>
              <w:rPr>
                <w:sz w:val="20"/>
                <w:szCs w:val="20"/>
                <w:color w:val="auto"/>
              </w:rPr>
            </w:pPr>
            <w:r>
              <w:rPr>
                <w:rFonts w:ascii="Arial" w:cs="Arial" w:eastAsia="Arial" w:hAnsi="Arial"/>
                <w:sz w:val="18"/>
                <w:szCs w:val="18"/>
                <w:color w:val="auto"/>
              </w:rPr>
              <w:t>Oil and Gas</w:t>
            </w:r>
          </w:p>
        </w:tc>
        <w:tc>
          <w:tcPr>
            <w:tcW w:w="1740" w:type="dxa"/>
            <w:vAlign w:val="bottom"/>
            <w:gridSpan w:val="2"/>
          </w:tcPr>
          <w:p>
            <w:pPr>
              <w:jc w:val="center"/>
              <w:ind w:left="70"/>
              <w:spacing w:after="0"/>
              <w:rPr>
                <w:sz w:val="20"/>
                <w:szCs w:val="20"/>
                <w:color w:val="auto"/>
              </w:rPr>
            </w:pPr>
            <w:r>
              <w:rPr>
                <w:rFonts w:ascii="Arial" w:cs="Arial" w:eastAsia="Arial" w:hAnsi="Arial"/>
                <w:sz w:val="18"/>
                <w:szCs w:val="18"/>
                <w:color w:val="auto"/>
                <w:w w:val="94"/>
              </w:rPr>
              <w:t>41%</w:t>
            </w:r>
          </w:p>
        </w:tc>
        <w:tc>
          <w:tcPr>
            <w:tcW w:w="1720" w:type="dxa"/>
            <w:vAlign w:val="bottom"/>
            <w:gridSpan w:val="2"/>
          </w:tcPr>
          <w:p>
            <w:pPr>
              <w:jc w:val="center"/>
              <w:ind w:left="90"/>
              <w:spacing w:after="0"/>
              <w:rPr>
                <w:sz w:val="20"/>
                <w:szCs w:val="20"/>
                <w:color w:val="auto"/>
              </w:rPr>
            </w:pPr>
            <w:r>
              <w:rPr>
                <w:rFonts w:ascii="Arial" w:cs="Arial" w:eastAsia="Arial" w:hAnsi="Arial"/>
                <w:sz w:val="18"/>
                <w:szCs w:val="18"/>
                <w:color w:val="auto"/>
                <w:w w:val="94"/>
              </w:rPr>
              <w:t>37%</w:t>
            </w:r>
          </w:p>
        </w:tc>
        <w:tc>
          <w:tcPr>
            <w:tcW w:w="160" w:type="dxa"/>
            <w:vAlign w:val="bottom"/>
          </w:tcPr>
          <w:p>
            <w:pPr>
              <w:spacing w:after="0"/>
              <w:rPr>
                <w:sz w:val="21"/>
                <w:szCs w:val="21"/>
                <w:color w:val="auto"/>
              </w:rPr>
            </w:pPr>
          </w:p>
        </w:tc>
        <w:tc>
          <w:tcPr>
            <w:tcW w:w="4540" w:type="dxa"/>
            <w:vAlign w:val="bottom"/>
          </w:tcPr>
          <w:p>
            <w:pPr>
              <w:ind w:left="20"/>
              <w:spacing w:after="0"/>
              <w:rPr>
                <w:sz w:val="20"/>
                <w:szCs w:val="20"/>
                <w:color w:val="auto"/>
              </w:rPr>
            </w:pPr>
            <w:r>
              <w:rPr>
                <w:rFonts w:ascii="Arial" w:cs="Arial" w:eastAsia="Arial" w:hAnsi="Arial"/>
                <w:sz w:val="18"/>
                <w:szCs w:val="18"/>
                <w:color w:val="auto"/>
              </w:rPr>
              <w:t>Oilfield Services, Oil and Gas Operators and Producers</w:t>
            </w:r>
          </w:p>
        </w:tc>
      </w:tr>
    </w:tbl>
    <w:p>
      <w:pPr>
        <w:spacing w:after="0" w:line="242" w:lineRule="exact"/>
        <w:rPr>
          <w:sz w:val="20"/>
          <w:szCs w:val="20"/>
          <w:color w:val="auto"/>
        </w:rPr>
      </w:pPr>
    </w:p>
    <w:p>
      <w:pPr>
        <w:jc w:val="both"/>
        <w:ind w:firstLine="569"/>
        <w:spacing w:after="0" w:line="287" w:lineRule="auto"/>
        <w:rPr>
          <w:sz w:val="20"/>
          <w:szCs w:val="20"/>
          <w:color w:val="auto"/>
        </w:rPr>
      </w:pPr>
      <w:r>
        <w:rPr>
          <w:rFonts w:ascii="Arial" w:cs="Arial" w:eastAsia="Arial" w:hAnsi="Arial"/>
          <w:sz w:val="17"/>
          <w:szCs w:val="17"/>
          <w:color w:val="auto"/>
        </w:rPr>
        <w:t>Distribution and services revenues for the 2021 third quarter and first nine months increased 48% and 18%, respectively, compared with the 2020 third quarter and first nine months revenues. In the commercial and industrial market, the increase in the 2021 third quarter and first nine months compared to the 2020 third quarter and first nine months was primarily attributable to improved economic activity across the U.S. which resulted in higher business levels in the power generation and on-highway businesses. Increased product sales in Thermo King also contributed favorably to the 2021 third quarter and first nine months results. The marine repair business was down slightly compared to the 2020 third quarter and first nine months due to reduced service activity. The commercial and industrial market 2021 first nine months was impacted by Winter Storm Uri with reduced activity levels at many locations across the Southern U.S. during the first quarter. For the 2021 third quarter and first nine months, the commercial and industrial market contributed 59% and 63%, respectively, of the distribution and services revenues.</w:t>
      </w:r>
    </w:p>
    <w:p>
      <w:pPr>
        <w:spacing w:after="0" w:line="195" w:lineRule="exact"/>
        <w:rPr>
          <w:sz w:val="20"/>
          <w:szCs w:val="20"/>
          <w:color w:val="auto"/>
        </w:rPr>
      </w:pPr>
    </w:p>
    <w:p>
      <w:pPr>
        <w:jc w:val="both"/>
        <w:ind w:firstLine="562"/>
        <w:spacing w:after="0" w:line="319" w:lineRule="auto"/>
        <w:rPr>
          <w:sz w:val="20"/>
          <w:szCs w:val="20"/>
          <w:color w:val="auto"/>
        </w:rPr>
      </w:pPr>
      <w:r>
        <w:rPr>
          <w:rFonts w:ascii="Arial" w:cs="Arial" w:eastAsia="Arial" w:hAnsi="Arial"/>
          <w:sz w:val="16"/>
          <w:szCs w:val="16"/>
          <w:color w:val="auto"/>
        </w:rPr>
        <w:t>In the oil and gas market, revenues improved compared to the 2020 third quarter and first nine months due to higher oilfield activity which resulted in increased demand for new and overhauled engines, transmissions, parts, and service. The manufacturing business also experienced increases in orders and deliveries of new and remanufactured pressure pumping equipment as well as power generation equipment for electric fracturing. For the 2021 third quarter and first nine months, the oil and gas market contributed 41% and 37%, respectively, of the distribution and services revenues.</w:t>
      </w:r>
    </w:p>
    <w:p>
      <w:pPr>
        <w:spacing w:after="0" w:line="88"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26</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2" name="Picture 37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2"/>
                    <pic:cNvPicPr>
                      <a:picLocks noChangeAspect="1" noChangeArrowheads="1"/>
                    </pic:cNvPicPr>
                  </pic:nvPicPr>
                  <pic:blipFill>
                    <a:blip r:embed="rId37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27" w:name="page28"/>
    <w:bookmarkEnd w:id="27"/>
    <w:p>
      <w:pPr>
        <w:ind w:left="580"/>
        <w:spacing w:after="0"/>
        <w:rPr>
          <w:sz w:val="20"/>
          <w:szCs w:val="20"/>
          <w:color w:val="auto"/>
        </w:rPr>
      </w:pPr>
      <w:r>
        <w:rPr>
          <w:rFonts w:ascii="Arial" w:cs="Arial" w:eastAsia="Arial" w:hAnsi="Arial"/>
          <w:sz w:val="18"/>
          <w:szCs w:val="18"/>
          <w:b w:val="1"/>
          <w:bCs w:val="1"/>
          <w:i w:val="1"/>
          <w:iCs w:val="1"/>
          <w:color w:val="auto"/>
        </w:rPr>
        <w:t>Distribution and Services Costs and Expenses</w:t>
      </w:r>
    </w:p>
    <w:p>
      <w:pPr>
        <w:spacing w:after="0" w:line="252" w:lineRule="exact"/>
        <w:rPr>
          <w:sz w:val="20"/>
          <w:szCs w:val="20"/>
          <w:color w:val="auto"/>
        </w:rPr>
      </w:pPr>
    </w:p>
    <w:p>
      <w:pPr>
        <w:jc w:val="both"/>
        <w:ind w:firstLine="569"/>
        <w:spacing w:after="0" w:line="292" w:lineRule="auto"/>
        <w:rPr>
          <w:sz w:val="20"/>
          <w:szCs w:val="20"/>
          <w:color w:val="auto"/>
        </w:rPr>
      </w:pPr>
      <w:r>
        <w:rPr>
          <w:rFonts w:ascii="Arial" w:cs="Arial" w:eastAsia="Arial" w:hAnsi="Arial"/>
          <w:sz w:val="17"/>
          <w:szCs w:val="17"/>
          <w:color w:val="auto"/>
        </w:rPr>
        <w:t>Costs and expenses for the 2021 third quarter and first nine months increased 43% and 13%, respectively, compared with the 2020 third quarter and first nine months. Costs of sales and operating expenses for the 2021 third quarter and first nine months increased 55% and 19%, respectively, compared with the 2020 third quarter and first nine months, reflecting higher demand in the on-highway and power generation businesses in commercial and industrial markets in the 2021 third quarter. The increase also reflects higher demand for new and overhauled transmissions and related parts and service and increased demand for new pressure pumping equipment in the oil and gas market.</w:t>
      </w:r>
    </w:p>
    <w:p>
      <w:pPr>
        <w:spacing w:after="0" w:line="188" w:lineRule="exact"/>
        <w:rPr>
          <w:sz w:val="20"/>
          <w:szCs w:val="20"/>
          <w:color w:val="auto"/>
        </w:rPr>
      </w:pPr>
    </w:p>
    <w:p>
      <w:pPr>
        <w:jc w:val="both"/>
        <w:ind w:firstLine="562"/>
        <w:spacing w:after="0" w:line="272" w:lineRule="auto"/>
        <w:rPr>
          <w:sz w:val="20"/>
          <w:szCs w:val="20"/>
          <w:color w:val="auto"/>
        </w:rPr>
      </w:pPr>
      <w:r>
        <w:rPr>
          <w:rFonts w:ascii="Arial" w:cs="Arial" w:eastAsia="Arial" w:hAnsi="Arial"/>
          <w:sz w:val="18"/>
          <w:szCs w:val="18"/>
          <w:color w:val="auto"/>
        </w:rPr>
        <w:t>Selling, general and administrative expenses for the 2021 third quarter and first nine months increased 6% and decreased 4%, respectively, compared to the 2020 third quarter and first nine months. The increase for the 2021 third quarter is primarily due to increased incentive compensation accruals, medical costs, and warranty accruals, while the decrease for the first nine months was primarily due to a bad debt expense charge of $3,339,000 as a result of the bankruptcy of a large oil and gas customer and $1,354,000 of severance expense as a result of workforce reductions each during the 2020 second quarter.</w:t>
      </w:r>
    </w:p>
    <w:p>
      <w:pPr>
        <w:spacing w:after="0" w:line="204"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Depreciation and amortization for the 2021 third quarter and first nine months decreased 20% and 25%, respectively, compared to the 2020 third quarter and first nine months. The decrease during the 2021 first nine months was primarily due to lower amortization of intangible assets other than goodwill, which were impaired during the 2020 first quarter. The decrease during the 2021 third quarter also reflected certain equipment and leasehold improvements acquired from Stewart &amp; Stevenson LLC becoming fully depreciated during 2020.</w:t>
      </w:r>
    </w:p>
    <w:p>
      <w:pPr>
        <w:spacing w:after="0" w:line="199" w:lineRule="exact"/>
        <w:rPr>
          <w:sz w:val="20"/>
          <w:szCs w:val="20"/>
          <w:color w:val="auto"/>
        </w:rPr>
      </w:pPr>
    </w:p>
    <w:p>
      <w:pPr>
        <w:ind w:left="580"/>
        <w:spacing w:after="0"/>
        <w:rPr>
          <w:sz w:val="20"/>
          <w:szCs w:val="20"/>
          <w:color w:val="auto"/>
        </w:rPr>
      </w:pPr>
      <w:r>
        <w:rPr>
          <w:rFonts w:ascii="Arial" w:cs="Arial" w:eastAsia="Arial" w:hAnsi="Arial"/>
          <w:sz w:val="18"/>
          <w:szCs w:val="18"/>
          <w:b w:val="1"/>
          <w:bCs w:val="1"/>
          <w:i w:val="1"/>
          <w:iCs w:val="1"/>
          <w:color w:val="auto"/>
        </w:rPr>
        <w:t>Distribution and Services Operating Income (Loss) and Operating Margin</w:t>
      </w:r>
    </w:p>
    <w:p>
      <w:pPr>
        <w:spacing w:after="0" w:line="252" w:lineRule="exact"/>
        <w:rPr>
          <w:sz w:val="20"/>
          <w:szCs w:val="20"/>
          <w:color w:val="auto"/>
        </w:rPr>
      </w:pPr>
    </w:p>
    <w:p>
      <w:pPr>
        <w:jc w:val="both"/>
        <w:ind w:firstLine="569"/>
        <w:spacing w:after="0" w:line="319" w:lineRule="auto"/>
        <w:rPr>
          <w:sz w:val="20"/>
          <w:szCs w:val="20"/>
          <w:color w:val="auto"/>
        </w:rPr>
      </w:pPr>
      <w:r>
        <w:rPr>
          <w:rFonts w:ascii="Arial" w:cs="Arial" w:eastAsia="Arial" w:hAnsi="Arial"/>
          <w:sz w:val="16"/>
          <w:szCs w:val="16"/>
          <w:color w:val="auto"/>
        </w:rPr>
        <w:t>Operating income for the distribution and services segment for the 2021 third quarter and first nine months increased 900% and 316%, respectively, compared with the 2020 third quarter and first nine months. The operating margin for the 2021 third quarter was 4.2% compared with 0.6% for the 2020 third quarter and 2.9% for the 2021 first nine months compared to (1.6)% for the 2020 first nine months. The results reflect increased business levels in both the commercial and industrial and oil and gas markets and a return to profitability, partially offset by higher costs and expenses.</w:t>
      </w:r>
    </w:p>
    <w:p>
      <w:pPr>
        <w:spacing w:after="0" w:line="16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General Corporate Expenses</w:t>
      </w:r>
    </w:p>
    <w:p>
      <w:pPr>
        <w:spacing w:after="0" w:line="256"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General corporate expenses for the 2021 third quarter and first nine months increased compared to the 2020 third quarter and first nine months primarily due to costs related to Hurricane Ida.</w:t>
      </w:r>
    </w:p>
    <w:p>
      <w:pPr>
        <w:spacing w:after="0" w:line="179"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(Gain) Loss on Disposition of Assets</w:t>
      </w:r>
    </w:p>
    <w:p>
      <w:pPr>
        <w:spacing w:after="0" w:line="256"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Company reported a net gain on disposition of assets of $830,000 for the 2021 third quarter compared with a net loss of $316,000 for the 2020 third quarter. The Company reported a net gain on disposition of assets of $5,082,000 for the 2021 first nine months compared with a net loss of $13,000 for the 2020 first nine months. The net gains and losses were primarily from sales of marine equipment.</w:t>
      </w:r>
    </w:p>
    <w:p>
      <w:pPr>
        <w:spacing w:after="0" w:line="192"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Other Income and Expenses</w:t>
      </w:r>
    </w:p>
    <w:p>
      <w:pPr>
        <w:spacing w:after="0" w:line="256" w:lineRule="exact"/>
        <w:rPr>
          <w:sz w:val="20"/>
          <w:szCs w:val="20"/>
          <w:color w:val="auto"/>
        </w:rPr>
      </w:pPr>
    </w:p>
    <w:p>
      <w:pPr>
        <w:ind w:left="560"/>
        <w:spacing w:after="0"/>
        <w:rPr>
          <w:sz w:val="20"/>
          <w:szCs w:val="20"/>
          <w:color w:val="auto"/>
        </w:rPr>
      </w:pPr>
      <w:r>
        <w:rPr>
          <w:rFonts w:ascii="Arial" w:cs="Arial" w:eastAsia="Arial" w:hAnsi="Arial"/>
          <w:sz w:val="16"/>
          <w:szCs w:val="16"/>
          <w:color w:val="auto"/>
        </w:rPr>
        <w:t>The following table sets forth impairments and other charges, other income, noncontrolling interests, and interest expense (dollars in thousands):</w:t>
      </w:r>
    </w:p>
    <w:p>
      <w:pPr>
        <w:spacing w:after="0" w:line="280"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30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480" w:type="dxa"/>
            <w:vAlign w:val="bottom"/>
            <w:tcBorders>
              <w:bottom w:val="single" w:sz="8" w:color="auto"/>
            </w:tcBorders>
            <w:gridSpan w:val="6"/>
          </w:tcPr>
          <w:p>
            <w:pPr>
              <w:jc w:val="right"/>
              <w:ind w:right="674"/>
              <w:spacing w:after="0"/>
              <w:rPr>
                <w:sz w:val="20"/>
                <w:szCs w:val="20"/>
                <w:color w:val="auto"/>
              </w:rPr>
            </w:pPr>
            <w:r>
              <w:rPr>
                <w:rFonts w:ascii="Arial" w:cs="Arial" w:eastAsia="Arial" w:hAnsi="Arial"/>
                <w:sz w:val="14"/>
                <w:szCs w:val="14"/>
                <w:b w:val="1"/>
                <w:bCs w:val="1"/>
                <w:color w:val="auto"/>
              </w:rPr>
              <w:t>Three Months Ended September 30,</w:t>
            </w:r>
          </w:p>
        </w:tc>
        <w:tc>
          <w:tcPr>
            <w:tcW w:w="500" w:type="dxa"/>
            <w:vAlign w:val="bottom"/>
          </w:tcPr>
          <w:p>
            <w:pPr>
              <w:spacing w:after="0"/>
              <w:rPr>
                <w:sz w:val="16"/>
                <w:szCs w:val="16"/>
                <w:color w:val="auto"/>
              </w:rPr>
            </w:pPr>
          </w:p>
        </w:tc>
        <w:tc>
          <w:tcPr>
            <w:tcW w:w="260" w:type="dxa"/>
            <w:vAlign w:val="bottom"/>
            <w:tcBorders>
              <w:bottom w:val="single" w:sz="8" w:color="auto"/>
            </w:tcBorders>
          </w:tcPr>
          <w:p>
            <w:pPr>
              <w:spacing w:after="0"/>
              <w:rPr>
                <w:sz w:val="16"/>
                <w:szCs w:val="16"/>
                <w:color w:val="auto"/>
              </w:rPr>
            </w:pPr>
          </w:p>
        </w:tc>
        <w:tc>
          <w:tcPr>
            <w:tcW w:w="3380" w:type="dxa"/>
            <w:vAlign w:val="bottom"/>
            <w:tcBorders>
              <w:bottom w:val="single" w:sz="8" w:color="auto"/>
            </w:tcBorders>
            <w:gridSpan w:val="6"/>
          </w:tcPr>
          <w:p>
            <w:pPr>
              <w:ind w:left="480"/>
              <w:spacing w:after="0"/>
              <w:rPr>
                <w:sz w:val="20"/>
                <w:szCs w:val="20"/>
                <w:color w:val="auto"/>
              </w:rPr>
            </w:pPr>
            <w:r>
              <w:rPr>
                <w:rFonts w:ascii="Arial" w:cs="Arial" w:eastAsia="Arial" w:hAnsi="Arial"/>
                <w:sz w:val="14"/>
                <w:szCs w:val="14"/>
                <w:b w:val="1"/>
                <w:bCs w:val="1"/>
                <w:color w:val="auto"/>
              </w:rPr>
              <w:t>Nine Months Ended September 30,</w:t>
            </w:r>
          </w:p>
        </w:tc>
        <w:tc>
          <w:tcPr>
            <w:tcW w:w="360" w:type="dxa"/>
            <w:vAlign w:val="bottom"/>
          </w:tcPr>
          <w:p>
            <w:pPr>
              <w:spacing w:after="0"/>
              <w:rPr>
                <w:sz w:val="16"/>
                <w:szCs w:val="16"/>
                <w:color w:val="auto"/>
              </w:rPr>
            </w:pPr>
          </w:p>
        </w:tc>
      </w:tr>
      <w:tr>
        <w:trPr>
          <w:trHeight w:val="196"/>
        </w:trPr>
        <w:tc>
          <w:tcPr>
            <w:tcW w:w="30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6"/>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900" w:type="dxa"/>
            <w:vAlign w:val="bottom"/>
            <w:tcBorders>
              <w:bottom w:val="single" w:sz="8" w:color="auto"/>
            </w:tcBorders>
          </w:tcPr>
          <w:p>
            <w:pPr>
              <w:jc w:val="right"/>
              <w:ind w:right="35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880" w:type="dxa"/>
            <w:vAlign w:val="bottom"/>
            <w:tcBorders>
              <w:bottom w:val="single" w:sz="8" w:color="auto"/>
            </w:tcBorders>
          </w:tcPr>
          <w:p>
            <w:pPr>
              <w:jc w:val="right"/>
              <w:ind w:right="34"/>
              <w:spacing w:after="0"/>
              <w:rPr>
                <w:sz w:val="20"/>
                <w:szCs w:val="20"/>
                <w:color w:val="auto"/>
              </w:rPr>
            </w:pPr>
            <w:r>
              <w:rPr>
                <w:rFonts w:ascii="Arial" w:cs="Arial" w:eastAsia="Arial" w:hAnsi="Arial"/>
                <w:sz w:val="14"/>
                <w:szCs w:val="14"/>
                <w:b w:val="1"/>
                <w:bCs w:val="1"/>
                <w:color w:val="auto"/>
              </w:rPr>
              <w:t>% Change</w:t>
            </w:r>
          </w:p>
        </w:tc>
        <w:tc>
          <w:tcPr>
            <w:tcW w:w="50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60" w:type="dxa"/>
            <w:vAlign w:val="bottom"/>
            <w:tcBorders>
              <w:bottom w:val="single" w:sz="8" w:color="auto"/>
            </w:tcBorders>
          </w:tcPr>
          <w:p>
            <w:pPr>
              <w:jc w:val="right"/>
              <w:ind w:right="336"/>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7"/>
                <w:szCs w:val="17"/>
                <w:color w:val="auto"/>
              </w:rPr>
            </w:pPr>
          </w:p>
        </w:tc>
        <w:tc>
          <w:tcPr>
            <w:tcW w:w="260" w:type="dxa"/>
            <w:vAlign w:val="bottom"/>
            <w:tcBorders>
              <w:bottom w:val="single" w:sz="8" w:color="auto"/>
            </w:tcBorders>
          </w:tcPr>
          <w:p>
            <w:pPr>
              <w:spacing w:after="0"/>
              <w:rPr>
                <w:sz w:val="17"/>
                <w:szCs w:val="17"/>
                <w:color w:val="auto"/>
              </w:rPr>
            </w:pPr>
          </w:p>
        </w:tc>
        <w:tc>
          <w:tcPr>
            <w:tcW w:w="880" w:type="dxa"/>
            <w:vAlign w:val="bottom"/>
            <w:tcBorders>
              <w:bottom w:val="single" w:sz="8" w:color="auto"/>
            </w:tcBorders>
          </w:tcPr>
          <w:p>
            <w:pPr>
              <w:jc w:val="right"/>
              <w:ind w:right="334"/>
              <w:spacing w:after="0"/>
              <w:rPr>
                <w:sz w:val="20"/>
                <w:szCs w:val="20"/>
                <w:color w:val="auto"/>
              </w:rPr>
            </w:pPr>
            <w:r>
              <w:rPr>
                <w:rFonts w:ascii="Arial" w:cs="Arial" w:eastAsia="Arial" w:hAnsi="Arial"/>
                <w:sz w:val="14"/>
                <w:szCs w:val="14"/>
                <w:b w:val="1"/>
                <w:bCs w:val="1"/>
                <w:color w:val="auto"/>
              </w:rPr>
              <w:t>2020</w:t>
            </w:r>
          </w:p>
        </w:tc>
        <w:tc>
          <w:tcPr>
            <w:tcW w:w="260" w:type="dxa"/>
            <w:vAlign w:val="bottom"/>
          </w:tcPr>
          <w:p>
            <w:pPr>
              <w:spacing w:after="0"/>
              <w:rPr>
                <w:sz w:val="17"/>
                <w:szCs w:val="17"/>
                <w:color w:val="auto"/>
              </w:rPr>
            </w:pPr>
          </w:p>
        </w:tc>
        <w:tc>
          <w:tcPr>
            <w:tcW w:w="860" w:type="dxa"/>
            <w:vAlign w:val="bottom"/>
            <w:tcBorders>
              <w:bottom w:val="single" w:sz="8" w:color="auto"/>
            </w:tcBorders>
          </w:tcPr>
          <w:p>
            <w:pPr>
              <w:ind w:left="100"/>
              <w:spacing w:after="0"/>
              <w:rPr>
                <w:sz w:val="20"/>
                <w:szCs w:val="20"/>
                <w:color w:val="auto"/>
              </w:rPr>
            </w:pPr>
            <w:r>
              <w:rPr>
                <w:rFonts w:ascii="Arial" w:cs="Arial" w:eastAsia="Arial" w:hAnsi="Arial"/>
                <w:sz w:val="14"/>
                <w:szCs w:val="14"/>
                <w:b w:val="1"/>
                <w:bCs w:val="1"/>
                <w:color w:val="auto"/>
              </w:rPr>
              <w:t>% Change</w:t>
            </w:r>
          </w:p>
        </w:tc>
        <w:tc>
          <w:tcPr>
            <w:tcW w:w="360" w:type="dxa"/>
            <w:vAlign w:val="bottom"/>
          </w:tcPr>
          <w:p>
            <w:pPr>
              <w:spacing w:after="0"/>
              <w:rPr>
                <w:sz w:val="17"/>
                <w:szCs w:val="17"/>
                <w:color w:val="auto"/>
              </w:rPr>
            </w:pPr>
          </w:p>
        </w:tc>
      </w:tr>
      <w:tr>
        <w:trPr>
          <w:trHeight w:val="256"/>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Impairments and other charges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shd w:val="clear" w:color="auto" w:fill="CFF0FC"/>
          </w:tcPr>
          <w:p>
            <w:pPr>
              <w:jc w:val="right"/>
              <w:ind w:right="220"/>
              <w:spacing w:after="0"/>
              <w:rPr>
                <w:sz w:val="20"/>
                <w:szCs w:val="20"/>
                <w:color w:val="auto"/>
              </w:rPr>
            </w:pPr>
            <w:r>
              <w:rPr>
                <w:rFonts w:ascii="Arial" w:cs="Arial" w:eastAsia="Arial" w:hAnsi="Arial"/>
                <w:sz w:val="18"/>
                <w:szCs w:val="18"/>
                <w:color w:val="auto"/>
              </w:rPr>
              <w:t>(340,713 )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280"/>
              <w:spacing w:after="0"/>
              <w:rPr>
                <w:sz w:val="20"/>
                <w:szCs w:val="20"/>
                <w:color w:val="auto"/>
              </w:rPr>
            </w:pPr>
            <w:r>
              <w:rPr>
                <w:rFonts w:ascii="Arial" w:cs="Arial" w:eastAsia="Arial" w:hAnsi="Arial"/>
                <w:sz w:val="18"/>
                <w:szCs w:val="18"/>
                <w:color w:val="auto"/>
              </w:rPr>
              <w:t>—</w:t>
            </w:r>
          </w:p>
        </w:tc>
        <w:tc>
          <w:tcPr>
            <w:tcW w:w="1380" w:type="dxa"/>
            <w:vAlign w:val="bottom"/>
            <w:gridSpan w:val="2"/>
            <w:shd w:val="clear" w:color="auto" w:fill="CFF0FC"/>
          </w:tcPr>
          <w:p>
            <w:pPr>
              <w:jc w:val="right"/>
              <w:ind w:right="520"/>
              <w:spacing w:after="0"/>
              <w:rPr>
                <w:sz w:val="20"/>
                <w:szCs w:val="20"/>
                <w:color w:val="auto"/>
              </w:rPr>
            </w:pPr>
            <w:r>
              <w:rPr>
                <w:rFonts w:ascii="Arial" w:cs="Arial" w:eastAsia="Arial" w:hAnsi="Arial"/>
                <w:sz w:val="18"/>
                <w:szCs w:val="18"/>
                <w:color w:val="auto"/>
              </w:rPr>
              <w:t>N/A</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(340,713 )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(561,274 )</w:t>
            </w:r>
          </w:p>
        </w:tc>
        <w:tc>
          <w:tcPr>
            <w:tcW w:w="1220" w:type="dxa"/>
            <w:vAlign w:val="bottom"/>
            <w:gridSpan w:val="2"/>
            <w:shd w:val="clear" w:color="auto" w:fill="CFF0FC"/>
          </w:tcPr>
          <w:p>
            <w:pPr>
              <w:jc w:val="right"/>
              <w:ind w:right="120"/>
              <w:spacing w:after="0"/>
              <w:rPr>
                <w:sz w:val="20"/>
                <w:szCs w:val="20"/>
                <w:color w:val="auto"/>
              </w:rPr>
            </w:pPr>
            <w:r>
              <w:rPr>
                <w:rFonts w:ascii="Arial" w:cs="Arial" w:eastAsia="Arial" w:hAnsi="Arial"/>
                <w:sz w:val="18"/>
                <w:szCs w:val="18"/>
                <w:color w:val="auto"/>
              </w:rPr>
              <w:t>(39 )%</w:t>
            </w:r>
          </w:p>
        </w:tc>
      </w:tr>
      <w:tr>
        <w:trPr>
          <w:trHeight w:val="250"/>
        </w:trPr>
        <w:tc>
          <w:tcPr>
            <w:tcW w:w="3000" w:type="dxa"/>
            <w:vAlign w:val="bottom"/>
          </w:tcPr>
          <w:p>
            <w:pPr>
              <w:ind w:left="20"/>
              <w:spacing w:after="0"/>
              <w:rPr>
                <w:sz w:val="20"/>
                <w:szCs w:val="20"/>
                <w:color w:val="auto"/>
              </w:rPr>
            </w:pPr>
            <w:r>
              <w:rPr>
                <w:rFonts w:ascii="Arial" w:cs="Arial" w:eastAsia="Arial" w:hAnsi="Arial"/>
                <w:sz w:val="18"/>
                <w:szCs w:val="18"/>
                <w:color w:val="auto"/>
              </w:rPr>
              <w:t>Other income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1,832</w:t>
            </w:r>
          </w:p>
        </w:tc>
        <w:tc>
          <w:tcPr>
            <w:tcW w:w="28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tcPr>
          <w:p>
            <w:pPr>
              <w:jc w:val="right"/>
              <w:spacing w:after="0"/>
              <w:rPr>
                <w:sz w:val="20"/>
                <w:szCs w:val="20"/>
                <w:color w:val="auto"/>
              </w:rPr>
            </w:pPr>
            <w:r>
              <w:rPr>
                <w:rFonts w:ascii="Arial" w:cs="Arial" w:eastAsia="Arial" w:hAnsi="Arial"/>
                <w:sz w:val="18"/>
                <w:szCs w:val="18"/>
                <w:color w:val="auto"/>
              </w:rPr>
              <w:t>1,172</w:t>
            </w:r>
          </w:p>
        </w:tc>
        <w:tc>
          <w:tcPr>
            <w:tcW w:w="260" w:type="dxa"/>
            <w:vAlign w:val="bottom"/>
          </w:tcPr>
          <w:p>
            <w:pPr>
              <w:spacing w:after="0"/>
              <w:rPr>
                <w:sz w:val="21"/>
                <w:szCs w:val="21"/>
                <w:color w:val="auto"/>
              </w:rPr>
            </w:pPr>
          </w:p>
        </w:tc>
        <w:tc>
          <w:tcPr>
            <w:tcW w:w="1380" w:type="dxa"/>
            <w:vAlign w:val="bottom"/>
            <w:gridSpan w:val="2"/>
          </w:tcPr>
          <w:p>
            <w:pPr>
              <w:jc w:val="right"/>
              <w:ind w:right="340"/>
              <w:spacing w:after="0"/>
              <w:rPr>
                <w:sz w:val="20"/>
                <w:szCs w:val="20"/>
                <w:color w:val="auto"/>
              </w:rPr>
            </w:pPr>
            <w:r>
              <w:rPr>
                <w:rFonts w:ascii="Arial" w:cs="Arial" w:eastAsia="Arial" w:hAnsi="Arial"/>
                <w:sz w:val="18"/>
                <w:szCs w:val="18"/>
                <w:color w:val="auto"/>
              </w:rPr>
              <w:t>56 %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tcPr>
          <w:p>
            <w:pPr>
              <w:jc w:val="right"/>
              <w:spacing w:after="0"/>
              <w:rPr>
                <w:sz w:val="20"/>
                <w:szCs w:val="20"/>
                <w:color w:val="auto"/>
              </w:rPr>
            </w:pPr>
            <w:r>
              <w:rPr>
                <w:rFonts w:ascii="Arial" w:cs="Arial" w:eastAsia="Arial" w:hAnsi="Arial"/>
                <w:sz w:val="18"/>
                <w:szCs w:val="18"/>
                <w:color w:val="auto"/>
              </w:rPr>
              <w:t>8,146</w:t>
            </w:r>
          </w:p>
        </w:tc>
        <w:tc>
          <w:tcPr>
            <w:tcW w:w="260" w:type="dxa"/>
            <w:vAlign w:val="bottom"/>
          </w:tcPr>
          <w:p>
            <w:pPr>
              <w:spacing w:after="0"/>
              <w:rPr>
                <w:sz w:val="21"/>
                <w:szCs w:val="21"/>
                <w:color w:val="auto"/>
              </w:rPr>
            </w:pP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880" w:type="dxa"/>
            <w:vAlign w:val="bottom"/>
          </w:tcPr>
          <w:p>
            <w:pPr>
              <w:jc w:val="right"/>
              <w:spacing w:after="0"/>
              <w:rPr>
                <w:sz w:val="20"/>
                <w:szCs w:val="20"/>
                <w:color w:val="auto"/>
              </w:rPr>
            </w:pPr>
            <w:r>
              <w:rPr>
                <w:rFonts w:ascii="Arial" w:cs="Arial" w:eastAsia="Arial" w:hAnsi="Arial"/>
                <w:sz w:val="18"/>
                <w:szCs w:val="18"/>
                <w:color w:val="auto"/>
              </w:rPr>
              <w:t>6,185</w:t>
            </w:r>
          </w:p>
        </w:tc>
        <w:tc>
          <w:tcPr>
            <w:tcW w:w="260" w:type="dxa"/>
            <w:vAlign w:val="bottom"/>
          </w:tcPr>
          <w:p>
            <w:pPr>
              <w:spacing w:after="0"/>
              <w:rPr>
                <w:sz w:val="21"/>
                <w:szCs w:val="21"/>
                <w:color w:val="auto"/>
              </w:rPr>
            </w:pPr>
          </w:p>
        </w:tc>
        <w:tc>
          <w:tcPr>
            <w:tcW w:w="1220" w:type="dxa"/>
            <w:vAlign w:val="bottom"/>
            <w:gridSpan w:val="2"/>
          </w:tcPr>
          <w:p>
            <w:pPr>
              <w:jc w:val="right"/>
              <w:ind w:right="180"/>
              <w:spacing w:after="0"/>
              <w:rPr>
                <w:sz w:val="20"/>
                <w:szCs w:val="20"/>
                <w:color w:val="auto"/>
              </w:rPr>
            </w:pPr>
            <w:r>
              <w:rPr>
                <w:rFonts w:ascii="Arial" w:cs="Arial" w:eastAsia="Arial" w:hAnsi="Arial"/>
                <w:sz w:val="18"/>
                <w:szCs w:val="18"/>
                <w:color w:val="auto"/>
              </w:rPr>
              <w:t>32 %</w:t>
            </w:r>
          </w:p>
        </w:tc>
      </w:tr>
      <w:tr>
        <w:trPr>
          <w:trHeight w:val="263"/>
        </w:trPr>
        <w:tc>
          <w:tcPr>
            <w:tcW w:w="3000" w:type="dxa"/>
            <w:vAlign w:val="bottom"/>
            <w:shd w:val="clear" w:color="auto" w:fill="CFF0FC"/>
          </w:tcPr>
          <w:p>
            <w:pPr>
              <w:ind w:left="20"/>
              <w:spacing w:after="0"/>
              <w:rPr>
                <w:sz w:val="20"/>
                <w:szCs w:val="20"/>
                <w:color w:val="auto"/>
              </w:rPr>
            </w:pPr>
            <w:r>
              <w:rPr>
                <w:rFonts w:ascii="Arial" w:cs="Arial" w:eastAsia="Arial" w:hAnsi="Arial"/>
                <w:sz w:val="18"/>
                <w:szCs w:val="18"/>
                <w:color w:val="auto"/>
              </w:rPr>
              <w:t>Noncontrolling interests</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9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422</w:t>
            </w:r>
          </w:p>
        </w:tc>
        <w:tc>
          <w:tcPr>
            <w:tcW w:w="2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(204 )</w:t>
            </w:r>
          </w:p>
        </w:tc>
        <w:tc>
          <w:tcPr>
            <w:tcW w:w="1380" w:type="dxa"/>
            <w:vAlign w:val="bottom"/>
            <w:gridSpan w:val="2"/>
            <w:shd w:val="clear" w:color="auto" w:fill="CFF0FC"/>
          </w:tcPr>
          <w:p>
            <w:pPr>
              <w:jc w:val="right"/>
              <w:ind w:right="340"/>
              <w:spacing w:after="0"/>
              <w:rPr>
                <w:sz w:val="20"/>
                <w:szCs w:val="20"/>
                <w:color w:val="auto"/>
              </w:rPr>
            </w:pPr>
            <w:r>
              <w:rPr>
                <w:rFonts w:ascii="Arial" w:cs="Arial" w:eastAsia="Arial" w:hAnsi="Arial"/>
                <w:sz w:val="18"/>
                <w:szCs w:val="18"/>
                <w:color w:val="auto"/>
              </w:rPr>
              <w:t>307 %</w:t>
            </w: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86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w:t>
            </w:r>
          </w:p>
        </w:tc>
        <w:tc>
          <w:tcPr>
            <w:tcW w:w="26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shd w:val="clear" w:color="auto" w:fill="CFF0FC"/>
          </w:tcPr>
          <w:p>
            <w:pPr>
              <w:jc w:val="right"/>
              <w:ind w:right="200"/>
              <w:spacing w:after="0"/>
              <w:rPr>
                <w:sz w:val="20"/>
                <w:szCs w:val="20"/>
                <w:color w:val="auto"/>
              </w:rPr>
            </w:pPr>
            <w:r>
              <w:rPr>
                <w:rFonts w:ascii="Arial" w:cs="Arial" w:eastAsia="Arial" w:hAnsi="Arial"/>
                <w:sz w:val="18"/>
                <w:szCs w:val="18"/>
                <w:color w:val="auto"/>
              </w:rPr>
              <w:t>(743 )</w:t>
            </w:r>
          </w:p>
        </w:tc>
        <w:tc>
          <w:tcPr>
            <w:tcW w:w="122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101 %</w:t>
            </w:r>
          </w:p>
        </w:tc>
      </w:tr>
      <w:tr>
        <w:trPr>
          <w:trHeight w:val="243"/>
        </w:trPr>
        <w:tc>
          <w:tcPr>
            <w:tcW w:w="3000" w:type="dxa"/>
            <w:vAlign w:val="bottom"/>
          </w:tcPr>
          <w:p>
            <w:pPr>
              <w:ind w:left="20"/>
              <w:spacing w:after="0"/>
              <w:rPr>
                <w:sz w:val="20"/>
                <w:szCs w:val="20"/>
                <w:color w:val="auto"/>
              </w:rPr>
            </w:pPr>
            <w:r>
              <w:rPr>
                <w:rFonts w:ascii="Arial" w:cs="Arial" w:eastAsia="Arial" w:hAnsi="Arial"/>
                <w:sz w:val="18"/>
                <w:szCs w:val="18"/>
                <w:color w:val="auto"/>
              </w:rPr>
              <w:t>Interest expense</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80" w:type="dxa"/>
            <w:vAlign w:val="bottom"/>
            <w:gridSpan w:val="2"/>
          </w:tcPr>
          <w:p>
            <w:pPr>
              <w:jc w:val="right"/>
              <w:ind w:right="220"/>
              <w:spacing w:after="0"/>
              <w:rPr>
                <w:sz w:val="20"/>
                <w:szCs w:val="20"/>
                <w:color w:val="auto"/>
              </w:rPr>
            </w:pPr>
            <w:r>
              <w:rPr>
                <w:rFonts w:ascii="Arial" w:cs="Arial" w:eastAsia="Arial" w:hAnsi="Arial"/>
                <w:sz w:val="18"/>
                <w:szCs w:val="18"/>
                <w:color w:val="auto"/>
              </w:rPr>
              <w:t>(10,500 )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60" w:type="dxa"/>
            <w:vAlign w:val="bottom"/>
            <w:gridSpan w:val="2"/>
          </w:tcPr>
          <w:p>
            <w:pPr>
              <w:jc w:val="right"/>
              <w:ind w:right="180"/>
              <w:spacing w:after="0"/>
              <w:rPr>
                <w:sz w:val="20"/>
                <w:szCs w:val="20"/>
                <w:color w:val="auto"/>
              </w:rPr>
            </w:pPr>
            <w:r>
              <w:rPr>
                <w:rFonts w:ascii="Arial" w:cs="Arial" w:eastAsia="Arial" w:hAnsi="Arial"/>
                <w:sz w:val="18"/>
                <w:szCs w:val="18"/>
                <w:color w:val="auto"/>
              </w:rPr>
              <w:t>(11,809 )</w:t>
            </w:r>
          </w:p>
        </w:tc>
        <w:tc>
          <w:tcPr>
            <w:tcW w:w="1380" w:type="dxa"/>
            <w:vAlign w:val="bottom"/>
            <w:gridSpan w:val="2"/>
          </w:tcPr>
          <w:p>
            <w:pPr>
              <w:jc w:val="right"/>
              <w:ind w:right="280"/>
              <w:spacing w:after="0"/>
              <w:rPr>
                <w:sz w:val="20"/>
                <w:szCs w:val="20"/>
                <w:color w:val="auto"/>
              </w:rPr>
            </w:pPr>
            <w:r>
              <w:rPr>
                <w:rFonts w:ascii="Arial" w:cs="Arial" w:eastAsia="Arial" w:hAnsi="Arial"/>
                <w:sz w:val="18"/>
                <w:szCs w:val="18"/>
                <w:color w:val="auto"/>
              </w:rPr>
              <w:t>(11 )%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20" w:type="dxa"/>
            <w:vAlign w:val="bottom"/>
            <w:gridSpan w:val="2"/>
          </w:tcPr>
          <w:p>
            <w:pPr>
              <w:jc w:val="right"/>
              <w:ind w:right="180"/>
              <w:spacing w:after="0"/>
              <w:rPr>
                <w:sz w:val="20"/>
                <w:szCs w:val="20"/>
                <w:color w:val="auto"/>
              </w:rPr>
            </w:pPr>
            <w:r>
              <w:rPr>
                <w:rFonts w:ascii="Arial" w:cs="Arial" w:eastAsia="Arial" w:hAnsi="Arial"/>
                <w:sz w:val="18"/>
                <w:szCs w:val="18"/>
                <w:color w:val="auto"/>
              </w:rPr>
              <w:t>(32,172 )</w:t>
            </w:r>
          </w:p>
        </w:tc>
        <w:tc>
          <w:tcPr>
            <w:tcW w:w="260" w:type="dxa"/>
            <w:vAlign w:val="bottom"/>
          </w:tcPr>
          <w:p>
            <w:pPr>
              <w:jc w:val="right"/>
              <w:ind w:right="70"/>
              <w:spacing w:after="0"/>
              <w:rPr>
                <w:sz w:val="20"/>
                <w:szCs w:val="20"/>
                <w:color w:val="auto"/>
              </w:rPr>
            </w:pPr>
            <w:r>
              <w:rPr>
                <w:rFonts w:ascii="Arial" w:cs="Arial" w:eastAsia="Arial" w:hAnsi="Arial"/>
                <w:sz w:val="18"/>
                <w:szCs w:val="18"/>
                <w:color w:val="auto"/>
                <w:w w:val="79"/>
              </w:rPr>
              <w:t>$</w:t>
            </w:r>
          </w:p>
        </w:tc>
        <w:tc>
          <w:tcPr>
            <w:tcW w:w="1140" w:type="dxa"/>
            <w:vAlign w:val="bottom"/>
            <w:gridSpan w:val="2"/>
          </w:tcPr>
          <w:p>
            <w:pPr>
              <w:jc w:val="right"/>
              <w:ind w:right="200"/>
              <w:spacing w:after="0"/>
              <w:rPr>
                <w:sz w:val="20"/>
                <w:szCs w:val="20"/>
                <w:color w:val="auto"/>
              </w:rPr>
            </w:pPr>
            <w:r>
              <w:rPr>
                <w:rFonts w:ascii="Arial" w:cs="Arial" w:eastAsia="Arial" w:hAnsi="Arial"/>
                <w:sz w:val="18"/>
                <w:szCs w:val="18"/>
                <w:color w:val="auto"/>
              </w:rPr>
              <w:t>(37,316 )</w:t>
            </w:r>
          </w:p>
        </w:tc>
        <w:tc>
          <w:tcPr>
            <w:tcW w:w="1220" w:type="dxa"/>
            <w:vAlign w:val="bottom"/>
            <w:gridSpan w:val="2"/>
          </w:tcPr>
          <w:p>
            <w:pPr>
              <w:jc w:val="right"/>
              <w:ind w:right="120"/>
              <w:spacing w:after="0"/>
              <w:rPr>
                <w:sz w:val="20"/>
                <w:szCs w:val="20"/>
                <w:color w:val="auto"/>
              </w:rPr>
            </w:pPr>
            <w:r>
              <w:rPr>
                <w:rFonts w:ascii="Arial" w:cs="Arial" w:eastAsia="Arial" w:hAnsi="Arial"/>
                <w:sz w:val="18"/>
                <w:szCs w:val="18"/>
                <w:color w:val="auto"/>
              </w:rPr>
              <w:t>(14 )%</w:t>
            </w:r>
          </w:p>
        </w:tc>
      </w:tr>
    </w:tbl>
    <w:p>
      <w:pPr>
        <w:spacing w:after="0" w:line="242"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Impairments and Other Charges</w:t>
      </w:r>
    </w:p>
    <w:p>
      <w:pPr>
        <w:spacing w:after="0" w:line="252" w:lineRule="exact"/>
        <w:rPr>
          <w:sz w:val="20"/>
          <w:szCs w:val="20"/>
          <w:color w:val="auto"/>
        </w:rPr>
      </w:pPr>
    </w:p>
    <w:p>
      <w:pPr>
        <w:jc w:val="both"/>
        <w:ind w:firstLine="562"/>
        <w:spacing w:after="0" w:line="303" w:lineRule="auto"/>
        <w:rPr>
          <w:sz w:val="20"/>
          <w:szCs w:val="20"/>
          <w:color w:val="auto"/>
        </w:rPr>
      </w:pPr>
      <w:r>
        <w:rPr>
          <w:rFonts w:ascii="Arial" w:cs="Arial" w:eastAsia="Arial" w:hAnsi="Arial"/>
          <w:sz w:val="17"/>
          <w:szCs w:val="17"/>
          <w:color w:val="auto"/>
        </w:rPr>
        <w:t>Impairments and other charges in the 2021 third quarter and first nine months includes $340,713,000 before taxes, $275,068,000 after taxes, or $4.58 per share, non-cash charges related to impairment of long-lived assets related to coastal marine transportation equipment and impairment of goodwill in the marine transportation segment. See Note 7, Impairments and Other Charges in the financial statements for additional information.</w:t>
      </w:r>
    </w:p>
    <w:p>
      <w:pPr>
        <w:spacing w:after="0" w:line="32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27</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3" name="Picture 37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3"/>
                    <pic:cNvPicPr>
                      <a:picLocks noChangeAspect="1" noChangeArrowheads="1"/>
                    </pic:cNvPicPr>
                  </pic:nvPicPr>
                  <pic:blipFill>
                    <a:blip r:embed="rId380">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8" w:name="page29"/>
    <w:bookmarkEnd w:id="28"/>
    <w:p>
      <w:pPr>
        <w:jc w:val="both"/>
        <w:ind w:firstLine="562"/>
        <w:spacing w:after="0" w:line="329" w:lineRule="auto"/>
        <w:rPr>
          <w:sz w:val="20"/>
          <w:szCs w:val="20"/>
          <w:color w:val="auto"/>
        </w:rPr>
      </w:pPr>
      <w:r>
        <w:rPr>
          <w:rFonts w:ascii="Arial" w:cs="Arial" w:eastAsia="Arial" w:hAnsi="Arial"/>
          <w:sz w:val="16"/>
          <w:szCs w:val="16"/>
          <w:color w:val="auto"/>
        </w:rPr>
        <w:t>Impairments and other charges in the 2020 first nine months includes $561,274,000 before taxes, $433,341,000 after taxes, or $7.24 per share, non-cash charges related to inventory write-downs, impairment of long-lived assets, including intangible assets and property and equipment, and impairment of goodwill in the distribution and services segment. See Note 7, Impairments and Other Charges in the financial statements for additional information.</w:t>
      </w:r>
    </w:p>
    <w:p>
      <w:pPr>
        <w:spacing w:after="0" w:line="161"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Other Income</w:t>
      </w:r>
    </w:p>
    <w:p>
      <w:pPr>
        <w:spacing w:after="0" w:line="252"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Other income for the 2021 and 2020 third quarters include income of $1,684,000 and $1,154,000, respectively, and the 2021 and 2020 first nine months include income of $5,992,000 and $4,793,000, respectively, for all components of net benefit costs except the service cost component related to the Company’s defined benefit plans. Other income for the 2021 first nine months also includes interest income from the Company’s 2019 federal income tax refund received in February 2021.</w:t>
      </w:r>
    </w:p>
    <w:p>
      <w:pPr>
        <w:spacing w:after="0" w:line="199"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Noncontrolling Interests</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7"/>
          <w:szCs w:val="17"/>
          <w:color w:val="auto"/>
        </w:rPr>
        <w:t>Noncontrolling interests for the 2021 third quarter and first nine months includes an allocation of the non-cash impairment charge of $844,000.</w:t>
      </w:r>
    </w:p>
    <w:p>
      <w:pPr>
        <w:spacing w:after="0" w:line="264"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Interest Expense</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average debt and average interest rate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92"/>
        </w:trPr>
        <w:tc>
          <w:tcPr>
            <w:tcW w:w="4700" w:type="dxa"/>
            <w:vAlign w:val="bottom"/>
          </w:tcPr>
          <w:p>
            <w:pPr>
              <w:spacing w:after="0"/>
              <w:rPr>
                <w:sz w:val="16"/>
                <w:szCs w:val="16"/>
                <w:color w:val="auto"/>
              </w:rPr>
            </w:pPr>
          </w:p>
        </w:tc>
        <w:tc>
          <w:tcPr>
            <w:tcW w:w="240" w:type="dxa"/>
            <w:vAlign w:val="bottom"/>
          </w:tcPr>
          <w:p>
            <w:pPr>
              <w:spacing w:after="0"/>
              <w:rPr>
                <w:sz w:val="16"/>
                <w:szCs w:val="16"/>
                <w:color w:val="auto"/>
              </w:rPr>
            </w:pPr>
          </w:p>
        </w:tc>
        <w:tc>
          <w:tcPr>
            <w:tcW w:w="3120" w:type="dxa"/>
            <w:vAlign w:val="bottom"/>
            <w:gridSpan w:val="5"/>
          </w:tcPr>
          <w:p>
            <w:pPr>
              <w:jc w:val="right"/>
              <w:ind w:right="760"/>
              <w:spacing w:after="0"/>
              <w:rPr>
                <w:sz w:val="20"/>
                <w:szCs w:val="20"/>
                <w:color w:val="auto"/>
              </w:rPr>
            </w:pPr>
            <w:r>
              <w:rPr>
                <w:rFonts w:ascii="Arial" w:cs="Arial" w:eastAsia="Arial" w:hAnsi="Arial"/>
                <w:sz w:val="14"/>
                <w:szCs w:val="14"/>
                <w:b w:val="1"/>
                <w:bCs w:val="1"/>
                <w:color w:val="auto"/>
                <w:w w:val="98"/>
              </w:rPr>
              <w:t>Three Months Ended September 30,</w:t>
            </w:r>
          </w:p>
        </w:tc>
        <w:tc>
          <w:tcPr>
            <w:tcW w:w="260" w:type="dxa"/>
            <w:vAlign w:val="bottom"/>
          </w:tcPr>
          <w:p>
            <w:pPr>
              <w:spacing w:after="0"/>
              <w:rPr>
                <w:sz w:val="16"/>
                <w:szCs w:val="16"/>
                <w:color w:val="auto"/>
              </w:rPr>
            </w:pPr>
          </w:p>
        </w:tc>
        <w:tc>
          <w:tcPr>
            <w:tcW w:w="2920" w:type="dxa"/>
            <w:vAlign w:val="bottom"/>
            <w:gridSpan w:val="5"/>
          </w:tcPr>
          <w:p>
            <w:pPr>
              <w:jc w:val="right"/>
              <w:ind w:right="640"/>
              <w:spacing w:after="0"/>
              <w:rPr>
                <w:sz w:val="20"/>
                <w:szCs w:val="20"/>
                <w:color w:val="auto"/>
              </w:rPr>
            </w:pPr>
            <w:r>
              <w:rPr>
                <w:rFonts w:ascii="Arial" w:cs="Arial" w:eastAsia="Arial" w:hAnsi="Arial"/>
                <w:sz w:val="14"/>
                <w:szCs w:val="14"/>
                <w:b w:val="1"/>
                <w:bCs w:val="1"/>
                <w:color w:val="auto"/>
                <w:w w:val="98"/>
              </w:rPr>
              <w:t>Nine Months Ended September 30,</w:t>
            </w:r>
          </w:p>
        </w:tc>
      </w:tr>
      <w:tr>
        <w:trPr>
          <w:trHeight w:val="196"/>
        </w:trPr>
        <w:tc>
          <w:tcPr>
            <w:tcW w:w="4700" w:type="dxa"/>
            <w:vAlign w:val="bottom"/>
          </w:tcPr>
          <w:p>
            <w:pPr>
              <w:spacing w:after="0"/>
              <w:rPr>
                <w:sz w:val="17"/>
                <w:szCs w:val="17"/>
                <w:color w:val="auto"/>
              </w:rPr>
            </w:pPr>
          </w:p>
        </w:tc>
        <w:tc>
          <w:tcPr>
            <w:tcW w:w="240" w:type="dxa"/>
            <w:vAlign w:val="bottom"/>
            <w:tcBorders>
              <w:top w:val="single" w:sz="8" w:color="auto"/>
              <w:bottom w:val="single" w:sz="8" w:color="auto"/>
            </w:tcBorders>
          </w:tcPr>
          <w:p>
            <w:pPr>
              <w:spacing w:after="0"/>
              <w:rPr>
                <w:sz w:val="17"/>
                <w:szCs w:val="17"/>
                <w:color w:val="auto"/>
              </w:rPr>
            </w:pPr>
          </w:p>
        </w:tc>
        <w:tc>
          <w:tcPr>
            <w:tcW w:w="104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42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380" w:type="dxa"/>
            <w:vAlign w:val="bottom"/>
          </w:tcPr>
          <w:p>
            <w:pPr>
              <w:spacing w:after="0"/>
              <w:rPr>
                <w:sz w:val="17"/>
                <w:szCs w:val="17"/>
                <w:color w:val="auto"/>
              </w:rPr>
            </w:pPr>
          </w:p>
        </w:tc>
        <w:tc>
          <w:tcPr>
            <w:tcW w:w="260" w:type="dxa"/>
            <w:vAlign w:val="bottom"/>
            <w:tcBorders>
              <w:top w:val="single" w:sz="8" w:color="auto"/>
              <w:bottom w:val="single" w:sz="8" w:color="auto"/>
            </w:tcBorders>
          </w:tcPr>
          <w:p>
            <w:pPr>
              <w:spacing w:after="0"/>
              <w:rPr>
                <w:sz w:val="17"/>
                <w:szCs w:val="17"/>
                <w:color w:val="auto"/>
              </w:rPr>
            </w:pPr>
          </w:p>
        </w:tc>
        <w:tc>
          <w:tcPr>
            <w:tcW w:w="1020" w:type="dxa"/>
            <w:vAlign w:val="bottom"/>
            <w:tcBorders>
              <w:top w:val="single" w:sz="8" w:color="auto"/>
              <w:bottom w:val="single" w:sz="8" w:color="auto"/>
            </w:tcBorders>
          </w:tcPr>
          <w:p>
            <w:pPr>
              <w:jc w:val="right"/>
              <w:ind w:right="419"/>
              <w:spacing w:after="0"/>
              <w:rPr>
                <w:sz w:val="20"/>
                <w:szCs w:val="20"/>
                <w:color w:val="auto"/>
              </w:rPr>
            </w:pPr>
            <w:r>
              <w:rPr>
                <w:rFonts w:ascii="Arial" w:cs="Arial" w:eastAsia="Arial" w:hAnsi="Arial"/>
                <w:sz w:val="14"/>
                <w:szCs w:val="14"/>
                <w:b w:val="1"/>
                <w:bCs w:val="1"/>
                <w:color w:val="auto"/>
              </w:rPr>
              <w:t>2021</w:t>
            </w:r>
          </w:p>
        </w:tc>
        <w:tc>
          <w:tcPr>
            <w:tcW w:w="380" w:type="dxa"/>
            <w:vAlign w:val="bottom"/>
            <w:tcBorders>
              <w:top w:val="single" w:sz="8" w:color="auto"/>
            </w:tcBorders>
          </w:tcPr>
          <w:p>
            <w:pPr>
              <w:spacing w:after="0"/>
              <w:rPr>
                <w:sz w:val="17"/>
                <w:szCs w:val="17"/>
                <w:color w:val="auto"/>
              </w:rPr>
            </w:pPr>
          </w:p>
        </w:tc>
        <w:tc>
          <w:tcPr>
            <w:tcW w:w="300" w:type="dxa"/>
            <w:vAlign w:val="bottom"/>
            <w:tcBorders>
              <w:top w:val="single" w:sz="8" w:color="auto"/>
              <w:bottom w:val="single" w:sz="8" w:color="auto"/>
            </w:tcBorders>
          </w:tcPr>
          <w:p>
            <w:pPr>
              <w:spacing w:after="0"/>
              <w:rPr>
                <w:sz w:val="17"/>
                <w:szCs w:val="17"/>
                <w:color w:val="auto"/>
              </w:rPr>
            </w:pPr>
          </w:p>
        </w:tc>
        <w:tc>
          <w:tcPr>
            <w:tcW w:w="980" w:type="dxa"/>
            <w:vAlign w:val="bottom"/>
            <w:tcBorders>
              <w:top w:val="single" w:sz="8" w:color="auto"/>
              <w:bottom w:val="single" w:sz="8" w:color="auto"/>
            </w:tcBorders>
          </w:tcPr>
          <w:p>
            <w:pPr>
              <w:jc w:val="right"/>
              <w:ind w:right="416"/>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7"/>
                <w:szCs w:val="17"/>
                <w:color w:val="auto"/>
              </w:rPr>
            </w:pPr>
          </w:p>
        </w:tc>
      </w:tr>
      <w:tr>
        <w:trPr>
          <w:trHeight w:val="256"/>
        </w:trPr>
        <w:tc>
          <w:tcPr>
            <w:tcW w:w="4700" w:type="dxa"/>
            <w:vAlign w:val="bottom"/>
            <w:shd w:val="clear" w:color="auto" w:fill="CFF0FC"/>
          </w:tcPr>
          <w:p>
            <w:pPr>
              <w:ind w:left="20"/>
              <w:spacing w:after="0"/>
              <w:rPr>
                <w:sz w:val="20"/>
                <w:szCs w:val="20"/>
                <w:color w:val="auto"/>
              </w:rPr>
            </w:pPr>
            <w:r>
              <w:rPr>
                <w:rFonts w:ascii="Arial" w:cs="Arial" w:eastAsia="Arial" w:hAnsi="Arial"/>
                <w:sz w:val="18"/>
                <w:szCs w:val="18"/>
                <w:color w:val="auto"/>
              </w:rPr>
              <w:t>Average debt</w:t>
            </w:r>
          </w:p>
        </w:tc>
        <w:tc>
          <w:tcPr>
            <w:tcW w:w="24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79"/>
              </w:rPr>
              <w:t>$</w:t>
            </w:r>
          </w:p>
        </w:tc>
        <w:tc>
          <w:tcPr>
            <w:tcW w:w="10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1,238,263</w:t>
            </w:r>
          </w:p>
        </w:tc>
        <w:tc>
          <w:tcPr>
            <w:tcW w:w="42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1,609,367</w:t>
            </w:r>
          </w:p>
        </w:tc>
        <w:tc>
          <w:tcPr>
            <w:tcW w:w="380" w:type="dxa"/>
            <w:vAlign w:val="bottom"/>
            <w:shd w:val="clear" w:color="auto" w:fill="CFF0FC"/>
          </w:tcPr>
          <w:p>
            <w:pPr>
              <w:spacing w:after="0"/>
              <w:rPr>
                <w:sz w:val="22"/>
                <w:szCs w:val="22"/>
                <w:color w:val="auto"/>
              </w:rPr>
            </w:pPr>
          </w:p>
        </w:tc>
        <w:tc>
          <w:tcPr>
            <w:tcW w:w="260" w:type="dxa"/>
            <w:vAlign w:val="bottom"/>
            <w:shd w:val="clear" w:color="auto" w:fill="CFF0FC"/>
          </w:tcPr>
          <w:p>
            <w:pPr>
              <w:jc w:val="right"/>
              <w:ind w:right="50"/>
              <w:spacing w:after="0"/>
              <w:rPr>
                <w:sz w:val="20"/>
                <w:szCs w:val="20"/>
                <w:color w:val="auto"/>
              </w:rPr>
            </w:pPr>
            <w:r>
              <w:rPr>
                <w:rFonts w:ascii="Arial" w:cs="Arial" w:eastAsia="Arial" w:hAnsi="Arial"/>
                <w:sz w:val="18"/>
                <w:szCs w:val="18"/>
                <w:color w:val="auto"/>
                <w:w w:val="99"/>
              </w:rPr>
              <w:t>$</w:t>
            </w:r>
          </w:p>
        </w:tc>
        <w:tc>
          <w:tcPr>
            <w:tcW w:w="10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1,328,830</w:t>
            </w:r>
          </w:p>
        </w:tc>
        <w:tc>
          <w:tcPr>
            <w:tcW w:w="380" w:type="dxa"/>
            <w:vAlign w:val="bottom"/>
            <w:shd w:val="clear" w:color="auto" w:fill="CFF0FC"/>
          </w:tcPr>
          <w:p>
            <w:pPr>
              <w:spacing w:after="0"/>
              <w:rPr>
                <w:sz w:val="22"/>
                <w:szCs w:val="22"/>
                <w:color w:val="auto"/>
              </w:rPr>
            </w:pPr>
          </w:p>
        </w:tc>
        <w:tc>
          <w:tcPr>
            <w:tcW w:w="300" w:type="dxa"/>
            <w:vAlign w:val="bottom"/>
            <w:shd w:val="clear" w:color="auto" w:fill="CFF0FC"/>
          </w:tcPr>
          <w:p>
            <w:pPr>
              <w:jc w:val="right"/>
              <w:ind w:right="90"/>
              <w:spacing w:after="0"/>
              <w:rPr>
                <w:sz w:val="20"/>
                <w:szCs w:val="20"/>
                <w:color w:val="auto"/>
              </w:rPr>
            </w:pPr>
            <w:r>
              <w:rPr>
                <w:rFonts w:ascii="Arial" w:cs="Arial" w:eastAsia="Arial" w:hAnsi="Arial"/>
                <w:sz w:val="18"/>
                <w:szCs w:val="18"/>
                <w:color w:val="auto"/>
                <w:w w:val="99"/>
              </w:rPr>
              <w:t>$</w:t>
            </w:r>
          </w:p>
        </w:tc>
        <w:tc>
          <w:tcPr>
            <w:tcW w:w="98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1,583,846</w:t>
            </w:r>
          </w:p>
        </w:tc>
        <w:tc>
          <w:tcPr>
            <w:tcW w:w="240" w:type="dxa"/>
            <w:vAlign w:val="bottom"/>
            <w:shd w:val="clear" w:color="auto" w:fill="CFF0FC"/>
          </w:tcPr>
          <w:p>
            <w:pPr>
              <w:spacing w:after="0"/>
              <w:rPr>
                <w:sz w:val="22"/>
                <w:szCs w:val="22"/>
                <w:color w:val="auto"/>
              </w:rPr>
            </w:pPr>
          </w:p>
        </w:tc>
      </w:tr>
      <w:tr>
        <w:trPr>
          <w:trHeight w:val="243"/>
        </w:trPr>
        <w:tc>
          <w:tcPr>
            <w:tcW w:w="4700" w:type="dxa"/>
            <w:vAlign w:val="bottom"/>
          </w:tcPr>
          <w:p>
            <w:pPr>
              <w:ind w:left="20"/>
              <w:spacing w:after="0"/>
              <w:rPr>
                <w:sz w:val="20"/>
                <w:szCs w:val="20"/>
                <w:color w:val="auto"/>
              </w:rPr>
            </w:pPr>
            <w:r>
              <w:rPr>
                <w:rFonts w:ascii="Arial" w:cs="Arial" w:eastAsia="Arial" w:hAnsi="Arial"/>
                <w:sz w:val="18"/>
                <w:szCs w:val="18"/>
                <w:color w:val="auto"/>
              </w:rPr>
              <w:t>Average interest rate</w:t>
            </w:r>
          </w:p>
        </w:tc>
        <w:tc>
          <w:tcPr>
            <w:tcW w:w="240" w:type="dxa"/>
            <w:vAlign w:val="bottom"/>
          </w:tcPr>
          <w:p>
            <w:pPr>
              <w:spacing w:after="0"/>
              <w:rPr>
                <w:sz w:val="21"/>
                <w:szCs w:val="21"/>
                <w:color w:val="auto"/>
              </w:rPr>
            </w:pPr>
          </w:p>
        </w:tc>
        <w:tc>
          <w:tcPr>
            <w:tcW w:w="1460" w:type="dxa"/>
            <w:vAlign w:val="bottom"/>
            <w:gridSpan w:val="2"/>
          </w:tcPr>
          <w:p>
            <w:pPr>
              <w:jc w:val="right"/>
              <w:ind w:right="240"/>
              <w:spacing w:after="0"/>
              <w:rPr>
                <w:sz w:val="20"/>
                <w:szCs w:val="20"/>
                <w:color w:val="auto"/>
              </w:rPr>
            </w:pPr>
            <w:r>
              <w:rPr>
                <w:rFonts w:ascii="Arial" w:cs="Arial" w:eastAsia="Arial" w:hAnsi="Arial"/>
                <w:sz w:val="18"/>
                <w:szCs w:val="18"/>
                <w:color w:val="auto"/>
              </w:rPr>
              <w:t>3.3 %</w:t>
            </w:r>
          </w:p>
        </w:tc>
        <w:tc>
          <w:tcPr>
            <w:tcW w:w="300" w:type="dxa"/>
            <w:vAlign w:val="bottom"/>
          </w:tcPr>
          <w:p>
            <w:pPr>
              <w:spacing w:after="0"/>
              <w:rPr>
                <w:sz w:val="21"/>
                <w:szCs w:val="21"/>
                <w:color w:val="auto"/>
              </w:rPr>
            </w:pPr>
          </w:p>
        </w:tc>
        <w:tc>
          <w:tcPr>
            <w:tcW w:w="1360" w:type="dxa"/>
            <w:vAlign w:val="bottom"/>
            <w:gridSpan w:val="2"/>
          </w:tcPr>
          <w:p>
            <w:pPr>
              <w:jc w:val="right"/>
              <w:ind w:right="220"/>
              <w:spacing w:after="0"/>
              <w:rPr>
                <w:sz w:val="20"/>
                <w:szCs w:val="20"/>
                <w:color w:val="auto"/>
              </w:rPr>
            </w:pPr>
            <w:r>
              <w:rPr>
                <w:rFonts w:ascii="Arial" w:cs="Arial" w:eastAsia="Arial" w:hAnsi="Arial"/>
                <w:sz w:val="18"/>
                <w:szCs w:val="18"/>
                <w:color w:val="auto"/>
              </w:rPr>
              <w:t>2.9 %</w:t>
            </w:r>
          </w:p>
        </w:tc>
        <w:tc>
          <w:tcPr>
            <w:tcW w:w="260" w:type="dxa"/>
            <w:vAlign w:val="bottom"/>
          </w:tcPr>
          <w:p>
            <w:pPr>
              <w:spacing w:after="0"/>
              <w:rPr>
                <w:sz w:val="21"/>
                <w:szCs w:val="21"/>
                <w:color w:val="auto"/>
              </w:rPr>
            </w:pPr>
          </w:p>
        </w:tc>
        <w:tc>
          <w:tcPr>
            <w:tcW w:w="1400" w:type="dxa"/>
            <w:vAlign w:val="bottom"/>
            <w:gridSpan w:val="2"/>
          </w:tcPr>
          <w:p>
            <w:pPr>
              <w:jc w:val="right"/>
              <w:ind w:right="220"/>
              <w:spacing w:after="0"/>
              <w:rPr>
                <w:sz w:val="20"/>
                <w:szCs w:val="20"/>
                <w:color w:val="auto"/>
              </w:rPr>
            </w:pPr>
            <w:r>
              <w:rPr>
                <w:rFonts w:ascii="Arial" w:cs="Arial" w:eastAsia="Arial" w:hAnsi="Arial"/>
                <w:sz w:val="18"/>
                <w:szCs w:val="18"/>
                <w:color w:val="auto"/>
              </w:rPr>
              <w:t>3.2 %</w:t>
            </w:r>
          </w:p>
        </w:tc>
        <w:tc>
          <w:tcPr>
            <w:tcW w:w="300" w:type="dxa"/>
            <w:vAlign w:val="bottom"/>
          </w:tcPr>
          <w:p>
            <w:pPr>
              <w:spacing w:after="0"/>
              <w:rPr>
                <w:sz w:val="21"/>
                <w:szCs w:val="21"/>
                <w:color w:val="auto"/>
              </w:rPr>
            </w:pPr>
          </w:p>
        </w:tc>
        <w:tc>
          <w:tcPr>
            <w:tcW w:w="1220" w:type="dxa"/>
            <w:vAlign w:val="bottom"/>
            <w:gridSpan w:val="2"/>
          </w:tcPr>
          <w:p>
            <w:pPr>
              <w:jc w:val="right"/>
              <w:ind w:right="80"/>
              <w:spacing w:after="0"/>
              <w:rPr>
                <w:sz w:val="20"/>
                <w:szCs w:val="20"/>
                <w:color w:val="auto"/>
              </w:rPr>
            </w:pPr>
            <w:r>
              <w:rPr>
                <w:rFonts w:ascii="Arial" w:cs="Arial" w:eastAsia="Arial" w:hAnsi="Arial"/>
                <w:sz w:val="18"/>
                <w:szCs w:val="18"/>
                <w:color w:val="auto"/>
              </w:rPr>
              <w:t>3.1 %</w:t>
            </w:r>
          </w:p>
        </w:tc>
      </w:tr>
    </w:tbl>
    <w:p>
      <w:pPr>
        <w:spacing w:after="0" w:line="242"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8"/>
          <w:szCs w:val="18"/>
          <w:color w:val="auto"/>
        </w:rPr>
        <w:t>Interest expense for the 2021 third quarter and first nine months decreased 11% and 14%, respectively, compared with the 2020 third quarter and first nine months, primarily due to a lower average debt outstanding as a result of debt repayments since the 2020 first quarter. There was no capitalized interest excluded from interest expense during the 2021 or 2020 first nine months.</w:t>
      </w:r>
    </w:p>
    <w:p>
      <w:pPr>
        <w:spacing w:after="0" w:line="196" w:lineRule="exact"/>
        <w:rPr>
          <w:sz w:val="20"/>
          <w:szCs w:val="20"/>
          <w:color w:val="auto"/>
        </w:rPr>
      </w:pPr>
    </w:p>
    <w:p>
      <w:pPr>
        <w:ind w:left="560"/>
        <w:spacing w:after="0"/>
        <w:rPr>
          <w:sz w:val="20"/>
          <w:szCs w:val="20"/>
          <w:color w:val="auto"/>
        </w:rPr>
      </w:pPr>
      <w:r>
        <w:rPr>
          <w:rFonts w:ascii="Arial" w:cs="Arial" w:eastAsia="Arial" w:hAnsi="Arial"/>
          <w:sz w:val="18"/>
          <w:szCs w:val="18"/>
          <w:b w:val="1"/>
          <w:bCs w:val="1"/>
          <w:i w:val="1"/>
          <w:iCs w:val="1"/>
          <w:color w:val="auto"/>
        </w:rPr>
        <w:t>Benefit for Taxes on Income</w:t>
      </w:r>
    </w:p>
    <w:p>
      <w:pPr>
        <w:spacing w:after="0" w:line="252" w:lineRule="exact"/>
        <w:rPr>
          <w:sz w:val="20"/>
          <w:szCs w:val="20"/>
          <w:color w:val="auto"/>
        </w:rPr>
      </w:pPr>
    </w:p>
    <w:p>
      <w:pPr>
        <w:jc w:val="both"/>
        <w:ind w:firstLine="562"/>
        <w:spacing w:after="0" w:line="296" w:lineRule="auto"/>
        <w:rPr>
          <w:sz w:val="20"/>
          <w:szCs w:val="20"/>
          <w:color w:val="auto"/>
        </w:rPr>
      </w:pPr>
      <w:r>
        <w:rPr>
          <w:rFonts w:ascii="Arial" w:cs="Arial" w:eastAsia="Arial" w:hAnsi="Arial"/>
          <w:sz w:val="17"/>
          <w:szCs w:val="17"/>
          <w:color w:val="auto"/>
        </w:rPr>
        <w:t>During the 2020 third quarter and first nine months, pursuant to provisions of the CARES Act, net operating losses generated during 2018 through 2020 were used to offset taxable income generated between 2013 through 2017. Net operating losses carried back to tax years 2013 through 2017 were applied at the higher federal statutory tax rate of 35% compared to the statutory rate of 21% in effect at September 30, 2020. The Company generated an effective tax rate benefit in the 2020 third quarter and first nine months as a result of such carrybacks.</w:t>
      </w:r>
    </w:p>
    <w:p>
      <w:pPr>
        <w:spacing w:after="0" w:line="33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28</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74" name="Picture 37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4"/>
                    <pic:cNvPicPr>
                      <a:picLocks noChangeAspect="1" noChangeArrowheads="1"/>
                    </pic:cNvPicPr>
                  </pic:nvPicPr>
                  <pic:blipFill>
                    <a:blip r:embed="rId38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29" w:name="page30"/>
    <w:bookmarkEnd w:id="29"/>
    <w:p>
      <w:pPr>
        <w:spacing w:after="0"/>
        <w:rPr>
          <w:sz w:val="20"/>
          <w:szCs w:val="20"/>
          <w:color w:val="auto"/>
        </w:rPr>
      </w:pPr>
      <w:r>
        <w:rPr>
          <w:rFonts w:ascii="Arial" w:cs="Arial" w:eastAsia="Arial" w:hAnsi="Arial"/>
          <w:sz w:val="18"/>
          <w:szCs w:val="18"/>
          <w:b w:val="1"/>
          <w:bCs w:val="1"/>
          <w:color w:val="auto"/>
        </w:rPr>
        <w:t>Financial Condition, Capital Resources and Liquidity</w:t>
      </w:r>
    </w:p>
    <w:p>
      <w:pPr>
        <w:spacing w:after="0" w:line="25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Balance Sheets</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sets forth the significant components of the balance sheets (dollars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6420" w:type="dxa"/>
            <w:vAlign w:val="bottom"/>
          </w:tcPr>
          <w:p>
            <w:pPr>
              <w:spacing w:after="0"/>
              <w:rPr>
                <w:sz w:val="15"/>
                <w:szCs w:val="15"/>
                <w:color w:val="auto"/>
              </w:rPr>
            </w:pPr>
          </w:p>
        </w:tc>
        <w:tc>
          <w:tcPr>
            <w:tcW w:w="180" w:type="dxa"/>
            <w:vAlign w:val="bottom"/>
          </w:tcPr>
          <w:p>
            <w:pPr>
              <w:spacing w:after="0"/>
              <w:rPr>
                <w:sz w:val="15"/>
                <w:szCs w:val="15"/>
                <w:color w:val="auto"/>
              </w:rPr>
            </w:pPr>
          </w:p>
        </w:tc>
        <w:tc>
          <w:tcPr>
            <w:tcW w:w="124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September 30,</w:t>
            </w:r>
          </w:p>
        </w:tc>
        <w:tc>
          <w:tcPr>
            <w:tcW w:w="28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200" w:type="dxa"/>
            <w:vAlign w:val="bottom"/>
          </w:tcPr>
          <w:p>
            <w:pPr>
              <w:jc w:val="right"/>
              <w:ind w:right="192"/>
              <w:spacing w:after="0"/>
              <w:rPr>
                <w:sz w:val="20"/>
                <w:szCs w:val="20"/>
                <w:color w:val="auto"/>
              </w:rPr>
            </w:pPr>
            <w:r>
              <w:rPr>
                <w:rFonts w:ascii="Arial" w:cs="Arial" w:eastAsia="Arial" w:hAnsi="Arial"/>
                <w:sz w:val="14"/>
                <w:szCs w:val="14"/>
                <w:b w:val="1"/>
                <w:bCs w:val="1"/>
                <w:color w:val="auto"/>
                <w:w w:val="98"/>
              </w:rPr>
              <w:t>December 31,</w:t>
            </w:r>
          </w:p>
        </w:tc>
        <w:tc>
          <w:tcPr>
            <w:tcW w:w="240" w:type="dxa"/>
            <w:vAlign w:val="bottom"/>
          </w:tcPr>
          <w:p>
            <w:pPr>
              <w:spacing w:after="0"/>
              <w:rPr>
                <w:sz w:val="15"/>
                <w:szCs w:val="15"/>
                <w:color w:val="auto"/>
              </w:rPr>
            </w:pPr>
          </w:p>
        </w:tc>
        <w:tc>
          <w:tcPr>
            <w:tcW w:w="1120" w:type="dxa"/>
            <w:vAlign w:val="bottom"/>
          </w:tcPr>
          <w:p>
            <w:pPr>
              <w:spacing w:after="0"/>
              <w:rPr>
                <w:sz w:val="15"/>
                <w:szCs w:val="15"/>
                <w:color w:val="auto"/>
              </w:rPr>
            </w:pPr>
          </w:p>
        </w:tc>
        <w:tc>
          <w:tcPr>
            <w:tcW w:w="360" w:type="dxa"/>
            <w:vAlign w:val="bottom"/>
          </w:tcPr>
          <w:p>
            <w:pPr>
              <w:spacing w:after="0"/>
              <w:rPr>
                <w:sz w:val="15"/>
                <w:szCs w:val="15"/>
                <w:color w:val="auto"/>
              </w:rPr>
            </w:pPr>
          </w:p>
        </w:tc>
      </w:tr>
      <w:tr>
        <w:trPr>
          <w:trHeight w:val="192"/>
        </w:trPr>
        <w:tc>
          <w:tcPr>
            <w:tcW w:w="6420" w:type="dxa"/>
            <w:vAlign w:val="bottom"/>
          </w:tcPr>
          <w:p>
            <w:pPr>
              <w:spacing w:after="0"/>
              <w:rPr>
                <w:sz w:val="16"/>
                <w:szCs w:val="16"/>
                <w:color w:val="auto"/>
              </w:rPr>
            </w:pPr>
          </w:p>
        </w:tc>
        <w:tc>
          <w:tcPr>
            <w:tcW w:w="180" w:type="dxa"/>
            <w:vAlign w:val="bottom"/>
          </w:tcPr>
          <w:p>
            <w:pPr>
              <w:spacing w:after="0"/>
              <w:rPr>
                <w:sz w:val="16"/>
                <w:szCs w:val="16"/>
                <w:color w:val="auto"/>
              </w:rPr>
            </w:pPr>
          </w:p>
        </w:tc>
        <w:tc>
          <w:tcPr>
            <w:tcW w:w="1240" w:type="dxa"/>
            <w:vAlign w:val="bottom"/>
          </w:tcPr>
          <w:p>
            <w:pPr>
              <w:jc w:val="right"/>
              <w:ind w:right="472"/>
              <w:spacing w:after="0"/>
              <w:rPr>
                <w:sz w:val="20"/>
                <w:szCs w:val="20"/>
                <w:color w:val="auto"/>
              </w:rPr>
            </w:pPr>
            <w:r>
              <w:rPr>
                <w:rFonts w:ascii="Arial" w:cs="Arial" w:eastAsia="Arial" w:hAnsi="Arial"/>
                <w:sz w:val="14"/>
                <w:szCs w:val="14"/>
                <w:b w:val="1"/>
                <w:bCs w:val="1"/>
                <w:color w:val="auto"/>
              </w:rPr>
              <w:t>2021</w:t>
            </w:r>
          </w:p>
        </w:tc>
        <w:tc>
          <w:tcPr>
            <w:tcW w:w="280" w:type="dxa"/>
            <w:vAlign w:val="bottom"/>
          </w:tcPr>
          <w:p>
            <w:pPr>
              <w:spacing w:after="0"/>
              <w:rPr>
                <w:sz w:val="16"/>
                <w:szCs w:val="16"/>
                <w:color w:val="auto"/>
              </w:rPr>
            </w:pPr>
          </w:p>
        </w:tc>
        <w:tc>
          <w:tcPr>
            <w:tcW w:w="200" w:type="dxa"/>
            <w:vAlign w:val="bottom"/>
          </w:tcPr>
          <w:p>
            <w:pPr>
              <w:spacing w:after="0"/>
              <w:rPr>
                <w:sz w:val="16"/>
                <w:szCs w:val="16"/>
                <w:color w:val="auto"/>
              </w:rPr>
            </w:pPr>
          </w:p>
        </w:tc>
        <w:tc>
          <w:tcPr>
            <w:tcW w:w="1200" w:type="dxa"/>
            <w:vAlign w:val="bottom"/>
          </w:tcPr>
          <w:p>
            <w:pPr>
              <w:jc w:val="right"/>
              <w:ind w:right="472"/>
              <w:spacing w:after="0"/>
              <w:rPr>
                <w:sz w:val="20"/>
                <w:szCs w:val="20"/>
                <w:color w:val="auto"/>
              </w:rPr>
            </w:pPr>
            <w:r>
              <w:rPr>
                <w:rFonts w:ascii="Arial" w:cs="Arial" w:eastAsia="Arial" w:hAnsi="Arial"/>
                <w:sz w:val="14"/>
                <w:szCs w:val="14"/>
                <w:b w:val="1"/>
                <w:bCs w:val="1"/>
                <w:color w:val="auto"/>
              </w:rPr>
              <w:t>2020</w:t>
            </w:r>
          </w:p>
        </w:tc>
        <w:tc>
          <w:tcPr>
            <w:tcW w:w="240" w:type="dxa"/>
            <w:vAlign w:val="bottom"/>
          </w:tcPr>
          <w:p>
            <w:pPr>
              <w:spacing w:after="0"/>
              <w:rPr>
                <w:sz w:val="16"/>
                <w:szCs w:val="16"/>
                <w:color w:val="auto"/>
              </w:rPr>
            </w:pPr>
          </w:p>
        </w:tc>
        <w:tc>
          <w:tcPr>
            <w:tcW w:w="1480" w:type="dxa"/>
            <w:vAlign w:val="bottom"/>
            <w:gridSpan w:val="2"/>
          </w:tcPr>
          <w:p>
            <w:pPr>
              <w:jc w:val="right"/>
              <w:ind w:right="580"/>
              <w:spacing w:after="0"/>
              <w:rPr>
                <w:sz w:val="20"/>
                <w:szCs w:val="20"/>
                <w:color w:val="auto"/>
              </w:rPr>
            </w:pPr>
            <w:r>
              <w:rPr>
                <w:rFonts w:ascii="Arial" w:cs="Arial" w:eastAsia="Arial" w:hAnsi="Arial"/>
                <w:sz w:val="14"/>
                <w:szCs w:val="14"/>
                <w:b w:val="1"/>
                <w:bCs w:val="1"/>
                <w:color w:val="auto"/>
              </w:rPr>
              <w:t>% Change</w:t>
            </w:r>
          </w:p>
        </w:tc>
      </w:tr>
      <w:tr>
        <w:trPr>
          <w:trHeight w:val="256"/>
        </w:trPr>
        <w:tc>
          <w:tcPr>
            <w:tcW w:w="6420" w:type="dxa"/>
            <w:vAlign w:val="bottom"/>
            <w:shd w:val="clear" w:color="auto" w:fill="CFF0FC"/>
          </w:tcPr>
          <w:p>
            <w:pPr>
              <w:ind w:left="20"/>
              <w:spacing w:after="0"/>
              <w:rPr>
                <w:sz w:val="20"/>
                <w:szCs w:val="20"/>
                <w:color w:val="auto"/>
              </w:rPr>
            </w:pPr>
            <w:r>
              <w:rPr>
                <w:rFonts w:ascii="Arial" w:cs="Arial" w:eastAsia="Arial" w:hAnsi="Arial"/>
                <w:sz w:val="18"/>
                <w:szCs w:val="18"/>
                <w:color w:val="auto"/>
              </w:rPr>
              <w:t>Assets:</w:t>
            </w:r>
          </w:p>
        </w:tc>
        <w:tc>
          <w:tcPr>
            <w:tcW w:w="180" w:type="dxa"/>
            <w:vAlign w:val="bottom"/>
            <w:tcBorders>
              <w:top w:val="single" w:sz="8" w:color="auto"/>
            </w:tcBorders>
            <w:shd w:val="clear" w:color="auto" w:fill="CFF0FC"/>
          </w:tcPr>
          <w:p>
            <w:pPr>
              <w:spacing w:after="0"/>
              <w:rPr>
                <w:sz w:val="22"/>
                <w:szCs w:val="22"/>
                <w:color w:val="auto"/>
              </w:rPr>
            </w:pPr>
          </w:p>
        </w:tc>
        <w:tc>
          <w:tcPr>
            <w:tcW w:w="1240" w:type="dxa"/>
            <w:vAlign w:val="bottom"/>
            <w:tcBorders>
              <w:top w:val="single" w:sz="8" w:color="auto"/>
            </w:tcBorders>
            <w:shd w:val="clear" w:color="auto" w:fill="CFF0FC"/>
          </w:tcPr>
          <w:p>
            <w:pPr>
              <w:spacing w:after="0"/>
              <w:rPr>
                <w:sz w:val="22"/>
                <w:szCs w:val="22"/>
                <w:color w:val="auto"/>
              </w:rPr>
            </w:pPr>
          </w:p>
        </w:tc>
        <w:tc>
          <w:tcPr>
            <w:tcW w:w="280" w:type="dxa"/>
            <w:vAlign w:val="bottom"/>
            <w:shd w:val="clear" w:color="auto" w:fill="CFF0FC"/>
          </w:tcPr>
          <w:p>
            <w:pPr>
              <w:spacing w:after="0"/>
              <w:rPr>
                <w:sz w:val="22"/>
                <w:szCs w:val="22"/>
                <w:color w:val="auto"/>
              </w:rPr>
            </w:pPr>
          </w:p>
        </w:tc>
        <w:tc>
          <w:tcPr>
            <w:tcW w:w="200" w:type="dxa"/>
            <w:vAlign w:val="bottom"/>
            <w:tcBorders>
              <w:top w:val="single" w:sz="8" w:color="auto"/>
            </w:tcBorders>
            <w:shd w:val="clear" w:color="auto" w:fill="CFF0FC"/>
          </w:tcPr>
          <w:p>
            <w:pPr>
              <w:spacing w:after="0"/>
              <w:rPr>
                <w:sz w:val="22"/>
                <w:szCs w:val="22"/>
                <w:color w:val="auto"/>
              </w:rPr>
            </w:pPr>
          </w:p>
        </w:tc>
        <w:tc>
          <w:tcPr>
            <w:tcW w:w="1200" w:type="dxa"/>
            <w:vAlign w:val="bottom"/>
            <w:tcBorders>
              <w:top w:val="single" w:sz="8" w:color="auto"/>
            </w:tcBorders>
            <w:shd w:val="clear" w:color="auto" w:fill="CFF0FC"/>
          </w:tcPr>
          <w:p>
            <w:pPr>
              <w:spacing w:after="0"/>
              <w:rPr>
                <w:sz w:val="22"/>
                <w:szCs w:val="22"/>
                <w:color w:val="auto"/>
              </w:rPr>
            </w:pPr>
          </w:p>
        </w:tc>
        <w:tc>
          <w:tcPr>
            <w:tcW w:w="240" w:type="dxa"/>
            <w:vAlign w:val="bottom"/>
            <w:shd w:val="clear" w:color="auto" w:fill="CFF0FC"/>
          </w:tcPr>
          <w:p>
            <w:pPr>
              <w:spacing w:after="0"/>
              <w:rPr>
                <w:sz w:val="22"/>
                <w:szCs w:val="22"/>
                <w:color w:val="auto"/>
              </w:rPr>
            </w:pPr>
          </w:p>
        </w:tc>
        <w:tc>
          <w:tcPr>
            <w:tcW w:w="1120" w:type="dxa"/>
            <w:vAlign w:val="bottom"/>
            <w:tcBorders>
              <w:top w:val="single" w:sz="8" w:color="auto"/>
            </w:tcBorders>
            <w:shd w:val="clear" w:color="auto" w:fill="CFF0FC"/>
          </w:tcPr>
          <w:p>
            <w:pPr>
              <w:spacing w:after="0"/>
              <w:rPr>
                <w:sz w:val="22"/>
                <w:szCs w:val="22"/>
                <w:color w:val="auto"/>
              </w:rPr>
            </w:pPr>
          </w:p>
        </w:tc>
        <w:tc>
          <w:tcPr>
            <w:tcW w:w="360" w:type="dxa"/>
            <w:vAlign w:val="bottom"/>
            <w:shd w:val="clear" w:color="auto" w:fill="CFF0FC"/>
          </w:tcPr>
          <w:p>
            <w:pPr>
              <w:spacing w:after="0"/>
              <w:rPr>
                <w:sz w:val="22"/>
                <w:szCs w:val="22"/>
                <w:color w:val="auto"/>
              </w:rPr>
            </w:pPr>
          </w:p>
        </w:tc>
      </w:tr>
      <w:tr>
        <w:trPr>
          <w:trHeight w:val="250"/>
        </w:trPr>
        <w:tc>
          <w:tcPr>
            <w:tcW w:w="6420" w:type="dxa"/>
            <w:vAlign w:val="bottom"/>
          </w:tcPr>
          <w:p>
            <w:pPr>
              <w:ind w:left="200"/>
              <w:spacing w:after="0"/>
              <w:rPr>
                <w:sz w:val="20"/>
                <w:szCs w:val="20"/>
                <w:color w:val="auto"/>
              </w:rPr>
            </w:pPr>
            <w:r>
              <w:rPr>
                <w:rFonts w:ascii="Arial" w:cs="Arial" w:eastAsia="Arial" w:hAnsi="Arial"/>
                <w:sz w:val="18"/>
                <w:szCs w:val="18"/>
                <w:color w:val="auto"/>
              </w:rPr>
              <w:t>Current assets</w:t>
            </w: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978,591</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1,047,971</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(7 )%</w:t>
            </w:r>
          </w:p>
        </w:tc>
      </w:tr>
      <w:tr>
        <w:trPr>
          <w:trHeight w:val="263"/>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Property and equipment, net</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3,705,247</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3,917,070</w:t>
            </w:r>
          </w:p>
        </w:tc>
        <w:tc>
          <w:tcPr>
            <w:tcW w:w="17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(5 )</w:t>
            </w:r>
          </w:p>
        </w:tc>
      </w:tr>
      <w:tr>
        <w:trPr>
          <w:trHeight w:val="250"/>
        </w:trPr>
        <w:tc>
          <w:tcPr>
            <w:tcW w:w="6420" w:type="dxa"/>
            <w:vAlign w:val="bottom"/>
          </w:tcPr>
          <w:p>
            <w:pPr>
              <w:ind w:left="200"/>
              <w:spacing w:after="0"/>
              <w:rPr>
                <w:sz w:val="20"/>
                <w:szCs w:val="20"/>
                <w:color w:val="auto"/>
              </w:rPr>
            </w:pPr>
            <w:r>
              <w:rPr>
                <w:rFonts w:ascii="Arial" w:cs="Arial" w:eastAsia="Arial" w:hAnsi="Arial"/>
                <w:sz w:val="18"/>
                <w:szCs w:val="18"/>
                <w:color w:val="auto"/>
              </w:rPr>
              <w:t>Operating lease right-of-use assets</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159,627</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174,317</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(8 )</w:t>
            </w:r>
          </w:p>
        </w:tc>
      </w:tr>
      <w:tr>
        <w:trPr>
          <w:trHeight w:val="263"/>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Goodwill</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438,748</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657,800</w:t>
            </w:r>
          </w:p>
        </w:tc>
        <w:tc>
          <w:tcPr>
            <w:tcW w:w="17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(33 )</w:t>
            </w:r>
          </w:p>
        </w:tc>
      </w:tr>
      <w:tr>
        <w:trPr>
          <w:trHeight w:val="250"/>
        </w:trPr>
        <w:tc>
          <w:tcPr>
            <w:tcW w:w="6420" w:type="dxa"/>
            <w:vAlign w:val="bottom"/>
          </w:tcPr>
          <w:p>
            <w:pPr>
              <w:ind w:left="200"/>
              <w:spacing w:after="0"/>
              <w:rPr>
                <w:sz w:val="20"/>
                <w:szCs w:val="20"/>
                <w:color w:val="auto"/>
              </w:rPr>
            </w:pPr>
            <w:r>
              <w:rPr>
                <w:rFonts w:ascii="Arial" w:cs="Arial" w:eastAsia="Arial" w:hAnsi="Arial"/>
                <w:sz w:val="18"/>
                <w:szCs w:val="18"/>
                <w:color w:val="auto"/>
              </w:rPr>
              <w:t>Other intangibles, net</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62,233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68,979</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(10 )</w:t>
            </w:r>
          </w:p>
        </w:tc>
      </w:tr>
      <w:tr>
        <w:trPr>
          <w:trHeight w:val="263"/>
        </w:trPr>
        <w:tc>
          <w:tcPr>
            <w:tcW w:w="642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Other assets</w:t>
            </w:r>
          </w:p>
        </w:tc>
        <w:tc>
          <w:tcPr>
            <w:tcW w:w="180" w:type="dxa"/>
            <w:vAlign w:val="bottom"/>
            <w:tcBorders>
              <w:bottom w:val="single" w:sz="8" w:color="auto"/>
            </w:tcBorders>
            <w:shd w:val="clear" w:color="auto" w:fill="CFF0FC"/>
          </w:tcPr>
          <w:p>
            <w:pPr>
              <w:spacing w:after="0"/>
              <w:rPr>
                <w:sz w:val="22"/>
                <w:szCs w:val="22"/>
                <w:color w:val="auto"/>
              </w:rPr>
            </w:pP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45,436</w:t>
            </w:r>
          </w:p>
        </w:tc>
        <w:tc>
          <w:tcPr>
            <w:tcW w:w="28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58,037</w:t>
            </w:r>
          </w:p>
        </w:tc>
        <w:tc>
          <w:tcPr>
            <w:tcW w:w="1720" w:type="dxa"/>
            <w:vAlign w:val="bottom"/>
            <w:tcBorders>
              <w:bottom w:val="single" w:sz="8" w:color="CFF0FC"/>
            </w:tcBorders>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(22 )</w:t>
            </w:r>
          </w:p>
        </w:tc>
      </w:tr>
      <w:tr>
        <w:trPr>
          <w:trHeight w:val="250"/>
        </w:trPr>
        <w:tc>
          <w:tcPr>
            <w:tcW w:w="6420" w:type="dxa"/>
            <w:vAlign w:val="bottom"/>
          </w:tcPr>
          <w:p>
            <w:pPr>
              <w:spacing w:after="0"/>
              <w:rPr>
                <w:sz w:val="21"/>
                <w:szCs w:val="21"/>
                <w:color w:val="auto"/>
              </w:rPr>
            </w:pPr>
          </w:p>
        </w:tc>
        <w:tc>
          <w:tcPr>
            <w:tcW w:w="180" w:type="dxa"/>
            <w:vAlign w:val="bottom"/>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Pr>
          <w:p>
            <w:pPr>
              <w:jc w:val="right"/>
              <w:spacing w:after="0"/>
              <w:rPr>
                <w:sz w:val="20"/>
                <w:szCs w:val="20"/>
                <w:color w:val="auto"/>
              </w:rPr>
            </w:pPr>
            <w:r>
              <w:rPr>
                <w:rFonts w:ascii="Arial" w:cs="Arial" w:eastAsia="Arial" w:hAnsi="Arial"/>
                <w:sz w:val="18"/>
                <w:szCs w:val="18"/>
                <w:color w:val="auto"/>
              </w:rPr>
              <w:t>5,389,882</w:t>
            </w:r>
          </w:p>
        </w:tc>
        <w:tc>
          <w:tcPr>
            <w:tcW w:w="480" w:type="dxa"/>
            <w:vAlign w:val="bottom"/>
            <w:gridSpan w:val="2"/>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5,924,174</w:t>
            </w:r>
          </w:p>
        </w:tc>
        <w:tc>
          <w:tcPr>
            <w:tcW w:w="1720" w:type="dxa"/>
            <w:vAlign w:val="bottom"/>
            <w:gridSpan w:val="3"/>
          </w:tcPr>
          <w:p>
            <w:pPr>
              <w:jc w:val="right"/>
              <w:ind w:right="120"/>
              <w:spacing w:after="0"/>
              <w:rPr>
                <w:sz w:val="20"/>
                <w:szCs w:val="20"/>
                <w:color w:val="auto"/>
              </w:rPr>
            </w:pPr>
            <w:r>
              <w:rPr>
                <w:rFonts w:ascii="Arial" w:cs="Arial" w:eastAsia="Arial" w:hAnsi="Arial"/>
                <w:sz w:val="18"/>
                <w:szCs w:val="18"/>
                <w:color w:val="auto"/>
              </w:rPr>
              <w:t>(9 )%</w:t>
            </w:r>
          </w:p>
        </w:tc>
      </w:tr>
      <w:tr>
        <w:trPr>
          <w:trHeight w:val="20"/>
        </w:trPr>
        <w:tc>
          <w:tcPr>
            <w:tcW w:w="6420" w:type="dxa"/>
            <w:vAlign w:val="bottom"/>
          </w:tcPr>
          <w:p>
            <w:pPr>
              <w:spacing w:after="0" w:line="20" w:lineRule="exact"/>
              <w:rPr>
                <w:sz w:val="1"/>
                <w:szCs w:val="1"/>
                <w:color w:val="auto"/>
              </w:rPr>
            </w:pPr>
          </w:p>
        </w:tc>
        <w:tc>
          <w:tcPr>
            <w:tcW w:w="180" w:type="dxa"/>
            <w:vAlign w:val="bottom"/>
            <w:tcBorders>
              <w:top w:val="single" w:sz="8" w:color="auto"/>
              <w:bottom w:val="single" w:sz="8" w:color="auto"/>
            </w:tcBorders>
          </w:tcPr>
          <w:p>
            <w:pPr>
              <w:spacing w:after="0" w:line="20" w:lineRule="exact"/>
              <w:rPr>
                <w:sz w:val="1"/>
                <w:szCs w:val="1"/>
                <w:color w:val="auto"/>
              </w:rPr>
            </w:pPr>
          </w:p>
        </w:tc>
        <w:tc>
          <w:tcPr>
            <w:tcW w:w="1240" w:type="dxa"/>
            <w:vAlign w:val="bottom"/>
            <w:tcBorders>
              <w:top w:val="single" w:sz="8" w:color="auto"/>
              <w:bottom w:val="single" w:sz="8" w:color="auto"/>
            </w:tcBorders>
          </w:tcPr>
          <w:p>
            <w:pPr>
              <w:spacing w:after="0" w:line="20" w:lineRule="exact"/>
              <w:rPr>
                <w:sz w:val="1"/>
                <w:szCs w:val="1"/>
                <w:color w:val="auto"/>
              </w:rPr>
            </w:pPr>
          </w:p>
        </w:tc>
        <w:tc>
          <w:tcPr>
            <w:tcW w:w="280" w:type="dxa"/>
            <w:vAlign w:val="bottom"/>
          </w:tcPr>
          <w:p>
            <w:pPr>
              <w:spacing w:after="0" w:line="20" w:lineRule="exact"/>
              <w:rPr>
                <w:sz w:val="1"/>
                <w:szCs w:val="1"/>
                <w:color w:val="auto"/>
              </w:rPr>
            </w:pPr>
          </w:p>
        </w:tc>
        <w:tc>
          <w:tcPr>
            <w:tcW w:w="200" w:type="dxa"/>
            <w:vAlign w:val="bottom"/>
            <w:tcBorders>
              <w:top w:val="single" w:sz="8" w:color="auto"/>
              <w:bottom w:val="single" w:sz="8" w:color="auto"/>
            </w:tcBorders>
          </w:tcPr>
          <w:p>
            <w:pPr>
              <w:spacing w:after="0" w:line="20" w:lineRule="exact"/>
              <w:rPr>
                <w:sz w:val="1"/>
                <w:szCs w:val="1"/>
                <w:color w:val="auto"/>
              </w:rPr>
            </w:pPr>
          </w:p>
        </w:tc>
        <w:tc>
          <w:tcPr>
            <w:tcW w:w="1200" w:type="dxa"/>
            <w:vAlign w:val="bottom"/>
            <w:tcBorders>
              <w:top w:val="single" w:sz="8" w:color="auto"/>
              <w:bottom w:val="single" w:sz="8" w:color="auto"/>
            </w:tcBorders>
          </w:tcPr>
          <w:p>
            <w:pPr>
              <w:spacing w:after="0" w:line="20" w:lineRule="exact"/>
              <w:rPr>
                <w:sz w:val="1"/>
                <w:szCs w:val="1"/>
                <w:color w:val="auto"/>
              </w:rPr>
            </w:pPr>
          </w:p>
        </w:tc>
        <w:tc>
          <w:tcPr>
            <w:tcW w:w="240" w:type="dxa"/>
            <w:vAlign w:val="bottom"/>
          </w:tcPr>
          <w:p>
            <w:pPr>
              <w:spacing w:after="0" w:line="20" w:lineRule="exact"/>
              <w:rPr>
                <w:sz w:val="1"/>
                <w:szCs w:val="1"/>
                <w:color w:val="auto"/>
              </w:rPr>
            </w:pPr>
          </w:p>
        </w:tc>
        <w:tc>
          <w:tcPr>
            <w:tcW w:w="1120" w:type="dxa"/>
            <w:vAlign w:val="bottom"/>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r>
      <w:tr>
        <w:trPr>
          <w:trHeight w:val="237"/>
        </w:trPr>
        <w:tc>
          <w:tcPr>
            <w:tcW w:w="6420" w:type="dxa"/>
            <w:vAlign w:val="bottom"/>
            <w:shd w:val="clear" w:color="auto" w:fill="CFF0FC"/>
          </w:tcPr>
          <w:p>
            <w:pPr>
              <w:spacing w:after="0"/>
              <w:rPr>
                <w:sz w:val="20"/>
                <w:szCs w:val="20"/>
                <w:color w:val="auto"/>
              </w:rPr>
            </w:pPr>
          </w:p>
        </w:tc>
        <w:tc>
          <w:tcPr>
            <w:tcW w:w="180" w:type="dxa"/>
            <w:vAlign w:val="bottom"/>
            <w:shd w:val="clear" w:color="auto" w:fill="CFF0FC"/>
          </w:tcPr>
          <w:p>
            <w:pPr>
              <w:spacing w:after="0"/>
              <w:rPr>
                <w:sz w:val="20"/>
                <w:szCs w:val="20"/>
                <w:color w:val="auto"/>
              </w:rPr>
            </w:pPr>
          </w:p>
        </w:tc>
        <w:tc>
          <w:tcPr>
            <w:tcW w:w="1240" w:type="dxa"/>
            <w:vAlign w:val="bottom"/>
            <w:shd w:val="clear" w:color="auto" w:fill="CFF0FC"/>
          </w:tcPr>
          <w:p>
            <w:pPr>
              <w:spacing w:after="0"/>
              <w:rPr>
                <w:sz w:val="20"/>
                <w:szCs w:val="20"/>
                <w:color w:val="auto"/>
              </w:rPr>
            </w:pPr>
          </w:p>
        </w:tc>
        <w:tc>
          <w:tcPr>
            <w:tcW w:w="280" w:type="dxa"/>
            <w:vAlign w:val="bottom"/>
            <w:shd w:val="clear" w:color="auto" w:fill="CFF0FC"/>
          </w:tcPr>
          <w:p>
            <w:pPr>
              <w:spacing w:after="0"/>
              <w:rPr>
                <w:sz w:val="20"/>
                <w:szCs w:val="20"/>
                <w:color w:val="auto"/>
              </w:rPr>
            </w:pPr>
          </w:p>
        </w:tc>
        <w:tc>
          <w:tcPr>
            <w:tcW w:w="200" w:type="dxa"/>
            <w:vAlign w:val="bottom"/>
            <w:shd w:val="clear" w:color="auto" w:fill="CFF0FC"/>
          </w:tcPr>
          <w:p>
            <w:pPr>
              <w:spacing w:after="0"/>
              <w:rPr>
                <w:sz w:val="20"/>
                <w:szCs w:val="20"/>
                <w:color w:val="auto"/>
              </w:rPr>
            </w:pPr>
          </w:p>
        </w:tc>
        <w:tc>
          <w:tcPr>
            <w:tcW w:w="1200" w:type="dxa"/>
            <w:vAlign w:val="bottom"/>
            <w:shd w:val="clear" w:color="auto" w:fill="CFF0FC"/>
          </w:tcPr>
          <w:p>
            <w:pPr>
              <w:spacing w:after="0"/>
              <w:rPr>
                <w:sz w:val="20"/>
                <w:szCs w:val="20"/>
                <w:color w:val="auto"/>
              </w:rPr>
            </w:pPr>
          </w:p>
        </w:tc>
        <w:tc>
          <w:tcPr>
            <w:tcW w:w="240" w:type="dxa"/>
            <w:vAlign w:val="bottom"/>
            <w:shd w:val="clear" w:color="auto" w:fill="CFF0FC"/>
          </w:tcPr>
          <w:p>
            <w:pPr>
              <w:spacing w:after="0"/>
              <w:rPr>
                <w:sz w:val="20"/>
                <w:szCs w:val="20"/>
                <w:color w:val="auto"/>
              </w:rPr>
            </w:pPr>
          </w:p>
        </w:tc>
        <w:tc>
          <w:tcPr>
            <w:tcW w:w="1120" w:type="dxa"/>
            <w:vAlign w:val="bottom"/>
            <w:shd w:val="clear" w:color="auto" w:fill="CFF0FC"/>
          </w:tcPr>
          <w:p>
            <w:pPr>
              <w:spacing w:after="0"/>
              <w:rPr>
                <w:sz w:val="20"/>
                <w:szCs w:val="20"/>
                <w:color w:val="auto"/>
              </w:rPr>
            </w:pPr>
          </w:p>
        </w:tc>
        <w:tc>
          <w:tcPr>
            <w:tcW w:w="360" w:type="dxa"/>
            <w:vAlign w:val="bottom"/>
            <w:shd w:val="clear" w:color="auto" w:fill="CFF0FC"/>
          </w:tcPr>
          <w:p>
            <w:pPr>
              <w:spacing w:after="0"/>
              <w:rPr>
                <w:sz w:val="20"/>
                <w:szCs w:val="20"/>
                <w:color w:val="auto"/>
              </w:rPr>
            </w:pPr>
          </w:p>
        </w:tc>
      </w:tr>
      <w:tr>
        <w:trPr>
          <w:trHeight w:val="250"/>
        </w:trPr>
        <w:tc>
          <w:tcPr>
            <w:tcW w:w="6420" w:type="dxa"/>
            <w:vAlign w:val="bottom"/>
          </w:tcPr>
          <w:p>
            <w:pPr>
              <w:ind w:left="20"/>
              <w:spacing w:after="0"/>
              <w:rPr>
                <w:sz w:val="20"/>
                <w:szCs w:val="20"/>
                <w:color w:val="auto"/>
              </w:rPr>
            </w:pPr>
            <w:r>
              <w:rPr>
                <w:rFonts w:ascii="Arial" w:cs="Arial" w:eastAsia="Arial" w:hAnsi="Arial"/>
                <w:sz w:val="18"/>
                <w:szCs w:val="18"/>
                <w:color w:val="auto"/>
              </w:rPr>
              <w:t>Liabilities and stockholders’ equity:</w:t>
            </w:r>
          </w:p>
        </w:tc>
        <w:tc>
          <w:tcPr>
            <w:tcW w:w="180" w:type="dxa"/>
            <w:vAlign w:val="bottom"/>
          </w:tcPr>
          <w:p>
            <w:pPr>
              <w:spacing w:after="0"/>
              <w:rPr>
                <w:sz w:val="21"/>
                <w:szCs w:val="21"/>
                <w:color w:val="auto"/>
              </w:rPr>
            </w:pPr>
          </w:p>
        </w:tc>
        <w:tc>
          <w:tcPr>
            <w:tcW w:w="1240" w:type="dxa"/>
            <w:vAlign w:val="bottom"/>
          </w:tcPr>
          <w:p>
            <w:pPr>
              <w:spacing w:after="0"/>
              <w:rPr>
                <w:sz w:val="21"/>
                <w:szCs w:val="21"/>
                <w:color w:val="auto"/>
              </w:rPr>
            </w:pP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spacing w:after="0"/>
              <w:rPr>
                <w:sz w:val="21"/>
                <w:szCs w:val="21"/>
                <w:color w:val="auto"/>
              </w:rPr>
            </w:pPr>
          </w:p>
        </w:tc>
        <w:tc>
          <w:tcPr>
            <w:tcW w:w="240" w:type="dxa"/>
            <w:vAlign w:val="bottom"/>
          </w:tcPr>
          <w:p>
            <w:pPr>
              <w:spacing w:after="0"/>
              <w:rPr>
                <w:sz w:val="21"/>
                <w:szCs w:val="21"/>
                <w:color w:val="auto"/>
              </w:rPr>
            </w:pPr>
          </w:p>
        </w:tc>
        <w:tc>
          <w:tcPr>
            <w:tcW w:w="1120" w:type="dxa"/>
            <w:vAlign w:val="bottom"/>
          </w:tcPr>
          <w:p>
            <w:pPr>
              <w:spacing w:after="0"/>
              <w:rPr>
                <w:sz w:val="21"/>
                <w:szCs w:val="21"/>
                <w:color w:val="auto"/>
              </w:rPr>
            </w:pPr>
          </w:p>
        </w:tc>
        <w:tc>
          <w:tcPr>
            <w:tcW w:w="360" w:type="dxa"/>
            <w:vAlign w:val="bottom"/>
          </w:tcPr>
          <w:p>
            <w:pPr>
              <w:spacing w:after="0"/>
              <w:rPr>
                <w:sz w:val="21"/>
                <w:szCs w:val="21"/>
                <w:color w:val="auto"/>
              </w:rPr>
            </w:pPr>
          </w:p>
        </w:tc>
      </w:tr>
      <w:tr>
        <w:trPr>
          <w:trHeight w:val="263"/>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Current liabilities</w:t>
            </w:r>
          </w:p>
        </w:tc>
        <w:tc>
          <w:tcPr>
            <w:tcW w:w="180" w:type="dxa"/>
            <w:vAlign w:val="bottom"/>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512,197</w:t>
            </w:r>
          </w:p>
        </w:tc>
        <w:tc>
          <w:tcPr>
            <w:tcW w:w="480" w:type="dxa"/>
            <w:vAlign w:val="bottom"/>
            <w:gridSpan w:val="2"/>
            <w:shd w:val="clear" w:color="auto" w:fill="CFF0FC"/>
          </w:tcPr>
          <w:p>
            <w:pPr>
              <w:jc w:val="right"/>
              <w:ind w:right="10"/>
              <w:spacing w:after="0"/>
              <w:rPr>
                <w:sz w:val="20"/>
                <w:szCs w:val="20"/>
                <w:color w:val="auto"/>
              </w:rPr>
            </w:pPr>
            <w:r>
              <w:rPr>
                <w:rFonts w:ascii="Arial" w:cs="Arial" w:eastAsia="Arial" w:hAnsi="Arial"/>
                <w:sz w:val="18"/>
                <w:szCs w:val="18"/>
                <w:color w:val="auto"/>
              </w:rPr>
              <w:t>$</w:t>
            </w: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466,032</w:t>
            </w:r>
          </w:p>
        </w:tc>
        <w:tc>
          <w:tcPr>
            <w:tcW w:w="1720" w:type="dxa"/>
            <w:vAlign w:val="bottom"/>
            <w:gridSpan w:val="3"/>
            <w:shd w:val="clear" w:color="auto" w:fill="CFF0FC"/>
          </w:tcPr>
          <w:p>
            <w:pPr>
              <w:jc w:val="right"/>
              <w:ind w:right="180"/>
              <w:spacing w:after="0"/>
              <w:rPr>
                <w:sz w:val="20"/>
                <w:szCs w:val="20"/>
                <w:color w:val="auto"/>
              </w:rPr>
            </w:pPr>
            <w:r>
              <w:rPr>
                <w:rFonts w:ascii="Arial" w:cs="Arial" w:eastAsia="Arial" w:hAnsi="Arial"/>
                <w:sz w:val="18"/>
                <w:szCs w:val="18"/>
                <w:color w:val="auto"/>
              </w:rPr>
              <w:t>10 %</w:t>
            </w:r>
          </w:p>
        </w:tc>
      </w:tr>
      <w:tr>
        <w:trPr>
          <w:trHeight w:val="250"/>
        </w:trPr>
        <w:tc>
          <w:tcPr>
            <w:tcW w:w="6420" w:type="dxa"/>
            <w:vAlign w:val="bottom"/>
          </w:tcPr>
          <w:p>
            <w:pPr>
              <w:ind w:left="200"/>
              <w:spacing w:after="0"/>
              <w:rPr>
                <w:sz w:val="20"/>
                <w:szCs w:val="20"/>
                <w:color w:val="auto"/>
              </w:rPr>
            </w:pPr>
            <w:r>
              <w:rPr>
                <w:rFonts w:ascii="Arial" w:cs="Arial" w:eastAsia="Arial" w:hAnsi="Arial"/>
                <w:sz w:val="18"/>
                <w:szCs w:val="18"/>
                <w:color w:val="auto"/>
              </w:rPr>
              <w:t>Long-term debt, net – less current portion</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1,206,193</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1,468,546</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(18 )</w:t>
            </w:r>
          </w:p>
        </w:tc>
      </w:tr>
      <w:tr>
        <w:trPr>
          <w:trHeight w:val="263"/>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Deferred income taxes</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552,913</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606,844</w:t>
            </w:r>
          </w:p>
        </w:tc>
        <w:tc>
          <w:tcPr>
            <w:tcW w:w="17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(9 )</w:t>
            </w:r>
          </w:p>
        </w:tc>
      </w:tr>
      <w:tr>
        <w:trPr>
          <w:trHeight w:val="250"/>
        </w:trPr>
        <w:tc>
          <w:tcPr>
            <w:tcW w:w="6420" w:type="dxa"/>
            <w:vAlign w:val="bottom"/>
          </w:tcPr>
          <w:p>
            <w:pPr>
              <w:ind w:left="200"/>
              <w:spacing w:after="0"/>
              <w:rPr>
                <w:sz w:val="20"/>
                <w:szCs w:val="20"/>
                <w:color w:val="auto"/>
              </w:rPr>
            </w:pPr>
            <w:r>
              <w:rPr>
                <w:rFonts w:ascii="Arial" w:cs="Arial" w:eastAsia="Arial" w:hAnsi="Arial"/>
                <w:sz w:val="18"/>
                <w:szCs w:val="18"/>
                <w:color w:val="auto"/>
              </w:rPr>
              <w:t>Operating lease liabilities – less current portion</w:t>
            </w:r>
          </w:p>
        </w:tc>
        <w:tc>
          <w:tcPr>
            <w:tcW w:w="180" w:type="dxa"/>
            <w:vAlign w:val="bottom"/>
          </w:tcPr>
          <w:p>
            <w:pPr>
              <w:spacing w:after="0"/>
              <w:rPr>
                <w:sz w:val="21"/>
                <w:szCs w:val="21"/>
                <w:color w:val="auto"/>
              </w:rPr>
            </w:pPr>
          </w:p>
        </w:tc>
        <w:tc>
          <w:tcPr>
            <w:tcW w:w="1240" w:type="dxa"/>
            <w:vAlign w:val="bottom"/>
          </w:tcPr>
          <w:p>
            <w:pPr>
              <w:jc w:val="right"/>
              <w:spacing w:after="0"/>
              <w:rPr>
                <w:sz w:val="20"/>
                <w:szCs w:val="20"/>
                <w:color w:val="auto"/>
              </w:rPr>
            </w:pPr>
            <w:r>
              <w:rPr>
                <w:rFonts w:ascii="Arial" w:cs="Arial" w:eastAsia="Arial" w:hAnsi="Arial"/>
                <w:sz w:val="18"/>
                <w:szCs w:val="18"/>
                <w:color w:val="auto"/>
              </w:rPr>
              <w:t>152,615</w:t>
            </w:r>
          </w:p>
        </w:tc>
        <w:tc>
          <w:tcPr>
            <w:tcW w:w="28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163,496</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(7 )</w:t>
            </w:r>
          </w:p>
        </w:tc>
      </w:tr>
      <w:tr>
        <w:trPr>
          <w:trHeight w:val="263"/>
        </w:trPr>
        <w:tc>
          <w:tcPr>
            <w:tcW w:w="6420" w:type="dxa"/>
            <w:vAlign w:val="bottom"/>
            <w:shd w:val="clear" w:color="auto" w:fill="CFF0FC"/>
          </w:tcPr>
          <w:p>
            <w:pPr>
              <w:ind w:left="200"/>
              <w:spacing w:after="0"/>
              <w:rPr>
                <w:sz w:val="20"/>
                <w:szCs w:val="20"/>
                <w:color w:val="auto"/>
              </w:rPr>
            </w:pPr>
            <w:r>
              <w:rPr>
                <w:rFonts w:ascii="Arial" w:cs="Arial" w:eastAsia="Arial" w:hAnsi="Arial"/>
                <w:sz w:val="18"/>
                <w:szCs w:val="18"/>
                <w:color w:val="auto"/>
              </w:rPr>
              <w:t>Other long-term liabilities</w:t>
            </w:r>
          </w:p>
        </w:tc>
        <w:tc>
          <w:tcPr>
            <w:tcW w:w="180" w:type="dxa"/>
            <w:vAlign w:val="bottom"/>
            <w:shd w:val="clear" w:color="auto" w:fill="CFF0FC"/>
          </w:tcPr>
          <w:p>
            <w:pPr>
              <w:spacing w:after="0"/>
              <w:rPr>
                <w:sz w:val="22"/>
                <w:szCs w:val="22"/>
                <w:color w:val="auto"/>
              </w:rPr>
            </w:pPr>
          </w:p>
        </w:tc>
        <w:tc>
          <w:tcPr>
            <w:tcW w:w="124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119,740</w:t>
            </w:r>
          </w:p>
        </w:tc>
        <w:tc>
          <w:tcPr>
            <w:tcW w:w="28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131,703</w:t>
            </w:r>
          </w:p>
        </w:tc>
        <w:tc>
          <w:tcPr>
            <w:tcW w:w="1720" w:type="dxa"/>
            <w:vAlign w:val="bottom"/>
            <w:gridSpan w:val="3"/>
            <w:shd w:val="clear" w:color="auto" w:fill="CFF0FC"/>
          </w:tcPr>
          <w:p>
            <w:pPr>
              <w:jc w:val="right"/>
              <w:ind w:right="280"/>
              <w:spacing w:after="0"/>
              <w:rPr>
                <w:sz w:val="20"/>
                <w:szCs w:val="20"/>
                <w:color w:val="auto"/>
              </w:rPr>
            </w:pPr>
            <w:r>
              <w:rPr>
                <w:rFonts w:ascii="Arial" w:cs="Arial" w:eastAsia="Arial" w:hAnsi="Arial"/>
                <w:sz w:val="18"/>
                <w:szCs w:val="18"/>
                <w:color w:val="auto"/>
              </w:rPr>
              <w:t>(9 )</w:t>
            </w:r>
          </w:p>
        </w:tc>
      </w:tr>
      <w:tr>
        <w:trPr>
          <w:trHeight w:val="257"/>
        </w:trPr>
        <w:tc>
          <w:tcPr>
            <w:tcW w:w="6420" w:type="dxa"/>
            <w:vAlign w:val="bottom"/>
          </w:tcPr>
          <w:p>
            <w:pPr>
              <w:ind w:left="200"/>
              <w:spacing w:after="0"/>
              <w:rPr>
                <w:sz w:val="20"/>
                <w:szCs w:val="20"/>
                <w:color w:val="auto"/>
              </w:rPr>
            </w:pPr>
            <w:r>
              <w:rPr>
                <w:rFonts w:ascii="Arial" w:cs="Arial" w:eastAsia="Arial" w:hAnsi="Arial"/>
                <w:sz w:val="18"/>
                <w:szCs w:val="18"/>
                <w:color w:val="auto"/>
              </w:rPr>
              <w:t>Total equity</w:t>
            </w:r>
          </w:p>
        </w:tc>
        <w:tc>
          <w:tcPr>
            <w:tcW w:w="180" w:type="dxa"/>
            <w:vAlign w:val="bottom"/>
            <w:tcBorders>
              <w:bottom w:val="single" w:sz="8" w:color="auto"/>
            </w:tcBorders>
          </w:tcPr>
          <w:p>
            <w:pPr>
              <w:spacing w:after="0"/>
              <w:rPr>
                <w:sz w:val="22"/>
                <w:szCs w:val="22"/>
                <w:color w:val="auto"/>
              </w:rPr>
            </w:pPr>
          </w:p>
        </w:tc>
        <w:tc>
          <w:tcPr>
            <w:tcW w:w="124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2,846,224</w:t>
            </w:r>
          </w:p>
        </w:tc>
        <w:tc>
          <w:tcPr>
            <w:tcW w:w="280" w:type="dxa"/>
            <w:vAlign w:val="bottom"/>
          </w:tcPr>
          <w:p>
            <w:pPr>
              <w:spacing w:after="0"/>
              <w:rPr>
                <w:sz w:val="22"/>
                <w:szCs w:val="22"/>
                <w:color w:val="auto"/>
              </w:rPr>
            </w:pPr>
          </w:p>
        </w:tc>
        <w:tc>
          <w:tcPr>
            <w:tcW w:w="200" w:type="dxa"/>
            <w:vAlign w:val="bottom"/>
            <w:tcBorders>
              <w:bottom w:val="single" w:sz="8" w:color="auto"/>
            </w:tcBorders>
          </w:tcPr>
          <w:p>
            <w:pPr>
              <w:spacing w:after="0"/>
              <w:rPr>
                <w:sz w:val="22"/>
                <w:szCs w:val="22"/>
                <w:color w:val="auto"/>
              </w:rPr>
            </w:pPr>
          </w:p>
        </w:tc>
        <w:tc>
          <w:tcPr>
            <w:tcW w:w="1200" w:type="dxa"/>
            <w:vAlign w:val="bottom"/>
            <w:tcBorders>
              <w:bottom w:val="single" w:sz="8" w:color="auto"/>
            </w:tcBorders>
          </w:tcPr>
          <w:p>
            <w:pPr>
              <w:jc w:val="right"/>
              <w:spacing w:after="0"/>
              <w:rPr>
                <w:sz w:val="20"/>
                <w:szCs w:val="20"/>
                <w:color w:val="auto"/>
              </w:rPr>
            </w:pPr>
            <w:r>
              <w:rPr>
                <w:rFonts w:ascii="Arial" w:cs="Arial" w:eastAsia="Arial" w:hAnsi="Arial"/>
                <w:sz w:val="18"/>
                <w:szCs w:val="18"/>
                <w:color w:val="auto"/>
              </w:rPr>
              <w:t>3,087,553</w:t>
            </w:r>
          </w:p>
        </w:tc>
        <w:tc>
          <w:tcPr>
            <w:tcW w:w="1720" w:type="dxa"/>
            <w:vAlign w:val="bottom"/>
            <w:gridSpan w:val="3"/>
          </w:tcPr>
          <w:p>
            <w:pPr>
              <w:jc w:val="right"/>
              <w:ind w:right="280"/>
              <w:spacing w:after="0"/>
              <w:rPr>
                <w:sz w:val="20"/>
                <w:szCs w:val="20"/>
                <w:color w:val="auto"/>
              </w:rPr>
            </w:pPr>
            <w:r>
              <w:rPr>
                <w:rFonts w:ascii="Arial" w:cs="Arial" w:eastAsia="Arial" w:hAnsi="Arial"/>
                <w:sz w:val="18"/>
                <w:szCs w:val="18"/>
                <w:color w:val="auto"/>
              </w:rPr>
              <w:t>(8 )</w:t>
            </w:r>
          </w:p>
        </w:tc>
      </w:tr>
      <w:tr>
        <w:trPr>
          <w:trHeight w:val="290"/>
        </w:trPr>
        <w:tc>
          <w:tcPr>
            <w:tcW w:w="6420" w:type="dxa"/>
            <w:vAlign w:val="bottom"/>
            <w:tcBorders>
              <w:bottom w:val="single" w:sz="8" w:color="CFF0FC"/>
            </w:tcBorders>
            <w:shd w:val="clear" w:color="auto" w:fill="CFF0FC"/>
          </w:tcPr>
          <w:p>
            <w:pPr>
              <w:spacing w:after="0"/>
              <w:rPr>
                <w:sz w:val="24"/>
                <w:szCs w:val="24"/>
                <w:color w:val="auto"/>
              </w:rPr>
            </w:pPr>
          </w:p>
        </w:tc>
        <w:tc>
          <w:tcPr>
            <w:tcW w:w="18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w w:val="79"/>
              </w:rPr>
              <w:t>$</w:t>
            </w:r>
          </w:p>
        </w:tc>
        <w:tc>
          <w:tcPr>
            <w:tcW w:w="124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5,389,882</w:t>
            </w:r>
          </w:p>
        </w:tc>
        <w:tc>
          <w:tcPr>
            <w:tcW w:w="280" w:type="dxa"/>
            <w:vAlign w:val="bottom"/>
            <w:tcBorders>
              <w:bottom w:val="single" w:sz="8" w:color="CFF0FC"/>
            </w:tcBorders>
            <w:shd w:val="clear" w:color="auto" w:fill="CFF0FC"/>
          </w:tcPr>
          <w:p>
            <w:pPr>
              <w:spacing w:after="0"/>
              <w:rPr>
                <w:sz w:val="24"/>
                <w:szCs w:val="24"/>
                <w:color w:val="auto"/>
              </w:rPr>
            </w:pPr>
          </w:p>
        </w:tc>
        <w:tc>
          <w:tcPr>
            <w:tcW w:w="200" w:type="dxa"/>
            <w:vAlign w:val="bottom"/>
            <w:tcBorders>
              <w:bottom w:val="single" w:sz="8" w:color="auto"/>
            </w:tcBorders>
            <w:shd w:val="clear" w:color="auto" w:fill="CFF0FC"/>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5,924,174</w:t>
            </w:r>
          </w:p>
        </w:tc>
        <w:tc>
          <w:tcPr>
            <w:tcW w:w="1720" w:type="dxa"/>
            <w:vAlign w:val="bottom"/>
            <w:tcBorders>
              <w:bottom w:val="single" w:sz="8" w:color="CFF0FC"/>
            </w:tcBorders>
            <w:gridSpan w:val="3"/>
            <w:shd w:val="clear" w:color="auto" w:fill="CFF0FC"/>
          </w:tcPr>
          <w:p>
            <w:pPr>
              <w:jc w:val="right"/>
              <w:ind w:right="120"/>
              <w:spacing w:after="0"/>
              <w:rPr>
                <w:sz w:val="20"/>
                <w:szCs w:val="20"/>
                <w:color w:val="auto"/>
              </w:rPr>
            </w:pPr>
            <w:r>
              <w:rPr>
                <w:rFonts w:ascii="Arial" w:cs="Arial" w:eastAsia="Arial" w:hAnsi="Arial"/>
                <w:sz w:val="18"/>
                <w:szCs w:val="18"/>
                <w:color w:val="auto"/>
              </w:rPr>
              <w:t>(9 )%</w:t>
            </w: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4977130</wp:posOffset>
            </wp:positionH>
            <wp:positionV relativeFrom="paragraph">
              <wp:posOffset>-1693545</wp:posOffset>
            </wp:positionV>
            <wp:extent cx="179705" cy="5715"/>
            <wp:wrapNone/>
            <wp:docPr id="375" name="Picture 37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5"/>
                    <pic:cNvPicPr>
                      <a:picLocks noChangeAspect="1" noChangeArrowheads="1"/>
                    </pic:cNvPicPr>
                  </pic:nvPicPr>
                  <pic:blipFill>
                    <a:blip r:embed="rId382">
                      <a:extLst>
                        <a:ext uri="{28A0092B-C50C-407E-A947-70E740481C1C}"/>
                      </a:extLst>
                    </a:blip>
                    <a:srcRect/>
                    <a:stretch>
                      <a:fillRect/>
                    </a:stretch>
                  </pic:blipFill>
                  <pic:spPr bwMode="auto">
                    <a:xfrm>
                      <a:off x="0" y="0"/>
                      <a:ext cx="179705" cy="571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-1693545</wp:posOffset>
            </wp:positionV>
            <wp:extent cx="163195" cy="5715"/>
            <wp:wrapNone/>
            <wp:docPr id="376" name="Picture 37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6"/>
                    <pic:cNvPicPr>
                      <a:picLocks noChangeAspect="1" noChangeArrowheads="1"/>
                    </pic:cNvPicPr>
                  </pic:nvPicPr>
                  <pic:blipFill>
                    <a:blip r:embed="rId383">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-24765</wp:posOffset>
            </wp:positionV>
            <wp:extent cx="179705" cy="8255"/>
            <wp:wrapNone/>
            <wp:docPr id="377" name="Picture 37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7"/>
                    <pic:cNvPicPr>
                      <a:picLocks noChangeAspect="1" noChangeArrowheads="1"/>
                    </pic:cNvPicPr>
                  </pic:nvPicPr>
                  <pic:blipFill>
                    <a:blip r:embed="rId384">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4977130</wp:posOffset>
            </wp:positionH>
            <wp:positionV relativeFrom="paragraph">
              <wp:posOffset>-7620</wp:posOffset>
            </wp:positionV>
            <wp:extent cx="179705" cy="8255"/>
            <wp:wrapNone/>
            <wp:docPr id="378" name="Picture 37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8"/>
                    <pic:cNvPicPr>
                      <a:picLocks noChangeAspect="1" noChangeArrowheads="1"/>
                    </pic:cNvPicPr>
                  </pic:nvPicPr>
                  <pic:blipFill>
                    <a:blip r:embed="rId385">
                      <a:extLst>
                        <a:ext uri="{28A0092B-C50C-407E-A947-70E740481C1C}"/>
                      </a:extLst>
                    </a:blip>
                    <a:srcRect/>
                    <a:stretch>
                      <a:fillRect/>
                    </a:stretch>
                  </pic:blipFill>
                  <pic:spPr bwMode="auto">
                    <a:xfrm>
                      <a:off x="0" y="0"/>
                      <a:ext cx="17970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-24765</wp:posOffset>
            </wp:positionV>
            <wp:extent cx="163195" cy="8255"/>
            <wp:wrapNone/>
            <wp:docPr id="379" name="Picture 37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79"/>
                    <pic:cNvPicPr>
                      <a:picLocks noChangeAspect="1" noChangeArrowheads="1"/>
                    </pic:cNvPicPr>
                  </pic:nvPicPr>
                  <pic:blipFill>
                    <a:blip r:embed="rId386">
                      <a:extLst>
                        <a:ext uri="{28A0092B-C50C-407E-A947-70E740481C1C}"/>
                      </a:extLst>
                    </a:blip>
                    <a:srcRect/>
                    <a:stretch>
                      <a:fillRect/>
                    </a:stretch>
                  </pic:blipFill>
                  <pic:spPr bwMode="auto">
                    <a:xfrm>
                      <a:off x="0" y="0"/>
                      <a:ext cx="163195" cy="8255"/>
                    </a:xfrm>
                    <a:prstGeom prst="rect">
                      <a:avLst/>
                    </a:prstGeom>
                    <a:noFill/>
                  </pic:spPr>
                </pic:pic>
              </a:graphicData>
            </a:graphic>
          </wp:anchor>
        </w:drawing>
        <w:drawing>
          <wp:anchor simplePos="0" relativeHeight="251657728" behindDoc="1" locked="0" layoutInCell="0" allowOverlap="1">
            <wp:simplePos x="0" y="0"/>
            <wp:positionH relativeFrom="column">
              <wp:posOffset>6040120</wp:posOffset>
            </wp:positionH>
            <wp:positionV relativeFrom="paragraph">
              <wp:posOffset>-7620</wp:posOffset>
            </wp:positionV>
            <wp:extent cx="163195" cy="8255"/>
            <wp:wrapNone/>
            <wp:docPr id="380" name="Picture 3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0"/>
                    <pic:cNvPicPr>
                      <a:picLocks noChangeAspect="1" noChangeArrowheads="1"/>
                    </pic:cNvPicPr>
                  </pic:nvPicPr>
                  <pic:blipFill>
                    <a:blip r:embed="rId387">
                      <a:extLst>
                        <a:ext uri="{28A0092B-C50C-407E-A947-70E740481C1C}"/>
                      </a:extLst>
                    </a:blip>
                    <a:srcRect/>
                    <a:stretch>
                      <a:fillRect/>
                    </a:stretch>
                  </pic:blipFill>
                  <pic:spPr bwMode="auto">
                    <a:xfrm>
                      <a:off x="0" y="0"/>
                      <a:ext cx="163195" cy="8255"/>
                    </a:xfrm>
                    <a:prstGeom prst="rect">
                      <a:avLst/>
                    </a:prstGeom>
                    <a:noFill/>
                  </pic:spPr>
                </pic:pic>
              </a:graphicData>
            </a:graphic>
          </wp:anchor>
        </w:drawing>
      </w:r>
    </w:p>
    <w:p>
      <w:pPr>
        <w:spacing w:after="0" w:line="209" w:lineRule="exact"/>
        <w:rPr>
          <w:sz w:val="20"/>
          <w:szCs w:val="20"/>
          <w:color w:val="auto"/>
        </w:rPr>
      </w:pPr>
    </w:p>
    <w:p>
      <w:pPr>
        <w:jc w:val="both"/>
        <w:ind w:firstLine="562"/>
        <w:spacing w:after="0" w:line="292" w:lineRule="auto"/>
        <w:rPr>
          <w:sz w:val="20"/>
          <w:szCs w:val="20"/>
          <w:color w:val="auto"/>
        </w:rPr>
      </w:pPr>
      <w:r>
        <w:rPr>
          <w:rFonts w:ascii="Arial" w:cs="Arial" w:eastAsia="Arial" w:hAnsi="Arial"/>
          <w:sz w:val="17"/>
          <w:szCs w:val="17"/>
          <w:color w:val="auto"/>
        </w:rPr>
        <w:t>Current assets as of September 30, 2021 decreased 7% compared with December 31, 2020. Trade accounts receivable increased 24% primarily due to increased business activity in both the marine transportation and distribution and services segments, during the 2021 third quarter, compared to the 2020 fourth quarter. Other accounts receivable decreased 47%, primarily due to the receipt of a tax refund of $119,493,000, including accrued interest, for the Company’s 2019 federal tax return. Prepaid expenses and other current assets increased 30% primarily due to the increase in the price of diesel fuel and the reclassification of certain coastal marine transportation equipment to held for sale.</w:t>
      </w:r>
    </w:p>
    <w:p>
      <w:pPr>
        <w:spacing w:after="0" w:line="188"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7"/>
          <w:szCs w:val="17"/>
          <w:color w:val="auto"/>
        </w:rPr>
        <w:t>Property and equipment, net of accumulated depreciation, at September 30, 2021 decreased 5% compared with December 31, 2020. The decrease reflected $157,607,000 of depreciation expense, $131,773,000 of property disposals, including the sale of the Hawaii marine transportation equipment, and retirement of underutilized equipment that was reclassified to held for sale, and $15,430,000 of non-cash impairment charges related to coastal marine transportation equipment held and used during the 2021 first nine months, partially offset by $85,517,000 of capital additions (including an increase in accrued capital expenditures of $13,549,000) and $7,470,000 related to the acquisition of four inland tank barges during the 2021 first nine months, more fully described under Cash Flows and Capital Expenditures below.</w:t>
      </w:r>
    </w:p>
    <w:p>
      <w:pPr>
        <w:spacing w:after="0" w:line="189"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Operating lease right-of-use assets as of September 30, 2021 decreased 8% compared to December 31, 2020, primarily due to lease amortization expense and impairment charges, partially offset by new leases acquired during the 2021 first nine months.</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Goodwill, as of September 30, 2021 decreased 33% compared with December 31, 2020, due to a goodwill impairment in the marine transportation segment.</w:t>
      </w:r>
    </w:p>
    <w:p>
      <w:pPr>
        <w:spacing w:after="0" w:line="183"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Other intangibles, net, as of September 30, 2021 decreased 10% compared with December 31, 2020, primarily due to amortization during the 2021 first nine months.</w:t>
      </w:r>
    </w:p>
    <w:p>
      <w:pPr>
        <w:spacing w:after="0" w:line="183"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Other assets as of September 30, 2021 decreased 22% compared with December 31, 2020, primarily due to amortization of drydock expenditures during the 2021 first nine months.</w:t>
      </w:r>
    </w:p>
    <w:p>
      <w:pPr>
        <w:spacing w:after="0" w:line="183" w:lineRule="exact"/>
        <w:rPr>
          <w:sz w:val="20"/>
          <w:szCs w:val="20"/>
          <w:color w:val="auto"/>
        </w:rPr>
      </w:pPr>
    </w:p>
    <w:p>
      <w:pPr>
        <w:jc w:val="both"/>
        <w:ind w:firstLine="569"/>
        <w:spacing w:after="0" w:line="275" w:lineRule="auto"/>
        <w:rPr>
          <w:sz w:val="20"/>
          <w:szCs w:val="20"/>
          <w:color w:val="auto"/>
        </w:rPr>
      </w:pPr>
      <w:r>
        <w:rPr>
          <w:rFonts w:ascii="Arial" w:cs="Arial" w:eastAsia="Arial" w:hAnsi="Arial"/>
          <w:sz w:val="18"/>
          <w:szCs w:val="18"/>
          <w:color w:val="auto"/>
        </w:rPr>
        <w:t>Current liabilities as of September 30, 2021 increased 10% compared with December 31, 2020. Accounts payable increased 12%, primarily due to an increase in accrued capital expenditures. Accrued liabilities increased 2% primarily due to higher accrued property and sales taxes and higher insurance claims, partially offset by the payment of accrued interest. Deferred revenues increased 48%, primarily due to deposits on equipment expected to be shipped in the 2021 fourth quarter and into 2022 in the distribution and services segment.</w:t>
      </w:r>
    </w:p>
    <w:p>
      <w:pPr>
        <w:spacing w:after="0" w:line="145"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29</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1" name="Picture 3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1"/>
                    <pic:cNvPicPr>
                      <a:picLocks noChangeAspect="1" noChangeArrowheads="1"/>
                    </pic:cNvPicPr>
                  </pic:nvPicPr>
                  <pic:blipFill>
                    <a:blip r:embed="rId388">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0" w:name="page31"/>
    <w:bookmarkEnd w:id="30"/>
    <w:p>
      <w:pPr>
        <w:jc w:val="both"/>
        <w:ind w:firstLine="562"/>
        <w:spacing w:after="0" w:line="275" w:lineRule="auto"/>
        <w:rPr>
          <w:sz w:val="20"/>
          <w:szCs w:val="20"/>
          <w:color w:val="auto"/>
        </w:rPr>
      </w:pPr>
      <w:r>
        <w:rPr>
          <w:rFonts w:ascii="Arial" w:cs="Arial" w:eastAsia="Arial" w:hAnsi="Arial"/>
          <w:sz w:val="18"/>
          <w:szCs w:val="18"/>
          <w:color w:val="auto"/>
        </w:rPr>
        <w:t>Long-term debt, net – less current portion, as of September 30, 2021 decreased 18% compared with December 31, 2020, primarily reflecting repayments of $250,000,000 and $15,000,000 under the Revolving Credit Facility and Term Loan, respectively. Net debt discount and deferred issuance costs were $3,807,000 (excluding $1,559,000 attributable to the Revolving Credit Facility included in other assets on the balance sheet) at September 30, 2021 and $6,454,000 at December 31, 2020.</w:t>
      </w:r>
    </w:p>
    <w:p>
      <w:pPr>
        <w:spacing w:after="0" w:line="199" w:lineRule="exact"/>
        <w:rPr>
          <w:sz w:val="20"/>
          <w:szCs w:val="20"/>
          <w:color w:val="auto"/>
        </w:rPr>
      </w:pPr>
    </w:p>
    <w:p>
      <w:pPr>
        <w:jc w:val="both"/>
        <w:ind w:firstLine="562"/>
        <w:spacing w:after="0" w:line="293" w:lineRule="auto"/>
        <w:rPr>
          <w:sz w:val="20"/>
          <w:szCs w:val="20"/>
          <w:color w:val="auto"/>
        </w:rPr>
      </w:pPr>
      <w:r>
        <w:rPr>
          <w:rFonts w:ascii="Arial" w:cs="Arial" w:eastAsia="Arial" w:hAnsi="Arial"/>
          <w:sz w:val="18"/>
          <w:szCs w:val="18"/>
          <w:color w:val="auto"/>
        </w:rPr>
        <w:t>Operating lease liabilities – less current portion, as of September 30, 2021 decreased 7% compared to December 31, 2020, primarily due to lease payments made, partially offset by new leases acquired and liability accretion during the 2021 first nine months.</w:t>
      </w:r>
    </w:p>
    <w:p>
      <w:pPr>
        <w:spacing w:after="0" w:line="183"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Other long-term liabilities as of September 30, 2021 decreased 9% compared with December 31, 2020, primarily due to amortization of intangible liabilities and a decrease in pension liabilities.</w:t>
      </w:r>
    </w:p>
    <w:p>
      <w:pPr>
        <w:spacing w:after="0" w:line="183"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8"/>
          <w:szCs w:val="18"/>
          <w:color w:val="auto"/>
        </w:rPr>
        <w:t>Total equity as of September 30, 2021 decreased 8% compared with December 31, 2020. The decrease was primarily due to the net loss attributable to Kirby of $257,915,000 and tax withholdings of $2,856,000 on restricted stock and RSU vestings, partially offset by amortization of unearned share-based compensation of $12,793,000, each during the 2021 first nine months.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Long-Term Financing</w:t>
      </w:r>
    </w:p>
    <w:p>
      <w:pPr>
        <w:spacing w:after="0" w:line="252" w:lineRule="exact"/>
        <w:rPr>
          <w:sz w:val="20"/>
          <w:szCs w:val="20"/>
          <w:color w:val="auto"/>
        </w:rPr>
      </w:pPr>
    </w:p>
    <w:p>
      <w:pPr>
        <w:ind w:left="560"/>
        <w:spacing w:after="0"/>
        <w:rPr>
          <w:sz w:val="20"/>
          <w:szCs w:val="20"/>
          <w:color w:val="auto"/>
        </w:rPr>
      </w:pPr>
      <w:r>
        <w:rPr>
          <w:rFonts w:ascii="Arial" w:cs="Arial" w:eastAsia="Arial" w:hAnsi="Arial"/>
          <w:sz w:val="18"/>
          <w:szCs w:val="18"/>
          <w:color w:val="auto"/>
        </w:rPr>
        <w:t>The following table summarizes the Company’s outstanding debt (in thousands):</w:t>
      </w:r>
    </w:p>
    <w:p>
      <w:pPr>
        <w:spacing w:after="0" w:line="257" w:lineRule="exact"/>
        <w:rPr>
          <w:sz w:val="20"/>
          <w:szCs w:val="20"/>
          <w:color w:val="auto"/>
        </w:rPr>
      </w:pPr>
    </w:p>
    <w:tbl>
      <w:tblPr>
        <w:tblLayout w:type="fixed"/>
        <w:tblInd w:w="0" w:type="dxa"/>
        <w:tblCellMar>
          <w:top w:w="0" w:type="dxa"/>
          <w:left w:w="0" w:type="dxa"/>
          <w:bottom w:w="0" w:type="dxa"/>
          <w:right w:w="0" w:type="dxa"/>
        </w:tblCellMar>
      </w:tblPr>
      <w:tr>
        <w:trPr>
          <w:trHeight w:val="175"/>
        </w:trPr>
        <w:tc>
          <w:tcPr>
            <w:tcW w:w="8060" w:type="dxa"/>
            <w:vAlign w:val="bottom"/>
          </w:tcPr>
          <w:p>
            <w:pPr>
              <w:spacing w:after="0"/>
              <w:rPr>
                <w:sz w:val="15"/>
                <w:szCs w:val="15"/>
                <w:color w:val="auto"/>
              </w:rPr>
            </w:pPr>
          </w:p>
        </w:tc>
        <w:tc>
          <w:tcPr>
            <w:tcW w:w="200" w:type="dxa"/>
            <w:vAlign w:val="bottom"/>
          </w:tcPr>
          <w:p>
            <w:pPr>
              <w:spacing w:after="0"/>
              <w:rPr>
                <w:sz w:val="15"/>
                <w:szCs w:val="15"/>
                <w:color w:val="auto"/>
              </w:rPr>
            </w:pPr>
          </w:p>
        </w:tc>
        <w:tc>
          <w:tcPr>
            <w:tcW w:w="1480" w:type="dxa"/>
            <w:vAlign w:val="bottom"/>
            <w:gridSpan w:val="2"/>
          </w:tcPr>
          <w:p>
            <w:pPr>
              <w:jc w:val="right"/>
              <w:ind w:right="520"/>
              <w:spacing w:after="0"/>
              <w:rPr>
                <w:sz w:val="20"/>
                <w:szCs w:val="20"/>
                <w:color w:val="auto"/>
              </w:rPr>
            </w:pPr>
            <w:r>
              <w:rPr>
                <w:rFonts w:ascii="Arial" w:cs="Arial" w:eastAsia="Arial" w:hAnsi="Arial"/>
                <w:sz w:val="14"/>
                <w:szCs w:val="14"/>
                <w:b w:val="1"/>
                <w:bCs w:val="1"/>
                <w:color w:val="auto"/>
                <w:w w:val="98"/>
              </w:rPr>
              <w:t>September 30,</w:t>
            </w:r>
          </w:p>
        </w:tc>
        <w:tc>
          <w:tcPr>
            <w:tcW w:w="200" w:type="dxa"/>
            <w:vAlign w:val="bottom"/>
          </w:tcPr>
          <w:p>
            <w:pPr>
              <w:spacing w:after="0"/>
              <w:rPr>
                <w:sz w:val="15"/>
                <w:szCs w:val="15"/>
                <w:color w:val="auto"/>
              </w:rPr>
            </w:pPr>
          </w:p>
        </w:tc>
        <w:tc>
          <w:tcPr>
            <w:tcW w:w="1300" w:type="dxa"/>
            <w:vAlign w:val="bottom"/>
            <w:gridSpan w:val="2"/>
          </w:tcPr>
          <w:p>
            <w:pPr>
              <w:jc w:val="right"/>
              <w:ind w:right="380"/>
              <w:spacing w:after="0"/>
              <w:rPr>
                <w:sz w:val="20"/>
                <w:szCs w:val="20"/>
                <w:color w:val="auto"/>
              </w:rPr>
            </w:pPr>
            <w:r>
              <w:rPr>
                <w:rFonts w:ascii="Arial" w:cs="Arial" w:eastAsia="Arial" w:hAnsi="Arial"/>
                <w:sz w:val="14"/>
                <w:szCs w:val="14"/>
                <w:b w:val="1"/>
                <w:bCs w:val="1"/>
                <w:color w:val="auto"/>
                <w:w w:val="98"/>
              </w:rPr>
              <w:t>December 31,</w:t>
            </w:r>
          </w:p>
        </w:tc>
      </w:tr>
      <w:tr>
        <w:trPr>
          <w:trHeight w:val="192"/>
        </w:trPr>
        <w:tc>
          <w:tcPr>
            <w:tcW w:w="80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2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2021</w:t>
            </w:r>
          </w:p>
        </w:tc>
        <w:tc>
          <w:tcPr>
            <w:tcW w:w="260" w:type="dxa"/>
            <w:vAlign w:val="bottom"/>
          </w:tcPr>
          <w:p>
            <w:pPr>
              <w:spacing w:after="0"/>
              <w:rPr>
                <w:sz w:val="16"/>
                <w:szCs w:val="16"/>
                <w:color w:val="auto"/>
              </w:rPr>
            </w:pPr>
          </w:p>
        </w:tc>
        <w:tc>
          <w:tcPr>
            <w:tcW w:w="200" w:type="dxa"/>
            <w:vAlign w:val="bottom"/>
            <w:tcBorders>
              <w:bottom w:val="single" w:sz="8" w:color="auto"/>
            </w:tcBorders>
          </w:tcPr>
          <w:p>
            <w:pPr>
              <w:spacing w:after="0"/>
              <w:rPr>
                <w:sz w:val="16"/>
                <w:szCs w:val="16"/>
                <w:color w:val="auto"/>
              </w:rPr>
            </w:pPr>
          </w:p>
        </w:tc>
        <w:tc>
          <w:tcPr>
            <w:tcW w:w="1200" w:type="dxa"/>
            <w:vAlign w:val="bottom"/>
            <w:tcBorders>
              <w:bottom w:val="single" w:sz="8" w:color="auto"/>
            </w:tcBorders>
          </w:tcPr>
          <w:p>
            <w:pPr>
              <w:jc w:val="right"/>
              <w:ind w:right="473"/>
              <w:spacing w:after="0"/>
              <w:rPr>
                <w:sz w:val="20"/>
                <w:szCs w:val="20"/>
                <w:color w:val="auto"/>
              </w:rPr>
            </w:pPr>
            <w:r>
              <w:rPr>
                <w:rFonts w:ascii="Arial" w:cs="Arial" w:eastAsia="Arial" w:hAnsi="Arial"/>
                <w:sz w:val="14"/>
                <w:szCs w:val="14"/>
                <w:b w:val="1"/>
                <w:bCs w:val="1"/>
                <w:color w:val="auto"/>
              </w:rPr>
              <w:t>2020</w:t>
            </w:r>
          </w:p>
        </w:tc>
        <w:tc>
          <w:tcPr>
            <w:tcW w:w="100" w:type="dxa"/>
            <w:vAlign w:val="bottom"/>
          </w:tcPr>
          <w:p>
            <w:pPr>
              <w:spacing w:after="0"/>
              <w:rPr>
                <w:sz w:val="16"/>
                <w:szCs w:val="16"/>
                <w:color w:val="auto"/>
              </w:rPr>
            </w:pPr>
          </w:p>
        </w:tc>
      </w:tr>
      <w:tr>
        <w:trPr>
          <w:trHeight w:val="256"/>
        </w:trPr>
        <w:tc>
          <w:tcPr>
            <w:tcW w:w="8060" w:type="dxa"/>
            <w:vAlign w:val="bottom"/>
            <w:shd w:val="clear" w:color="auto" w:fill="CFF0FC"/>
          </w:tcPr>
          <w:p>
            <w:pPr>
              <w:ind w:left="20"/>
              <w:spacing w:after="0"/>
              <w:rPr>
                <w:sz w:val="20"/>
                <w:szCs w:val="20"/>
                <w:color w:val="auto"/>
              </w:rPr>
            </w:pPr>
            <w:r>
              <w:rPr>
                <w:rFonts w:ascii="Arial" w:cs="Arial" w:eastAsia="Arial" w:hAnsi="Arial"/>
                <w:sz w:val="18"/>
                <w:szCs w:val="18"/>
                <w:color w:val="auto"/>
              </w:rPr>
              <w:t>Long-term debt, including current portion:</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spacing w:after="0"/>
              <w:rPr>
                <w:sz w:val="22"/>
                <w:szCs w:val="22"/>
                <w:color w:val="auto"/>
              </w:rPr>
            </w:pP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spacing w:after="0"/>
              <w:rPr>
                <w:sz w:val="22"/>
                <w:szCs w:val="22"/>
                <w:color w:val="auto"/>
              </w:rPr>
            </w:pP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Revolving Credit Facility due March 27, 2024 (a)</w:t>
            </w:r>
          </w:p>
        </w:tc>
        <w:tc>
          <w:tcPr>
            <w:tcW w:w="200" w:type="dxa"/>
            <w:vAlign w:val="bottom"/>
          </w:tcPr>
          <w:p>
            <w:pPr>
              <w:jc w:val="right"/>
              <w:spacing w:after="0"/>
              <w:rPr>
                <w:sz w:val="20"/>
                <w:szCs w:val="20"/>
                <w:color w:val="auto"/>
              </w:rPr>
            </w:pPr>
            <w:r>
              <w:rPr>
                <w:rFonts w:ascii="Arial" w:cs="Arial" w:eastAsia="Arial" w:hAnsi="Arial"/>
                <w:sz w:val="18"/>
                <w:szCs w:val="18"/>
                <w:color w:val="auto"/>
                <w:w w:val="99"/>
              </w:rPr>
              <w:t>$</w:t>
            </w: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Pr>
          <w:p>
            <w:pPr>
              <w:jc w:val="right"/>
              <w:spacing w:after="0"/>
              <w:rPr>
                <w:sz w:val="20"/>
                <w:szCs w:val="20"/>
                <w:color w:val="auto"/>
              </w:rPr>
            </w:pPr>
            <w:r>
              <w:rPr>
                <w:rFonts w:ascii="Arial" w:cs="Arial" w:eastAsia="Arial" w:hAnsi="Arial"/>
                <w:sz w:val="18"/>
                <w:szCs w:val="18"/>
                <w:color w:val="auto"/>
              </w:rPr>
              <w:t>250,000</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Term Loan due March 27, 2024 (a)</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360,000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375,000</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3.29% senior notes due February 27, 2023</w:t>
            </w: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350,000</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350,000</w:t>
            </w:r>
          </w:p>
        </w:tc>
        <w:tc>
          <w:tcPr>
            <w:tcW w:w="100" w:type="dxa"/>
            <w:vAlign w:val="bottom"/>
          </w:tcPr>
          <w:p>
            <w:pPr>
              <w:spacing w:after="0"/>
              <w:rPr>
                <w:sz w:val="21"/>
                <w:szCs w:val="21"/>
                <w:color w:val="auto"/>
              </w:rPr>
            </w:pPr>
          </w:p>
        </w:tc>
      </w:tr>
      <w:tr>
        <w:trPr>
          <w:trHeight w:val="263"/>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4.2% senior notes due March 1, 2028</w:t>
            </w:r>
          </w:p>
        </w:tc>
        <w:tc>
          <w:tcPr>
            <w:tcW w:w="200" w:type="dxa"/>
            <w:vAlign w:val="bottom"/>
            <w:shd w:val="clear" w:color="auto" w:fill="CFF0FC"/>
          </w:tcPr>
          <w:p>
            <w:pPr>
              <w:spacing w:after="0"/>
              <w:rPr>
                <w:sz w:val="22"/>
                <w:szCs w:val="22"/>
                <w:color w:val="auto"/>
              </w:rPr>
            </w:pPr>
          </w:p>
        </w:tc>
        <w:tc>
          <w:tcPr>
            <w:tcW w:w="122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260" w:type="dxa"/>
            <w:vAlign w:val="bottom"/>
            <w:shd w:val="clear" w:color="auto" w:fill="CFF0FC"/>
          </w:tcPr>
          <w:p>
            <w:pPr>
              <w:spacing w:after="0"/>
              <w:rPr>
                <w:sz w:val="22"/>
                <w:szCs w:val="22"/>
                <w:color w:val="auto"/>
              </w:rPr>
            </w:pPr>
          </w:p>
        </w:tc>
        <w:tc>
          <w:tcPr>
            <w:tcW w:w="200" w:type="dxa"/>
            <w:vAlign w:val="bottom"/>
            <w:shd w:val="clear" w:color="auto" w:fill="CFF0FC"/>
          </w:tcPr>
          <w:p>
            <w:pPr>
              <w:spacing w:after="0"/>
              <w:rPr>
                <w:sz w:val="22"/>
                <w:szCs w:val="22"/>
                <w:color w:val="auto"/>
              </w:rPr>
            </w:pPr>
          </w:p>
        </w:tc>
        <w:tc>
          <w:tcPr>
            <w:tcW w:w="1200" w:type="dxa"/>
            <w:vAlign w:val="bottom"/>
            <w:shd w:val="clear" w:color="auto" w:fill="CFF0FC"/>
          </w:tcPr>
          <w:p>
            <w:pPr>
              <w:jc w:val="right"/>
              <w:spacing w:after="0"/>
              <w:rPr>
                <w:sz w:val="20"/>
                <w:szCs w:val="20"/>
                <w:color w:val="auto"/>
              </w:rPr>
            </w:pPr>
            <w:r>
              <w:rPr>
                <w:rFonts w:ascii="Arial" w:cs="Arial" w:eastAsia="Arial" w:hAnsi="Arial"/>
                <w:sz w:val="18"/>
                <w:szCs w:val="18"/>
                <w:color w:val="auto"/>
              </w:rPr>
              <w:t>500,000</w:t>
            </w:r>
          </w:p>
        </w:tc>
        <w:tc>
          <w:tcPr>
            <w:tcW w:w="100" w:type="dxa"/>
            <w:vAlign w:val="bottom"/>
            <w:shd w:val="clear" w:color="auto" w:fill="CFF0FC"/>
          </w:tcPr>
          <w:p>
            <w:pPr>
              <w:spacing w:after="0"/>
              <w:rPr>
                <w:sz w:val="22"/>
                <w:szCs w:val="22"/>
                <w:color w:val="auto"/>
              </w:rPr>
            </w:pPr>
          </w:p>
        </w:tc>
      </w:tr>
      <w:tr>
        <w:trPr>
          <w:trHeight w:val="250"/>
        </w:trPr>
        <w:tc>
          <w:tcPr>
            <w:tcW w:w="8060" w:type="dxa"/>
            <w:vAlign w:val="bottom"/>
          </w:tcPr>
          <w:p>
            <w:pPr>
              <w:ind w:left="200"/>
              <w:spacing w:after="0"/>
              <w:rPr>
                <w:sz w:val="20"/>
                <w:szCs w:val="20"/>
                <w:color w:val="auto"/>
              </w:rPr>
            </w:pPr>
            <w:r>
              <w:rPr>
                <w:rFonts w:ascii="Arial" w:cs="Arial" w:eastAsia="Arial" w:hAnsi="Arial"/>
                <w:sz w:val="18"/>
                <w:szCs w:val="18"/>
                <w:color w:val="auto"/>
              </w:rPr>
              <w:t>Credit line due June 30, 2022</w:t>
            </w:r>
          </w:p>
        </w:tc>
        <w:tc>
          <w:tcPr>
            <w:tcW w:w="200" w:type="dxa"/>
            <w:vAlign w:val="bottom"/>
          </w:tcPr>
          <w:p>
            <w:pPr>
              <w:spacing w:after="0"/>
              <w:rPr>
                <w:sz w:val="21"/>
                <w:szCs w:val="21"/>
                <w:color w:val="auto"/>
              </w:rPr>
            </w:pPr>
          </w:p>
        </w:tc>
        <w:tc>
          <w:tcPr>
            <w:tcW w:w="1480" w:type="dxa"/>
            <w:vAlign w:val="bottom"/>
            <w:gridSpan w:val="2"/>
          </w:tcPr>
          <w:p>
            <w:pPr>
              <w:jc w:val="right"/>
              <w:ind w:right="260"/>
              <w:spacing w:after="0"/>
              <w:rPr>
                <w:sz w:val="20"/>
                <w:szCs w:val="20"/>
                <w:color w:val="auto"/>
              </w:rPr>
            </w:pPr>
            <w:r>
              <w:rPr>
                <w:rFonts w:ascii="Arial" w:cs="Arial" w:eastAsia="Arial" w:hAnsi="Arial"/>
                <w:sz w:val="18"/>
                <w:szCs w:val="18"/>
                <w:color w:val="auto"/>
              </w:rPr>
              <w:t>—</w:t>
            </w:r>
          </w:p>
        </w:tc>
        <w:tc>
          <w:tcPr>
            <w:tcW w:w="200" w:type="dxa"/>
            <w:vAlign w:val="bottom"/>
          </w:tcPr>
          <w:p>
            <w:pPr>
              <w:spacing w:after="0"/>
              <w:rPr>
                <w:sz w:val="21"/>
                <w:szCs w:val="21"/>
                <w:color w:val="auto"/>
              </w:rPr>
            </w:pPr>
          </w:p>
        </w:tc>
        <w:tc>
          <w:tcPr>
            <w:tcW w:w="1300" w:type="dxa"/>
            <w:vAlign w:val="bottom"/>
            <w:gridSpan w:val="2"/>
          </w:tcPr>
          <w:p>
            <w:pPr>
              <w:jc w:val="right"/>
              <w:ind w:right="120"/>
              <w:spacing w:after="0"/>
              <w:rPr>
                <w:sz w:val="20"/>
                <w:szCs w:val="20"/>
                <w:color w:val="auto"/>
              </w:rPr>
            </w:pPr>
            <w:r>
              <w:rPr>
                <w:rFonts w:ascii="Arial" w:cs="Arial" w:eastAsia="Arial" w:hAnsi="Arial"/>
                <w:sz w:val="18"/>
                <w:szCs w:val="18"/>
                <w:color w:val="auto"/>
              </w:rPr>
              <w:t>—</w:t>
            </w:r>
          </w:p>
        </w:tc>
      </w:tr>
      <w:tr>
        <w:trPr>
          <w:trHeight w:val="257"/>
        </w:trPr>
        <w:tc>
          <w:tcPr>
            <w:tcW w:w="8060" w:type="dxa"/>
            <w:vAlign w:val="bottom"/>
            <w:tcBorders>
              <w:bottom w:val="single" w:sz="8" w:color="CFF0FC"/>
            </w:tcBorders>
            <w:shd w:val="clear" w:color="auto" w:fill="CFF0FC"/>
          </w:tcPr>
          <w:p>
            <w:pPr>
              <w:ind w:left="200"/>
              <w:spacing w:after="0"/>
              <w:rPr>
                <w:sz w:val="20"/>
                <w:szCs w:val="20"/>
                <w:color w:val="auto"/>
              </w:rPr>
            </w:pPr>
            <w:r>
              <w:rPr>
                <w:rFonts w:ascii="Arial" w:cs="Arial" w:eastAsia="Arial" w:hAnsi="Arial"/>
                <w:sz w:val="18"/>
                <w:szCs w:val="18"/>
                <w:color w:val="auto"/>
              </w:rPr>
              <w:t>Bank notes payable</w:t>
            </w:r>
          </w:p>
        </w:tc>
        <w:tc>
          <w:tcPr>
            <w:tcW w:w="200" w:type="dxa"/>
            <w:vAlign w:val="bottom"/>
            <w:tcBorders>
              <w:bottom w:val="single" w:sz="8" w:color="auto"/>
            </w:tcBorders>
            <w:shd w:val="clear" w:color="auto" w:fill="CFF0FC"/>
          </w:tcPr>
          <w:p>
            <w:pPr>
              <w:spacing w:after="0"/>
              <w:rPr>
                <w:sz w:val="22"/>
                <w:szCs w:val="22"/>
                <w:color w:val="auto"/>
              </w:rPr>
            </w:pPr>
          </w:p>
        </w:tc>
        <w:tc>
          <w:tcPr>
            <w:tcW w:w="122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1,983</w:t>
            </w:r>
          </w:p>
        </w:tc>
        <w:tc>
          <w:tcPr>
            <w:tcW w:w="260" w:type="dxa"/>
            <w:vAlign w:val="bottom"/>
            <w:tcBorders>
              <w:bottom w:val="single" w:sz="8" w:color="CFF0FC"/>
            </w:tcBorders>
            <w:shd w:val="clear" w:color="auto" w:fill="CFF0FC"/>
          </w:tcPr>
          <w:p>
            <w:pPr>
              <w:spacing w:after="0"/>
              <w:rPr>
                <w:sz w:val="22"/>
                <w:szCs w:val="22"/>
                <w:color w:val="auto"/>
              </w:rPr>
            </w:pPr>
          </w:p>
        </w:tc>
        <w:tc>
          <w:tcPr>
            <w:tcW w:w="200" w:type="dxa"/>
            <w:vAlign w:val="bottom"/>
            <w:tcBorders>
              <w:bottom w:val="single" w:sz="8" w:color="auto"/>
            </w:tcBorders>
            <w:shd w:val="clear" w:color="auto" w:fill="CFF0FC"/>
          </w:tcPr>
          <w:p>
            <w:pPr>
              <w:spacing w:after="0"/>
              <w:rPr>
                <w:sz w:val="22"/>
                <w:szCs w:val="22"/>
                <w:color w:val="auto"/>
              </w:rPr>
            </w:pPr>
          </w:p>
        </w:tc>
        <w:tc>
          <w:tcPr>
            <w:tcW w:w="1200" w:type="dxa"/>
            <w:vAlign w:val="bottom"/>
            <w:tcBorders>
              <w:bottom w:val="single" w:sz="8" w:color="auto"/>
            </w:tcBorders>
            <w:shd w:val="clear" w:color="auto" w:fill="CFF0FC"/>
          </w:tcPr>
          <w:p>
            <w:pPr>
              <w:jc w:val="right"/>
              <w:spacing w:after="0"/>
              <w:rPr>
                <w:sz w:val="20"/>
                <w:szCs w:val="20"/>
                <w:color w:val="auto"/>
              </w:rPr>
            </w:pPr>
            <w:r>
              <w:rPr>
                <w:rFonts w:ascii="Arial" w:cs="Arial" w:eastAsia="Arial" w:hAnsi="Arial"/>
                <w:sz w:val="18"/>
                <w:szCs w:val="18"/>
                <w:color w:val="auto"/>
              </w:rPr>
              <w:t>40</w:t>
            </w:r>
          </w:p>
        </w:tc>
        <w:tc>
          <w:tcPr>
            <w:tcW w:w="100" w:type="dxa"/>
            <w:vAlign w:val="bottom"/>
            <w:tcBorders>
              <w:bottom w:val="single" w:sz="8" w:color="CFF0FC"/>
            </w:tcBorders>
            <w:shd w:val="clear" w:color="auto" w:fill="CFF0FC"/>
          </w:tcPr>
          <w:p>
            <w:pPr>
              <w:spacing w:after="0"/>
              <w:rPr>
                <w:sz w:val="22"/>
                <w:szCs w:val="22"/>
                <w:color w:val="auto"/>
              </w:rPr>
            </w:pPr>
          </w:p>
        </w:tc>
      </w:tr>
      <w:tr>
        <w:trPr>
          <w:trHeight w:val="250"/>
        </w:trPr>
        <w:tc>
          <w:tcPr>
            <w:tcW w:w="80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20" w:type="dxa"/>
            <w:vAlign w:val="bottom"/>
          </w:tcPr>
          <w:p>
            <w:pPr>
              <w:jc w:val="right"/>
              <w:spacing w:after="0"/>
              <w:rPr>
                <w:sz w:val="20"/>
                <w:szCs w:val="20"/>
                <w:color w:val="auto"/>
              </w:rPr>
            </w:pPr>
            <w:r>
              <w:rPr>
                <w:rFonts w:ascii="Arial" w:cs="Arial" w:eastAsia="Arial" w:hAnsi="Arial"/>
                <w:sz w:val="18"/>
                <w:szCs w:val="18"/>
                <w:color w:val="auto"/>
              </w:rPr>
              <w:t>1,211,983</w:t>
            </w:r>
          </w:p>
        </w:tc>
        <w:tc>
          <w:tcPr>
            <w:tcW w:w="260" w:type="dxa"/>
            <w:vAlign w:val="bottom"/>
          </w:tcPr>
          <w:p>
            <w:pPr>
              <w:spacing w:after="0"/>
              <w:rPr>
                <w:sz w:val="21"/>
                <w:szCs w:val="21"/>
                <w:color w:val="auto"/>
              </w:rPr>
            </w:pPr>
          </w:p>
        </w:tc>
        <w:tc>
          <w:tcPr>
            <w:tcW w:w="200" w:type="dxa"/>
            <w:vAlign w:val="bottom"/>
          </w:tcPr>
          <w:p>
            <w:pPr>
              <w:spacing w:after="0"/>
              <w:rPr>
                <w:sz w:val="21"/>
                <w:szCs w:val="21"/>
                <w:color w:val="auto"/>
              </w:rPr>
            </w:pPr>
          </w:p>
        </w:tc>
        <w:tc>
          <w:tcPr>
            <w:tcW w:w="1200" w:type="dxa"/>
            <w:vAlign w:val="bottom"/>
          </w:tcPr>
          <w:p>
            <w:pPr>
              <w:jc w:val="right"/>
              <w:spacing w:after="0"/>
              <w:rPr>
                <w:sz w:val="20"/>
                <w:szCs w:val="20"/>
                <w:color w:val="auto"/>
              </w:rPr>
            </w:pPr>
            <w:r>
              <w:rPr>
                <w:rFonts w:ascii="Arial" w:cs="Arial" w:eastAsia="Arial" w:hAnsi="Arial"/>
                <w:sz w:val="18"/>
                <w:szCs w:val="18"/>
                <w:color w:val="auto"/>
              </w:rPr>
              <w:t>1,475,040</w:t>
            </w:r>
          </w:p>
        </w:tc>
        <w:tc>
          <w:tcPr>
            <w:tcW w:w="100" w:type="dxa"/>
            <w:vAlign w:val="bottom"/>
          </w:tcPr>
          <w:p>
            <w:pPr>
              <w:spacing w:after="0"/>
              <w:rPr>
                <w:sz w:val="21"/>
                <w:szCs w:val="21"/>
                <w:color w:val="auto"/>
              </w:rPr>
            </w:pPr>
          </w:p>
        </w:tc>
      </w:tr>
      <w:tr>
        <w:trPr>
          <w:trHeight w:val="257"/>
        </w:trPr>
        <w:tc>
          <w:tcPr>
            <w:tcW w:w="8060" w:type="dxa"/>
            <w:vAlign w:val="bottom"/>
            <w:shd w:val="clear" w:color="auto" w:fill="CFF0FC"/>
          </w:tcPr>
          <w:p>
            <w:pPr>
              <w:ind w:left="200"/>
              <w:spacing w:after="0"/>
              <w:rPr>
                <w:sz w:val="20"/>
                <w:szCs w:val="20"/>
                <w:color w:val="auto"/>
              </w:rPr>
            </w:pPr>
            <w:r>
              <w:rPr>
                <w:rFonts w:ascii="Arial" w:cs="Arial" w:eastAsia="Arial" w:hAnsi="Arial"/>
                <w:sz w:val="18"/>
                <w:szCs w:val="18"/>
                <w:color w:val="auto"/>
              </w:rPr>
              <w:t>Unamortized debt discounts and issuance costs (b)</w:t>
            </w:r>
          </w:p>
        </w:tc>
        <w:tc>
          <w:tcPr>
            <w:tcW w:w="200" w:type="dxa"/>
            <w:vAlign w:val="bottom"/>
            <w:shd w:val="clear" w:color="auto" w:fill="CFF0FC"/>
          </w:tcPr>
          <w:p>
            <w:pPr>
              <w:spacing w:after="0"/>
              <w:rPr>
                <w:sz w:val="22"/>
                <w:szCs w:val="22"/>
                <w:color w:val="auto"/>
              </w:rPr>
            </w:pPr>
          </w:p>
        </w:tc>
        <w:tc>
          <w:tcPr>
            <w:tcW w:w="1480" w:type="dxa"/>
            <w:vAlign w:val="bottom"/>
            <w:gridSpan w:val="2"/>
            <w:shd w:val="clear" w:color="auto" w:fill="CFF0FC"/>
          </w:tcPr>
          <w:p>
            <w:pPr>
              <w:jc w:val="right"/>
              <w:ind w:right="180"/>
              <w:spacing w:after="0"/>
              <w:rPr>
                <w:sz w:val="20"/>
                <w:szCs w:val="20"/>
                <w:color w:val="auto"/>
              </w:rPr>
            </w:pPr>
            <w:r>
              <w:rPr>
                <w:rFonts w:ascii="Arial" w:cs="Arial" w:eastAsia="Arial" w:hAnsi="Arial"/>
                <w:sz w:val="18"/>
                <w:szCs w:val="18"/>
                <w:color w:val="auto"/>
              </w:rPr>
              <w:t>(3,807 )</w:t>
            </w:r>
          </w:p>
        </w:tc>
        <w:tc>
          <w:tcPr>
            <w:tcW w:w="200" w:type="dxa"/>
            <w:vAlign w:val="bottom"/>
            <w:shd w:val="clear" w:color="auto" w:fill="CFF0FC"/>
          </w:tcPr>
          <w:p>
            <w:pPr>
              <w:spacing w:after="0"/>
              <w:rPr>
                <w:sz w:val="22"/>
                <w:szCs w:val="22"/>
                <w:color w:val="auto"/>
              </w:rPr>
            </w:pPr>
          </w:p>
        </w:tc>
        <w:tc>
          <w:tcPr>
            <w:tcW w:w="1300" w:type="dxa"/>
            <w:vAlign w:val="bottom"/>
            <w:gridSpan w:val="2"/>
            <w:shd w:val="clear" w:color="auto" w:fill="CFF0FC"/>
          </w:tcPr>
          <w:p>
            <w:pPr>
              <w:jc w:val="right"/>
              <w:ind w:right="40"/>
              <w:spacing w:after="0"/>
              <w:rPr>
                <w:sz w:val="20"/>
                <w:szCs w:val="20"/>
                <w:color w:val="auto"/>
              </w:rPr>
            </w:pPr>
            <w:r>
              <w:rPr>
                <w:rFonts w:ascii="Arial" w:cs="Arial" w:eastAsia="Arial" w:hAnsi="Arial"/>
                <w:sz w:val="18"/>
                <w:szCs w:val="18"/>
                <w:color w:val="auto"/>
              </w:rPr>
              <w:t>(6,454 )</w:t>
            </w:r>
          </w:p>
        </w:tc>
      </w:tr>
      <w:tr>
        <w:trPr>
          <w:trHeight w:val="250"/>
        </w:trPr>
        <w:tc>
          <w:tcPr>
            <w:tcW w:w="80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w w:val="99"/>
              </w:rPr>
              <w:t>$</w:t>
            </w:r>
          </w:p>
        </w:tc>
        <w:tc>
          <w:tcPr>
            <w:tcW w:w="122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1,208,176</w:t>
            </w:r>
          </w:p>
        </w:tc>
        <w:tc>
          <w:tcPr>
            <w:tcW w:w="260" w:type="dxa"/>
            <w:vAlign w:val="bottom"/>
            <w:tcBorders>
              <w:top w:val="single" w:sz="8" w:color="CFF0FC"/>
            </w:tcBorders>
          </w:tcPr>
          <w:p>
            <w:pPr>
              <w:spacing w:after="0"/>
              <w:rPr>
                <w:sz w:val="21"/>
                <w:szCs w:val="21"/>
                <w:color w:val="auto"/>
              </w:rPr>
            </w:pPr>
          </w:p>
        </w:tc>
        <w:tc>
          <w:tcPr>
            <w:tcW w:w="200" w:type="dxa"/>
            <w:vAlign w:val="bottom"/>
            <w:tcBorders>
              <w:top w:val="single" w:sz="8" w:color="auto"/>
              <w:bottom w:val="single" w:sz="8" w:color="auto"/>
            </w:tcBorders>
          </w:tcPr>
          <w:p>
            <w:pPr>
              <w:jc w:val="right"/>
              <w:ind w:right="10"/>
              <w:spacing w:after="0"/>
              <w:rPr>
                <w:sz w:val="20"/>
                <w:szCs w:val="20"/>
                <w:color w:val="auto"/>
              </w:rPr>
            </w:pPr>
            <w:r>
              <w:rPr>
                <w:rFonts w:ascii="Arial" w:cs="Arial" w:eastAsia="Arial" w:hAnsi="Arial"/>
                <w:sz w:val="18"/>
                <w:szCs w:val="18"/>
                <w:color w:val="auto"/>
                <w:w w:val="79"/>
              </w:rPr>
              <w:t>$</w:t>
            </w:r>
          </w:p>
        </w:tc>
        <w:tc>
          <w:tcPr>
            <w:tcW w:w="1200" w:type="dxa"/>
            <w:vAlign w:val="bottom"/>
            <w:tcBorders>
              <w:top w:val="single" w:sz="8" w:color="auto"/>
              <w:bottom w:val="single" w:sz="8" w:color="auto"/>
            </w:tcBorders>
          </w:tcPr>
          <w:p>
            <w:pPr>
              <w:jc w:val="right"/>
              <w:spacing w:after="0"/>
              <w:rPr>
                <w:sz w:val="20"/>
                <w:szCs w:val="20"/>
                <w:color w:val="auto"/>
              </w:rPr>
            </w:pPr>
            <w:r>
              <w:rPr>
                <w:rFonts w:ascii="Arial" w:cs="Arial" w:eastAsia="Arial" w:hAnsi="Arial"/>
                <w:sz w:val="18"/>
                <w:szCs w:val="18"/>
                <w:color w:val="auto"/>
              </w:rPr>
              <w:t>1,468,586</w:t>
            </w:r>
          </w:p>
        </w:tc>
        <w:tc>
          <w:tcPr>
            <w:tcW w:w="100" w:type="dxa"/>
            <w:vAlign w:val="bottom"/>
            <w:tcBorders>
              <w:top w:val="single" w:sz="8" w:color="CFF0FC"/>
            </w:tcBorders>
          </w:tcPr>
          <w:p>
            <w:pPr>
              <w:spacing w:after="0"/>
              <w:rPr>
                <w:sz w:val="21"/>
                <w:szCs w:val="21"/>
                <w:color w:val="auto"/>
              </w:rPr>
            </w:pPr>
          </w:p>
        </w:tc>
      </w:tr>
      <w:tr>
        <w:trPr>
          <w:trHeight w:val="20"/>
        </w:trPr>
        <w:tc>
          <w:tcPr>
            <w:tcW w:w="80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20" w:type="dxa"/>
            <w:vAlign w:val="bottom"/>
            <w:tcBorders>
              <w:bottom w:val="single" w:sz="8" w:color="auto"/>
            </w:tcBorders>
          </w:tcPr>
          <w:p>
            <w:pPr>
              <w:spacing w:after="0" w:line="20" w:lineRule="exact"/>
              <w:rPr>
                <w:sz w:val="1"/>
                <w:szCs w:val="1"/>
                <w:color w:val="auto"/>
              </w:rPr>
            </w:pPr>
          </w:p>
        </w:tc>
        <w:tc>
          <w:tcPr>
            <w:tcW w:w="260" w:type="dxa"/>
            <w:vAlign w:val="bottom"/>
          </w:tcPr>
          <w:p>
            <w:pPr>
              <w:spacing w:after="0" w:line="20" w:lineRule="exact"/>
              <w:rPr>
                <w:sz w:val="1"/>
                <w:szCs w:val="1"/>
                <w:color w:val="auto"/>
              </w:rPr>
            </w:pPr>
          </w:p>
        </w:tc>
        <w:tc>
          <w:tcPr>
            <w:tcW w:w="200" w:type="dxa"/>
            <w:vAlign w:val="bottom"/>
            <w:tcBorders>
              <w:bottom w:val="single" w:sz="8" w:color="auto"/>
            </w:tcBorders>
          </w:tcPr>
          <w:p>
            <w:pPr>
              <w:spacing w:after="0" w:line="20" w:lineRule="exact"/>
              <w:rPr>
                <w:sz w:val="1"/>
                <w:szCs w:val="1"/>
                <w:color w:val="auto"/>
              </w:rPr>
            </w:pPr>
          </w:p>
        </w:tc>
        <w:tc>
          <w:tcPr>
            <w:tcW w:w="1200" w:type="dxa"/>
            <w:vAlign w:val="bottom"/>
            <w:tcBorders>
              <w:bottom w:val="single" w:sz="8" w:color="auto"/>
            </w:tcBorders>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6022975</wp:posOffset>
            </wp:positionH>
            <wp:positionV relativeFrom="paragraph">
              <wp:posOffset>-527685</wp:posOffset>
            </wp:positionV>
            <wp:extent cx="163195" cy="5715"/>
            <wp:wrapNone/>
            <wp:docPr id="382" name="Picture 38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2"/>
                    <pic:cNvPicPr>
                      <a:picLocks noChangeAspect="1" noChangeArrowheads="1"/>
                    </pic:cNvPicPr>
                  </pic:nvPicPr>
                  <pic:blipFill>
                    <a:blip r:embed="rId389">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-527685</wp:posOffset>
            </wp:positionV>
            <wp:extent cx="68580" cy="5715"/>
            <wp:wrapNone/>
            <wp:docPr id="383" name="Picture 38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3"/>
                    <pic:cNvPicPr>
                      <a:picLocks noChangeAspect="1" noChangeArrowheads="1"/>
                    </pic:cNvPicPr>
                  </pic:nvPicPr>
                  <pic:blipFill>
                    <a:blip r:embed="rId390">
                      <a:extLst>
                        <a:ext uri="{28A0092B-C50C-407E-A947-70E740481C1C}"/>
                      </a:extLst>
                    </a:blip>
                    <a:srcRect/>
                    <a:stretch>
                      <a:fillRect/>
                    </a:stretch>
                  </pic:blipFill>
                  <pic:spPr bwMode="auto">
                    <a:xfrm>
                      <a:off x="0" y="0"/>
                      <a:ext cx="68580" cy="5715"/>
                    </a:xfrm>
                    <a:prstGeom prst="rect">
                      <a:avLst/>
                    </a:prstGeom>
                    <a:noFill/>
                  </pic:spPr>
                </pic:pic>
              </a:graphicData>
            </a:graphic>
          </wp:anchor>
        </w:drawing>
        <w:drawing>
          <wp:anchor simplePos="0" relativeHeight="251657728" behindDoc="1" locked="0" layoutInCell="0" allowOverlap="1">
            <wp:simplePos x="0" y="0"/>
            <wp:positionH relativeFrom="column">
              <wp:posOffset>6022975</wp:posOffset>
            </wp:positionH>
            <wp:positionV relativeFrom="paragraph">
              <wp:posOffset>-193675</wp:posOffset>
            </wp:positionV>
            <wp:extent cx="163195" cy="5715"/>
            <wp:wrapNone/>
            <wp:docPr id="384" name="Picture 38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4"/>
                    <pic:cNvPicPr>
                      <a:picLocks noChangeAspect="1" noChangeArrowheads="1"/>
                    </pic:cNvPicPr>
                  </pic:nvPicPr>
                  <pic:blipFill>
                    <a:blip r:embed="rId391">
                      <a:extLst>
                        <a:ext uri="{28A0092B-C50C-407E-A947-70E740481C1C}"/>
                      </a:extLst>
                    </a:blip>
                    <a:srcRect/>
                    <a:stretch>
                      <a:fillRect/>
                    </a:stretch>
                  </pic:blipFill>
                  <pic:spPr bwMode="auto">
                    <a:xfrm>
                      <a:off x="0" y="0"/>
                      <a:ext cx="163195" cy="5715"/>
                    </a:xfrm>
                    <a:prstGeom prst="rect">
                      <a:avLst/>
                    </a:prstGeom>
                    <a:noFill/>
                  </pic:spPr>
                </pic:pic>
              </a:graphicData>
            </a:graphic>
          </wp:anchor>
        </w:drawing>
        <w:drawing>
          <wp:anchor simplePos="0" relativeHeight="251657728" behindDoc="1" locked="0" layoutInCell="0" allowOverlap="1">
            <wp:simplePos x="0" y="0"/>
            <wp:positionH relativeFrom="column">
              <wp:posOffset>7068820</wp:posOffset>
            </wp:positionH>
            <wp:positionV relativeFrom="paragraph">
              <wp:posOffset>-193675</wp:posOffset>
            </wp:positionV>
            <wp:extent cx="68580" cy="5715"/>
            <wp:wrapNone/>
            <wp:docPr id="385" name="Picture 38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5"/>
                    <pic:cNvPicPr>
                      <a:picLocks noChangeAspect="1" noChangeArrowheads="1"/>
                    </pic:cNvPicPr>
                  </pic:nvPicPr>
                  <pic:blipFill>
                    <a:blip r:embed="rId392">
                      <a:extLst>
                        <a:ext uri="{28A0092B-C50C-407E-A947-70E740481C1C}"/>
                      </a:extLst>
                    </a:blip>
                    <a:srcRect/>
                    <a:stretch>
                      <a:fillRect/>
                    </a:stretch>
                  </pic:blipFill>
                  <pic:spPr bwMode="auto">
                    <a:xfrm>
                      <a:off x="0" y="0"/>
                      <a:ext cx="68580" cy="5715"/>
                    </a:xfrm>
                    <a:prstGeom prst="rect">
                      <a:avLst/>
                    </a:prstGeom>
                    <a:noFill/>
                  </pic:spPr>
                </pic:pic>
              </a:graphicData>
            </a:graphic>
          </wp:anchor>
        </w:drawing>
      </w:r>
    </w:p>
    <w:p>
      <w:pPr>
        <w:spacing w:after="0" w:line="209" w:lineRule="exact"/>
        <w:rPr>
          <w:sz w:val="20"/>
          <w:szCs w:val="20"/>
          <w:color w:val="auto"/>
        </w:rPr>
      </w:pPr>
    </w:p>
    <w:p>
      <w:pPr>
        <w:ind w:left="900" w:hanging="330"/>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Variable interest rate of 1.5% at both September 30, 2021 and December 31, 2020.</w:t>
      </w:r>
    </w:p>
    <w:p>
      <w:pPr>
        <w:spacing w:after="0" w:line="23" w:lineRule="exact"/>
        <w:rPr>
          <w:rFonts w:ascii="Arial" w:cs="Arial" w:eastAsia="Arial" w:hAnsi="Arial"/>
          <w:sz w:val="18"/>
          <w:szCs w:val="18"/>
          <w:color w:val="auto"/>
        </w:rPr>
      </w:pPr>
    </w:p>
    <w:p>
      <w:pPr>
        <w:ind w:left="900" w:hanging="330"/>
        <w:spacing w:after="0"/>
        <w:tabs>
          <w:tab w:leader="none" w:pos="900" w:val="left"/>
        </w:tabs>
        <w:numPr>
          <w:ilvl w:val="0"/>
          <w:numId w:val="15"/>
        </w:numPr>
        <w:rPr>
          <w:rFonts w:ascii="Arial" w:cs="Arial" w:eastAsia="Arial" w:hAnsi="Arial"/>
          <w:sz w:val="18"/>
          <w:szCs w:val="18"/>
          <w:color w:val="auto"/>
        </w:rPr>
      </w:pPr>
      <w:r>
        <w:rPr>
          <w:rFonts w:ascii="Arial" w:cs="Arial" w:eastAsia="Arial" w:hAnsi="Arial"/>
          <w:sz w:val="18"/>
          <w:szCs w:val="18"/>
          <w:color w:val="auto"/>
        </w:rPr>
        <w:t>Excludes $1,559,000 attributable to the Revolving Credit Facility included in other assets at September 30, 2021.</w:t>
      </w:r>
    </w:p>
    <w:p>
      <w:pPr>
        <w:spacing w:after="0" w:line="251"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7"/>
          <w:szCs w:val="17"/>
          <w:color w:val="auto"/>
        </w:rPr>
        <w:t>The Company has a Credit Agreement with a group of commercial banks, with JPMorgan Chase Bank, N.A. as the administrative agent bank, allowing for an $850,000,000 Revolving Credit Facility and a Term Loan with a maturity date of March 27, 2024. The Term Loan is due on March 27, 2024 and is prepayable, in whole or in part, without penalty. During the nine months ended September 30, 2021, the Company repaid $15,000,000 under the Term Loan. During October 2021, the Company repaid $20,000,000 under the Term Loan. Outstanding letters of credit under the Revolving Credit Facility were $5,063,000 and available borrowing capacity was $844,937,000 as of September 30, 2021. Outstanding letters of credit under the $10,000,000 credit line were $1,299,000 and available borrowing capacity was $8,701,000 as of September 30, 2021.</w:t>
      </w:r>
    </w:p>
    <w:p>
      <w:pPr>
        <w:spacing w:after="0" w:line="189" w:lineRule="exact"/>
        <w:rPr>
          <w:sz w:val="20"/>
          <w:szCs w:val="20"/>
          <w:color w:val="auto"/>
        </w:rPr>
      </w:pPr>
    </w:p>
    <w:p>
      <w:pPr>
        <w:jc w:val="both"/>
        <w:ind w:firstLine="562"/>
        <w:spacing w:after="0" w:line="324" w:lineRule="auto"/>
        <w:rPr>
          <w:sz w:val="20"/>
          <w:szCs w:val="20"/>
          <w:color w:val="auto"/>
        </w:rPr>
      </w:pPr>
      <w:r>
        <w:rPr>
          <w:rFonts w:ascii="Arial" w:cs="Arial" w:eastAsia="Arial" w:hAnsi="Arial"/>
          <w:sz w:val="17"/>
          <w:szCs w:val="17"/>
          <w:color w:val="auto"/>
        </w:rPr>
        <w:t>As of September 30, 2021, the Company was in compliance with all covenants under its debt instruments. For additional information about the Company’s debt instruments, see Note 5, Long-Term Debt, in the Company’s Annual Report on Form 10-K for the year ended December 31, 2020.</w:t>
      </w:r>
    </w:p>
    <w:p>
      <w:pPr>
        <w:spacing w:after="0" w:line="309"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30</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6" name="Picture 38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6"/>
                    <pic:cNvPicPr>
                      <a:picLocks noChangeAspect="1" noChangeArrowheads="1"/>
                    </pic:cNvPicPr>
                  </pic:nvPicPr>
                  <pic:blipFill>
                    <a:blip r:embed="rId39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1" w:name="page32"/>
    <w:bookmarkEnd w:id="31"/>
    <w:p>
      <w:pPr>
        <w:spacing w:after="0"/>
        <w:rPr>
          <w:sz w:val="20"/>
          <w:szCs w:val="20"/>
          <w:color w:val="auto"/>
        </w:rPr>
      </w:pPr>
      <w:r>
        <w:rPr>
          <w:rFonts w:ascii="Arial" w:cs="Arial" w:eastAsia="Arial" w:hAnsi="Arial"/>
          <w:sz w:val="18"/>
          <w:szCs w:val="18"/>
          <w:b w:val="1"/>
          <w:bCs w:val="1"/>
          <w:i w:val="1"/>
          <w:iCs w:val="1"/>
          <w:color w:val="auto"/>
        </w:rPr>
        <w:t>Cash Flow and Capital Expenditures</w:t>
      </w:r>
    </w:p>
    <w:p>
      <w:pPr>
        <w:spacing w:after="0" w:line="252" w:lineRule="exact"/>
        <w:rPr>
          <w:sz w:val="20"/>
          <w:szCs w:val="20"/>
          <w:color w:val="auto"/>
        </w:rPr>
      </w:pPr>
    </w:p>
    <w:p>
      <w:pPr>
        <w:jc w:val="both"/>
        <w:ind w:firstLine="569"/>
        <w:spacing w:after="0" w:line="305" w:lineRule="auto"/>
        <w:rPr>
          <w:sz w:val="20"/>
          <w:szCs w:val="20"/>
          <w:color w:val="auto"/>
        </w:rPr>
      </w:pPr>
      <w:r>
        <w:rPr>
          <w:rFonts w:ascii="Arial" w:cs="Arial" w:eastAsia="Arial" w:hAnsi="Arial"/>
          <w:sz w:val="16"/>
          <w:szCs w:val="16"/>
          <w:color w:val="auto"/>
        </w:rPr>
        <w:t>The Company generated favorable operating cash flows during the 2021 first nine months with net cash provided by operating activities of $280,362,000 compared with $359,763,000 for the 2020 first nine months, a 22% decrease. The decrease was primarily due to decreased revenues and operating income in the marine transportation segment, partially offset by the receipt of a tax refund of $119,493,000, including accrued interest, for the Company’s 2019 federal tax return, increased revenues and operating income in the distribution and services segment, reduced incentive compensation payouts in the 2021 first quarter compared to the 2020 first quarter, and the Savage acquisition in April 2020. Decreases in marine transportation revenues and operating income were driven by reduced barge utilization in the inland and coastal markets during the first half of 2021 and decreased term and spot contract pricing in the inland market, each as a result of a reduction in demand due to the COVID-19 pandemic. The 2021 third quarter marine transportation revenues and operating income were also negatively impacted by the impacts of Hurricane Ida. The decrease in cash flows was also partially due to a smaller decrease in inventories in the 2021 first nine months than in the 2020 first nine months. During the 2021 and 2020 first nine months, the Company generated cash of $39,163,000 and $6,538,000, respectively, from proceeds from the disposition of assets, including the sale of the Hawaii marine transportation equipment in the 2021 third quarter, and $629,000 and $353,000, respectively, from proceeds from the exercise of stock options.</w:t>
      </w:r>
    </w:p>
    <w:p>
      <w:pPr>
        <w:spacing w:after="0" w:line="182" w:lineRule="exact"/>
        <w:rPr>
          <w:sz w:val="20"/>
          <w:szCs w:val="20"/>
          <w:color w:val="auto"/>
        </w:rPr>
      </w:pPr>
    </w:p>
    <w:p>
      <w:pPr>
        <w:jc w:val="both"/>
        <w:ind w:firstLine="569"/>
        <w:spacing w:after="0" w:line="279" w:lineRule="auto"/>
        <w:rPr>
          <w:sz w:val="20"/>
          <w:szCs w:val="20"/>
          <w:color w:val="auto"/>
        </w:rPr>
      </w:pPr>
      <w:r>
        <w:rPr>
          <w:rFonts w:ascii="Arial" w:cs="Arial" w:eastAsia="Arial" w:hAnsi="Arial"/>
          <w:sz w:val="18"/>
          <w:szCs w:val="18"/>
          <w:color w:val="auto"/>
        </w:rPr>
        <w:t>For the 2021 first nine months, cash generated was used for capital expenditures of $71,968,000 (net of an increase in accrued capital expenditures of $13,549,000), including $5,151,000 for inland towboat construction and $66,817,000 primarily for upgrading existing marine equipment and marine transportation and distribution and services facilities.</w:t>
      </w:r>
    </w:p>
    <w:p>
      <w:pPr>
        <w:spacing w:after="0" w:line="196"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Treasury Stock Purchases</w:t>
      </w:r>
    </w:p>
    <w:p>
      <w:pPr>
        <w:spacing w:after="0" w:line="252" w:lineRule="exact"/>
        <w:rPr>
          <w:sz w:val="20"/>
          <w:szCs w:val="20"/>
          <w:color w:val="auto"/>
        </w:rPr>
      </w:pPr>
    </w:p>
    <w:p>
      <w:pPr>
        <w:jc w:val="both"/>
        <w:ind w:firstLine="569"/>
        <w:spacing w:after="0" w:line="290" w:lineRule="auto"/>
        <w:rPr>
          <w:sz w:val="20"/>
          <w:szCs w:val="20"/>
          <w:color w:val="auto"/>
        </w:rPr>
      </w:pPr>
      <w:r>
        <w:rPr>
          <w:rFonts w:ascii="Arial" w:cs="Arial" w:eastAsia="Arial" w:hAnsi="Arial"/>
          <w:sz w:val="17"/>
          <w:szCs w:val="17"/>
          <w:color w:val="auto"/>
        </w:rPr>
        <w:t>The Company did not purchase any treasury stock during the 2021 first nine months. As of November 5, 2021, the Company had approximately 1,400,000 shares available under its existing repurchase authorization. Historically, treasury stock purchases have been financed through operating cash flows and borrowings under the Company’s Revolving Credit Facility. The Company is authorized to purchase its common stock on the New York Stock Exchange and in privately negotiated transactions. When purchasing its common stock, the Company is subject to price, trading volume, and other market considerations. Shares purchased may be used for reissuance upon the exercise of stock options or the granting of other forms of incentive compensation, in future acquisitions for stock, or for other appropriate corporate purposes.</w:t>
      </w:r>
    </w:p>
    <w:p>
      <w:pPr>
        <w:spacing w:after="0" w:line="189" w:lineRule="exact"/>
        <w:rPr>
          <w:sz w:val="20"/>
          <w:szCs w:val="20"/>
          <w:color w:val="auto"/>
        </w:rPr>
      </w:pPr>
    </w:p>
    <w:p>
      <w:pPr>
        <w:spacing w:after="0"/>
        <w:rPr>
          <w:sz w:val="20"/>
          <w:szCs w:val="20"/>
          <w:color w:val="auto"/>
        </w:rPr>
      </w:pPr>
      <w:r>
        <w:rPr>
          <w:rFonts w:ascii="Arial" w:cs="Arial" w:eastAsia="Arial" w:hAnsi="Arial"/>
          <w:sz w:val="18"/>
          <w:szCs w:val="18"/>
          <w:b w:val="1"/>
          <w:bCs w:val="1"/>
          <w:i w:val="1"/>
          <w:iCs w:val="1"/>
          <w:color w:val="auto"/>
        </w:rPr>
        <w:t>Liquidity</w:t>
      </w:r>
    </w:p>
    <w:p>
      <w:pPr>
        <w:spacing w:after="0" w:line="252" w:lineRule="exact"/>
        <w:rPr>
          <w:sz w:val="20"/>
          <w:szCs w:val="20"/>
          <w:color w:val="auto"/>
        </w:rPr>
      </w:pPr>
    </w:p>
    <w:p>
      <w:pPr>
        <w:jc w:val="both"/>
        <w:ind w:right="20" w:firstLine="562"/>
        <w:spacing w:after="0" w:line="329" w:lineRule="auto"/>
        <w:rPr>
          <w:sz w:val="20"/>
          <w:szCs w:val="20"/>
          <w:color w:val="auto"/>
        </w:rPr>
      </w:pPr>
      <w:r>
        <w:rPr>
          <w:rFonts w:ascii="Arial" w:cs="Arial" w:eastAsia="Arial" w:hAnsi="Arial"/>
          <w:sz w:val="16"/>
          <w:szCs w:val="16"/>
          <w:color w:val="auto"/>
        </w:rPr>
        <w:t>Funds generated from operations are available for acquisitions, capital expenditure projects, common stock repurchases, repayments of borrowings, and for other corporate and operating requirements. In addition to net cash flows provided by operating activities, as of November 5, 2021 the Company also had cash equivalents of $39,277,000, availability of $844,937,000 under its Revolving Credit Facility, and $8,701,000 available under its credit line.</w:t>
      </w:r>
    </w:p>
    <w:p>
      <w:pPr>
        <w:spacing w:after="0" w:line="161" w:lineRule="exact"/>
        <w:rPr>
          <w:sz w:val="20"/>
          <w:szCs w:val="20"/>
          <w:color w:val="auto"/>
        </w:rPr>
      </w:pPr>
    </w:p>
    <w:p>
      <w:pPr>
        <w:jc w:val="both"/>
        <w:ind w:right="20" w:firstLine="562"/>
        <w:spacing w:after="0" w:line="293" w:lineRule="auto"/>
        <w:rPr>
          <w:sz w:val="20"/>
          <w:szCs w:val="20"/>
          <w:color w:val="auto"/>
        </w:rPr>
      </w:pPr>
      <w:r>
        <w:rPr>
          <w:rFonts w:ascii="Arial" w:cs="Arial" w:eastAsia="Arial" w:hAnsi="Arial"/>
          <w:sz w:val="18"/>
          <w:szCs w:val="18"/>
          <w:color w:val="auto"/>
        </w:rPr>
        <w:t>Neither the Company, nor any of its subsidiaries, is obligated on any debt instrument, swap agreement, or any other financial instrument or commercial contract which has a rating trigger, except for the pricing grid on its Credit Agreement.</w:t>
      </w:r>
    </w:p>
    <w:p>
      <w:pPr>
        <w:spacing w:after="0" w:line="183"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The Company expects to continue to fund expenditures for acquisitions, capital construction projects, common stock repurchases, repayment of borrowings, and for other operating requirements from a combination of available cash and cash equivalents, funds generated from operating activities, and available financing arrangements.</w:t>
      </w:r>
    </w:p>
    <w:p>
      <w:pPr>
        <w:spacing w:after="0" w:line="19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Revolving Credit Facility’s commitment is in the amount of $850,000,000 and expires March 27, 2024. As of September 30, 2021, the Company had $844,937,000 available under the Revolving Credit Facility. The 3.29% senior unsecured notes do not mature until February 27, 2023 and require no prepayments. The 4.2% senior unsecured notes do not mature until March 1, 2028 and require no prepayments. The Term Loan is due on March 27, 2024 and is prepayable, in whole or in part, without penalty.</w:t>
      </w:r>
    </w:p>
    <w:p>
      <w:pPr>
        <w:spacing w:after="0" w:line="199" w:lineRule="exact"/>
        <w:rPr>
          <w:sz w:val="20"/>
          <w:szCs w:val="20"/>
          <w:color w:val="auto"/>
        </w:rPr>
      </w:pPr>
    </w:p>
    <w:p>
      <w:pPr>
        <w:jc w:val="both"/>
        <w:ind w:firstLine="562"/>
        <w:spacing w:after="0" w:line="292" w:lineRule="auto"/>
        <w:rPr>
          <w:sz w:val="20"/>
          <w:szCs w:val="20"/>
          <w:color w:val="auto"/>
        </w:rPr>
      </w:pPr>
      <w:r>
        <w:rPr>
          <w:rFonts w:ascii="Arial" w:cs="Arial" w:eastAsia="Arial" w:hAnsi="Arial"/>
          <w:sz w:val="17"/>
          <w:szCs w:val="17"/>
          <w:color w:val="auto"/>
        </w:rPr>
        <w:t>There are numerous factors that may negatively impact the Company’s cash flows in 2021. For a list of significant risks and uncertainties that could impact cash flows, see Note 14, Contingencies and Commitments, in the financial statements, and Item 1A — Risk Factors and Note 14, Contingencies and Commitments, in the Company’s Annual Report on Form 10-K for the year ended December 31, 2020. Amounts available under the Company’s existing financial arrangements are subject to the Company continuing to meet the covenants of the credit facilities as described in Note 5, Long-Term Debt in the Company’s Annual Report on Form 10-K for the year ended December 31, 2020.</w:t>
      </w:r>
    </w:p>
    <w:p>
      <w:pPr>
        <w:spacing w:after="0" w:line="336"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7" name="Picture 38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7"/>
                    <pic:cNvPicPr>
                      <a:picLocks noChangeAspect="1" noChangeArrowheads="1"/>
                    </pic:cNvPicPr>
                  </pic:nvPicPr>
                  <pic:blipFill>
                    <a:blip r:embed="rId394">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2" w:name="page33"/>
    <w:bookmarkEnd w:id="32"/>
    <w:p>
      <w:pPr>
        <w:jc w:val="both"/>
        <w:ind w:firstLine="569"/>
        <w:spacing w:after="0" w:line="292" w:lineRule="auto"/>
        <w:rPr>
          <w:sz w:val="20"/>
          <w:szCs w:val="20"/>
          <w:color w:val="auto"/>
        </w:rPr>
      </w:pPr>
      <w:r>
        <w:rPr>
          <w:rFonts w:ascii="Arial" w:cs="Arial" w:eastAsia="Arial" w:hAnsi="Arial"/>
          <w:sz w:val="17"/>
          <w:szCs w:val="17"/>
          <w:color w:val="auto"/>
        </w:rPr>
        <w:t>The Company has issued guaranties or obtained standby letters of credit and performance bonds supporting performance by the Company and its subsidiaries of contractual or contingent legal obligations of the Company and its subsidiaries incurred in the ordinary course of business. The aggregate notional value of these instruments is $21,199,000 at September 30, 2021, including $13,847,000 in letters of credit and $7,352,000 in performance bonds. All of these instruments have an expiration date within two years. The Company does not believe demand for payment under these instruments is likely and expects no material cash outlays to occur in connection with these instruments.</w:t>
      </w:r>
    </w:p>
    <w:p>
      <w:pPr>
        <w:spacing w:after="0" w:line="188" w:lineRule="exact"/>
        <w:rPr>
          <w:sz w:val="20"/>
          <w:szCs w:val="20"/>
          <w:color w:val="auto"/>
        </w:rPr>
      </w:pPr>
    </w:p>
    <w:p>
      <w:pPr>
        <w:jc w:val="both"/>
        <w:ind w:firstLine="562"/>
        <w:spacing w:after="0" w:line="290" w:lineRule="auto"/>
        <w:rPr>
          <w:sz w:val="20"/>
          <w:szCs w:val="20"/>
          <w:color w:val="auto"/>
        </w:rPr>
      </w:pPr>
      <w:r>
        <w:rPr>
          <w:rFonts w:ascii="Arial" w:cs="Arial" w:eastAsia="Arial" w:hAnsi="Arial"/>
          <w:sz w:val="17"/>
          <w:szCs w:val="17"/>
          <w:color w:val="auto"/>
        </w:rPr>
        <w:t>All marine transportation term contracts contain fuel escalation clauses, or the customer pays for the fuel. However, there is generally a 30 to 90 day delay before contracts are adjusted depending on the specific contract. In general, the fuel escalation clauses are effective over the long-term in allowing the Company to recover changes in fuel costs due to fuel price changes. However, the short-term effectiveness of the fuel escalation clauses can be affected by a number of factors including, but not limited to, specific terms of the fuel escalation formulas, fuel price volatility, navigating conditions, tow sizes, trip routing, and the location of loading and discharge ports that may result in the Company over or under recovering its fuel costs. Spot contract rates generally reflect current fuel prices at the time the contract is signed but do not have escalators for fuel.</w:t>
      </w:r>
    </w:p>
    <w:p>
      <w:pPr>
        <w:spacing w:after="0" w:line="189" w:lineRule="exact"/>
        <w:rPr>
          <w:sz w:val="20"/>
          <w:szCs w:val="20"/>
          <w:color w:val="auto"/>
        </w:rPr>
      </w:pPr>
    </w:p>
    <w:p>
      <w:pPr>
        <w:jc w:val="both"/>
        <w:ind w:firstLine="562"/>
        <w:spacing w:after="0" w:line="314" w:lineRule="auto"/>
        <w:rPr>
          <w:sz w:val="20"/>
          <w:szCs w:val="20"/>
          <w:color w:val="auto"/>
        </w:rPr>
      </w:pPr>
      <w:r>
        <w:rPr>
          <w:rFonts w:ascii="Arial" w:cs="Arial" w:eastAsia="Arial" w:hAnsi="Arial"/>
          <w:sz w:val="16"/>
          <w:szCs w:val="16"/>
          <w:color w:val="auto"/>
        </w:rPr>
        <w:t>While inflationary pressures have increased in 2021, during the last three years, inflation has had a relatively minor effect on the financial results of the Company. The marine transportation segment has long-term contracts which generally contain cost escalation clauses whereby certain costs, including fuel as noted above, can be passed through to its customers. Spot contract rates include the cost of fuel and are subject to market volatility. In the distribution and services segment, the cost of major components for large manufacturing orders is secured with suppliers at the time a customer order is finalized, which limits exposure to inflation. The repair portion of the distribution and services segment is based on prevailing current market rates.</w:t>
      </w:r>
    </w:p>
    <w:p>
      <w:pPr>
        <w:spacing w:after="0" w:line="169"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3.</w:t>
      </w:r>
      <w:r>
        <w:rPr>
          <w:sz w:val="20"/>
          <w:szCs w:val="20"/>
          <w:color w:val="auto"/>
        </w:rPr>
        <w:tab/>
      </w:r>
      <w:r>
        <w:rPr>
          <w:rFonts w:ascii="Arial" w:cs="Arial" w:eastAsia="Arial" w:hAnsi="Arial"/>
          <w:sz w:val="16"/>
          <w:szCs w:val="16"/>
          <w:b w:val="1"/>
          <w:bCs w:val="1"/>
          <w:color w:val="auto"/>
        </w:rPr>
        <w:t>Quantitative and Qualitative Disclosures about Market Risk</w:t>
      </w:r>
    </w:p>
    <w:p>
      <w:pPr>
        <w:spacing w:after="0" w:line="25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color w:val="auto"/>
        </w:rPr>
        <w:t>The Company is exposed to risk from changes in interest rates on certain of its outstanding debt. The outstanding loan balances under the Company’s bank credit facilities bear interest at variable rates based on prevailing short-term interest rates in the United States and Europe. A 1% increase in variable interest rates would impact the 2021 interest expense by $6,250,000 based on balances outstanding at December 31, 2020, and would change the fair value of the Company’s debt by approximately 3%.</w:t>
      </w:r>
    </w:p>
    <w:p>
      <w:pPr>
        <w:spacing w:after="0" w:line="195"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4.</w:t>
      </w:r>
      <w:r>
        <w:rPr>
          <w:sz w:val="20"/>
          <w:szCs w:val="20"/>
          <w:color w:val="auto"/>
        </w:rPr>
        <w:tab/>
      </w:r>
      <w:r>
        <w:rPr>
          <w:rFonts w:ascii="Arial" w:cs="Arial" w:eastAsia="Arial" w:hAnsi="Arial"/>
          <w:sz w:val="15"/>
          <w:szCs w:val="15"/>
          <w:b w:val="1"/>
          <w:bCs w:val="1"/>
          <w:color w:val="auto"/>
        </w:rPr>
        <w:t>Controls and Procedures</w:t>
      </w:r>
    </w:p>
    <w:p>
      <w:pPr>
        <w:spacing w:after="0" w:line="256" w:lineRule="exact"/>
        <w:rPr>
          <w:sz w:val="20"/>
          <w:szCs w:val="20"/>
          <w:color w:val="auto"/>
        </w:rPr>
      </w:pPr>
    </w:p>
    <w:p>
      <w:pPr>
        <w:jc w:val="both"/>
        <w:ind w:firstLine="562"/>
        <w:spacing w:after="0" w:line="269" w:lineRule="auto"/>
        <w:rPr>
          <w:sz w:val="20"/>
          <w:szCs w:val="20"/>
          <w:color w:val="auto"/>
        </w:rPr>
      </w:pPr>
      <w:r>
        <w:rPr>
          <w:rFonts w:ascii="Arial" w:cs="Arial" w:eastAsia="Arial" w:hAnsi="Arial"/>
          <w:sz w:val="18"/>
          <w:szCs w:val="18"/>
          <w:i w:val="1"/>
          <w:iCs w:val="1"/>
          <w:color w:val="auto"/>
        </w:rPr>
        <w:t>Disclosure Controls and Procedures</w:t>
      </w:r>
      <w:r>
        <w:rPr>
          <w:rFonts w:ascii="Arial" w:cs="Arial" w:eastAsia="Arial" w:hAnsi="Arial"/>
          <w:sz w:val="18"/>
          <w:szCs w:val="18"/>
          <w:color w:val="auto"/>
        </w:rPr>
        <w:t>. The Company’s management, with the participation of the Chief Executive Officer and the Chief Financial</w:t>
      </w:r>
      <w:r>
        <w:rPr>
          <w:rFonts w:ascii="Arial" w:cs="Arial" w:eastAsia="Arial" w:hAnsi="Arial"/>
          <w:sz w:val="18"/>
          <w:szCs w:val="18"/>
          <w:i w:val="1"/>
          <w:iCs w:val="1"/>
          <w:color w:val="auto"/>
        </w:rPr>
        <w:t xml:space="preserve"> </w:t>
      </w:r>
      <w:r>
        <w:rPr>
          <w:rFonts w:ascii="Arial" w:cs="Arial" w:eastAsia="Arial" w:hAnsi="Arial"/>
          <w:sz w:val="18"/>
          <w:szCs w:val="18"/>
          <w:color w:val="auto"/>
        </w:rPr>
        <w:t>Officer, has evaluated the Company’s disclosure controls and procedures (as defined in Rule 13a-15(e) under the Securities Exchange Act of 1934 (“Exchange Act”)), as of September 30, 2021, as required by Rule 13a-15(b) under the Exchange Act. Based on that evaluation, the Chief Executive Officer and the Chief Financial Officer concluded that, as of September 30, 2021, the disclosure controls and procedures were effective to ensure that information required to be disclosed by the Company in the reports that it files or submits under the Exchange Act (i) is recorded, processed, summarized and reported within the time periods specified in the Securities and Exchange Commission’s rules and forms and (ii) is accumulated and communicated to the Company’s management, including the Chief Executive Officer and the Chief Financial Officer, as appropriate to allow timely decisions regarding required disclosure.</w:t>
      </w:r>
    </w:p>
    <w:p>
      <w:pPr>
        <w:spacing w:after="0" w:line="210" w:lineRule="exact"/>
        <w:rPr>
          <w:sz w:val="20"/>
          <w:szCs w:val="20"/>
          <w:color w:val="auto"/>
        </w:rPr>
      </w:pPr>
    </w:p>
    <w:p>
      <w:pPr>
        <w:jc w:val="both"/>
        <w:ind w:firstLine="562"/>
        <w:spacing w:after="0" w:line="279" w:lineRule="auto"/>
        <w:rPr>
          <w:sz w:val="20"/>
          <w:szCs w:val="20"/>
          <w:color w:val="auto"/>
        </w:rPr>
      </w:pPr>
      <w:r>
        <w:rPr>
          <w:rFonts w:ascii="Arial" w:cs="Arial" w:eastAsia="Arial" w:hAnsi="Arial"/>
          <w:sz w:val="18"/>
          <w:szCs w:val="18"/>
          <w:color w:val="auto"/>
        </w:rPr>
        <w:t>Because of its inherent limitations, internal control over financial reporting may not prevent or detect misstatements. Also, projections of any evaluation of effectiveness to future periods are subject to the risk that controls may become inadequate because of changes in conditions, or that the degree of compliance with the policies or procedures may deteriorate.</w:t>
      </w:r>
    </w:p>
    <w:p>
      <w:pPr>
        <w:spacing w:after="0" w:line="196" w:lineRule="exact"/>
        <w:rPr>
          <w:sz w:val="20"/>
          <w:szCs w:val="20"/>
          <w:color w:val="auto"/>
        </w:rPr>
      </w:pPr>
    </w:p>
    <w:p>
      <w:pPr>
        <w:jc w:val="both"/>
        <w:ind w:firstLine="562"/>
        <w:spacing w:after="0" w:line="275" w:lineRule="auto"/>
        <w:rPr>
          <w:sz w:val="20"/>
          <w:szCs w:val="20"/>
          <w:color w:val="auto"/>
        </w:rPr>
      </w:pPr>
      <w:r>
        <w:rPr>
          <w:rFonts w:ascii="Arial" w:cs="Arial" w:eastAsia="Arial" w:hAnsi="Arial"/>
          <w:sz w:val="18"/>
          <w:szCs w:val="18"/>
          <w:i w:val="1"/>
          <w:iCs w:val="1"/>
          <w:color w:val="auto"/>
        </w:rPr>
        <w:t>Changes in Internal Control Over Financial Reporting</w:t>
      </w:r>
      <w:r>
        <w:rPr>
          <w:rFonts w:ascii="Arial" w:cs="Arial" w:eastAsia="Arial" w:hAnsi="Arial"/>
          <w:sz w:val="18"/>
          <w:szCs w:val="18"/>
          <w:color w:val="auto"/>
        </w:rPr>
        <w:t>. During the third quarter of 2021, the Company completed the preparation and</w:t>
      </w:r>
      <w:r>
        <w:rPr>
          <w:rFonts w:ascii="Arial" w:cs="Arial" w:eastAsia="Arial" w:hAnsi="Arial"/>
          <w:sz w:val="18"/>
          <w:szCs w:val="18"/>
          <w:i w:val="1"/>
          <w:iCs w:val="1"/>
          <w:color w:val="auto"/>
        </w:rPr>
        <w:t xml:space="preserve"> </w:t>
      </w:r>
      <w:r>
        <w:rPr>
          <w:rFonts w:ascii="Arial" w:cs="Arial" w:eastAsia="Arial" w:hAnsi="Arial"/>
          <w:sz w:val="18"/>
          <w:szCs w:val="18"/>
          <w:color w:val="auto"/>
        </w:rPr>
        <w:t>implementation of changes to its financial reporting software. There were no other changes in the Company’s internal control over financial reporting during the quarter ended September 30, 2021 that have materially affected, or are reasonably likely to materially affect, the Company’s internal control over financial reporting.</w:t>
      </w:r>
    </w:p>
    <w:p>
      <w:pPr>
        <w:spacing w:after="0" w:line="195" w:lineRule="exact"/>
        <w:rPr>
          <w:sz w:val="20"/>
          <w:szCs w:val="20"/>
          <w:color w:val="auto"/>
        </w:rPr>
      </w:pPr>
    </w:p>
    <w:p>
      <w:pPr>
        <w:spacing w:after="0"/>
        <w:rPr>
          <w:sz w:val="20"/>
          <w:szCs w:val="20"/>
          <w:color w:val="auto"/>
        </w:rPr>
      </w:pPr>
      <w:r>
        <w:rPr>
          <w:rFonts w:ascii="Arial" w:cs="Arial" w:eastAsia="Arial" w:hAnsi="Arial"/>
          <w:sz w:val="18"/>
          <w:szCs w:val="18"/>
          <w:b w:val="1"/>
          <w:bCs w:val="1"/>
          <w:color w:val="auto"/>
        </w:rPr>
        <w:t>PART II – OTHER INFORMATION</w:t>
      </w:r>
    </w:p>
    <w:p>
      <w:pPr>
        <w:spacing w:after="0" w:line="252" w:lineRule="exact"/>
        <w:rPr>
          <w:sz w:val="20"/>
          <w:szCs w:val="20"/>
          <w:color w:val="auto"/>
        </w:rPr>
      </w:pPr>
    </w:p>
    <w:p>
      <w:pPr>
        <w:spacing w:after="0"/>
        <w:tabs>
          <w:tab w:leader="none" w:pos="800" w:val="left"/>
        </w:tabs>
        <w:rPr>
          <w:sz w:val="20"/>
          <w:szCs w:val="20"/>
          <w:color w:val="auto"/>
        </w:rPr>
      </w:pPr>
      <w:r>
        <w:rPr>
          <w:rFonts w:ascii="Arial" w:cs="Arial" w:eastAsia="Arial" w:hAnsi="Arial"/>
          <w:sz w:val="18"/>
          <w:szCs w:val="18"/>
          <w:b w:val="1"/>
          <w:bCs w:val="1"/>
          <w:color w:val="auto"/>
        </w:rPr>
        <w:t>Item 1.</w:t>
      </w:r>
      <w:r>
        <w:rPr>
          <w:sz w:val="20"/>
          <w:szCs w:val="20"/>
          <w:color w:val="auto"/>
        </w:rPr>
        <w:tab/>
      </w:r>
      <w:r>
        <w:rPr>
          <w:rFonts w:ascii="Arial" w:cs="Arial" w:eastAsia="Arial" w:hAnsi="Arial"/>
          <w:sz w:val="15"/>
          <w:szCs w:val="15"/>
          <w:b w:val="1"/>
          <w:bCs w:val="1"/>
          <w:color w:val="auto"/>
        </w:rPr>
        <w:t>Legal Proceedings</w:t>
      </w:r>
    </w:p>
    <w:p>
      <w:pPr>
        <w:spacing w:after="0" w:line="256" w:lineRule="exact"/>
        <w:rPr>
          <w:sz w:val="20"/>
          <w:szCs w:val="20"/>
          <w:color w:val="auto"/>
        </w:rPr>
      </w:pPr>
    </w:p>
    <w:p>
      <w:pPr>
        <w:ind w:left="580"/>
        <w:spacing w:after="0"/>
        <w:rPr>
          <w:sz w:val="20"/>
          <w:szCs w:val="20"/>
          <w:color w:val="auto"/>
        </w:rPr>
      </w:pPr>
      <w:r>
        <w:rPr>
          <w:rFonts w:ascii="Arial" w:cs="Arial" w:eastAsia="Arial" w:hAnsi="Arial"/>
          <w:sz w:val="18"/>
          <w:szCs w:val="18"/>
          <w:color w:val="auto"/>
        </w:rPr>
        <w:t>See Note 14, Contingencies and Commitments, of the Notes to Condensed Financial Statements (Unaudited).</w:t>
      </w:r>
    </w:p>
    <w:p>
      <w:pPr>
        <w:spacing w:after="0" w:line="248" w:lineRule="exact"/>
        <w:rPr>
          <w:sz w:val="20"/>
          <w:szCs w:val="20"/>
          <w:color w:val="auto"/>
        </w:rPr>
      </w:pPr>
    </w:p>
    <w:p>
      <w:pPr>
        <w:spacing w:after="0"/>
        <w:tabs>
          <w:tab w:leader="none" w:pos="920" w:val="left"/>
        </w:tabs>
        <w:rPr>
          <w:sz w:val="20"/>
          <w:szCs w:val="20"/>
          <w:color w:val="auto"/>
        </w:rPr>
      </w:pPr>
      <w:r>
        <w:rPr>
          <w:rFonts w:ascii="Arial" w:cs="Arial" w:eastAsia="Arial" w:hAnsi="Arial"/>
          <w:sz w:val="18"/>
          <w:szCs w:val="18"/>
          <w:b w:val="1"/>
          <w:bCs w:val="1"/>
          <w:color w:val="auto"/>
        </w:rPr>
        <w:t>Item 1A.</w:t>
      </w:r>
      <w:r>
        <w:rPr>
          <w:sz w:val="20"/>
          <w:szCs w:val="20"/>
          <w:color w:val="auto"/>
        </w:rPr>
        <w:tab/>
      </w:r>
      <w:r>
        <w:rPr>
          <w:rFonts w:ascii="Arial" w:cs="Arial" w:eastAsia="Arial" w:hAnsi="Arial"/>
          <w:sz w:val="16"/>
          <w:szCs w:val="16"/>
          <w:b w:val="1"/>
          <w:bCs w:val="1"/>
          <w:color w:val="auto"/>
        </w:rPr>
        <w:t>Risk Factors</w:t>
      </w:r>
    </w:p>
    <w:p>
      <w:pPr>
        <w:spacing w:after="0" w:line="256" w:lineRule="exact"/>
        <w:rPr>
          <w:sz w:val="20"/>
          <w:szCs w:val="20"/>
          <w:color w:val="auto"/>
        </w:rPr>
      </w:pPr>
    </w:p>
    <w:p>
      <w:pPr>
        <w:jc w:val="both"/>
        <w:ind w:firstLine="569"/>
        <w:spacing w:after="0" w:line="293" w:lineRule="auto"/>
        <w:rPr>
          <w:sz w:val="20"/>
          <w:szCs w:val="20"/>
          <w:color w:val="auto"/>
        </w:rPr>
      </w:pPr>
      <w:r>
        <w:rPr>
          <w:rFonts w:ascii="Arial" w:cs="Arial" w:eastAsia="Arial" w:hAnsi="Arial"/>
          <w:sz w:val="18"/>
          <w:szCs w:val="18"/>
          <w:color w:val="auto"/>
        </w:rPr>
        <w:t>The Company continues to be subject to the risk factors previously disclosed in its “Risk Factors” in the Company’s Annual Report on Form 10-K for the year ended December 31, 2020.</w:t>
      </w:r>
    </w:p>
    <w:p>
      <w:pPr>
        <w:spacing w:after="0" w:line="102" w:lineRule="exact"/>
        <w:rPr>
          <w:sz w:val="20"/>
          <w:szCs w:val="20"/>
          <w:color w:val="auto"/>
        </w:rPr>
      </w:pPr>
    </w:p>
    <w:p>
      <w:pPr>
        <w:jc w:val="center"/>
        <w:spacing w:after="0"/>
        <w:rPr>
          <w:sz w:val="20"/>
          <w:szCs w:val="20"/>
          <w:color w:val="auto"/>
        </w:rPr>
      </w:pPr>
      <w:r>
        <w:rPr>
          <w:rFonts w:ascii="Arial" w:cs="Arial" w:eastAsia="Arial" w:hAnsi="Arial"/>
          <w:sz w:val="18"/>
          <w:szCs w:val="18"/>
          <w:color w:val="auto"/>
        </w:rPr>
        <w:t>32</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88" name="Picture 38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8"/>
                    <pic:cNvPicPr>
                      <a:picLocks noChangeAspect="1" noChangeArrowheads="1"/>
                    </pic:cNvPicPr>
                  </pic:nvPicPr>
                  <pic:blipFill>
                    <a:blip r:embed="rId395">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8" w:right="339" w:bottom="1440" w:gutter="0" w:footer="0" w:header="0"/>
        </w:sectPr>
      </w:pPr>
    </w:p>
    <w:bookmarkStart w:id="33" w:name="page34"/>
    <w:bookmarkEnd w:id="33"/>
    <w:tbl>
      <w:tblPr>
        <w:tblLayout w:type="fixed"/>
        <w:tblInd w:w="0" w:type="dxa"/>
        <w:tblCellMar>
          <w:top w:w="0" w:type="dxa"/>
          <w:left w:w="0" w:type="dxa"/>
          <w:bottom w:w="0" w:type="dxa"/>
          <w:right w:w="0" w:type="dxa"/>
        </w:tblCellMar>
      </w:tblPr>
      <w:tr>
        <w:trPr>
          <w:trHeight w:val="234"/>
        </w:trPr>
        <w:tc>
          <w:tcPr>
            <w:tcW w:w="740" w:type="dxa"/>
            <w:vAlign w:val="bottom"/>
          </w:tcPr>
          <w:p>
            <w:pPr>
              <w:spacing w:after="0"/>
              <w:rPr>
                <w:sz w:val="20"/>
                <w:szCs w:val="20"/>
                <w:color w:val="auto"/>
              </w:rPr>
            </w:pPr>
            <w:r>
              <w:rPr>
                <w:rFonts w:ascii="Arial" w:cs="Arial" w:eastAsia="Arial" w:hAnsi="Arial"/>
                <w:sz w:val="18"/>
                <w:szCs w:val="18"/>
                <w:b w:val="1"/>
                <w:bCs w:val="1"/>
                <w:color w:val="auto"/>
              </w:rPr>
              <w:t>Item 6.</w:t>
            </w:r>
          </w:p>
        </w:tc>
        <w:tc>
          <w:tcPr>
            <w:tcW w:w="10500" w:type="dxa"/>
            <w:vAlign w:val="bottom"/>
            <w:gridSpan w:val="16"/>
          </w:tcPr>
          <w:p>
            <w:pPr>
              <w:ind w:left="80"/>
              <w:spacing w:after="0"/>
              <w:rPr>
                <w:sz w:val="20"/>
                <w:szCs w:val="20"/>
                <w:color w:val="auto"/>
              </w:rPr>
            </w:pPr>
            <w:r>
              <w:rPr>
                <w:rFonts w:ascii="Arial" w:cs="Arial" w:eastAsia="Arial" w:hAnsi="Arial"/>
                <w:sz w:val="18"/>
                <w:szCs w:val="18"/>
                <w:b w:val="1"/>
                <w:bCs w:val="1"/>
                <w:color w:val="auto"/>
              </w:rPr>
              <w:t>Exhibits</w:t>
            </w:r>
          </w:p>
        </w:tc>
      </w:tr>
      <w:tr>
        <w:trPr>
          <w:trHeight w:val="405"/>
        </w:trPr>
        <w:tc>
          <w:tcPr>
            <w:tcW w:w="74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6460" w:type="dxa"/>
            <w:vAlign w:val="bottom"/>
            <w:gridSpan w:val="9"/>
          </w:tcPr>
          <w:p>
            <w:pPr>
              <w:ind w:left="140"/>
              <w:spacing w:after="0"/>
              <w:rPr>
                <w:sz w:val="20"/>
                <w:szCs w:val="20"/>
                <w:color w:val="auto"/>
              </w:rPr>
            </w:pPr>
            <w:r>
              <w:rPr>
                <w:rFonts w:ascii="Arial" w:cs="Arial" w:eastAsia="Arial" w:hAnsi="Arial"/>
                <w:sz w:val="18"/>
                <w:szCs w:val="18"/>
                <w:b w:val="1"/>
                <w:bCs w:val="1"/>
                <w:color w:val="auto"/>
              </w:rPr>
              <w:t>EXHIBIT INDEX</w:t>
            </w:r>
          </w:p>
        </w:tc>
      </w:tr>
      <w:tr>
        <w:trPr>
          <w:trHeight w:val="468"/>
        </w:trPr>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Exhibit</w:t>
            </w:r>
          </w:p>
        </w:tc>
        <w:tc>
          <w:tcPr>
            <w:tcW w:w="540" w:type="dxa"/>
            <w:vAlign w:val="bottom"/>
          </w:tcPr>
          <w:p>
            <w:pPr>
              <w:spacing w:after="0"/>
              <w:rPr>
                <w:sz w:val="24"/>
                <w:szCs w:val="24"/>
                <w:color w:val="auto"/>
              </w:rPr>
            </w:pPr>
          </w:p>
        </w:tc>
        <w:tc>
          <w:tcPr>
            <w:tcW w:w="232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1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360" w:type="dxa"/>
            <w:vAlign w:val="bottom"/>
          </w:tcPr>
          <w:p>
            <w:pPr>
              <w:spacing w:after="0"/>
              <w:rPr>
                <w:sz w:val="24"/>
                <w:szCs w:val="24"/>
                <w:color w:val="auto"/>
              </w:rPr>
            </w:pPr>
          </w:p>
        </w:tc>
        <w:tc>
          <w:tcPr>
            <w:tcW w:w="220" w:type="dxa"/>
            <w:vAlign w:val="bottom"/>
          </w:tcPr>
          <w:p>
            <w:pPr>
              <w:spacing w:after="0"/>
              <w:rPr>
                <w:sz w:val="24"/>
                <w:szCs w:val="24"/>
                <w:color w:val="auto"/>
              </w:rPr>
            </w:pPr>
          </w:p>
        </w:tc>
        <w:tc>
          <w:tcPr>
            <w:tcW w:w="200" w:type="dxa"/>
            <w:vAlign w:val="bottom"/>
          </w:tcPr>
          <w:p>
            <w:pPr>
              <w:spacing w:after="0"/>
              <w:rPr>
                <w:sz w:val="24"/>
                <w:szCs w:val="24"/>
                <w:color w:val="auto"/>
              </w:rPr>
            </w:pPr>
          </w:p>
        </w:tc>
        <w:tc>
          <w:tcPr>
            <w:tcW w:w="1100" w:type="dxa"/>
            <w:vAlign w:val="bottom"/>
          </w:tcPr>
          <w:p>
            <w:pPr>
              <w:spacing w:after="0"/>
              <w:rPr>
                <w:sz w:val="24"/>
                <w:szCs w:val="24"/>
                <w:color w:val="auto"/>
              </w:rPr>
            </w:pPr>
          </w:p>
        </w:tc>
        <w:tc>
          <w:tcPr>
            <w:tcW w:w="40" w:type="dxa"/>
            <w:vAlign w:val="bottom"/>
          </w:tcPr>
          <w:p>
            <w:pPr>
              <w:spacing w:after="0"/>
              <w:rPr>
                <w:sz w:val="24"/>
                <w:szCs w:val="24"/>
                <w:color w:val="auto"/>
              </w:rPr>
            </w:pPr>
          </w:p>
        </w:tc>
        <w:tc>
          <w:tcPr>
            <w:tcW w:w="100" w:type="dxa"/>
            <w:vAlign w:val="bottom"/>
          </w:tcPr>
          <w:p>
            <w:pPr>
              <w:spacing w:after="0"/>
              <w:rPr>
                <w:sz w:val="24"/>
                <w:szCs w:val="24"/>
                <w:color w:val="auto"/>
              </w:rPr>
            </w:pPr>
          </w:p>
        </w:tc>
        <w:tc>
          <w:tcPr>
            <w:tcW w:w="1000" w:type="dxa"/>
            <w:vAlign w:val="bottom"/>
          </w:tcPr>
          <w:p>
            <w:pPr>
              <w:spacing w:after="0"/>
              <w:rPr>
                <w:sz w:val="24"/>
                <w:szCs w:val="24"/>
                <w:color w:val="auto"/>
              </w:rPr>
            </w:pPr>
          </w:p>
        </w:tc>
        <w:tc>
          <w:tcPr>
            <w:tcW w:w="3260" w:type="dxa"/>
            <w:vAlign w:val="bottom"/>
          </w:tcPr>
          <w:p>
            <w:pPr>
              <w:spacing w:after="0"/>
              <w:rPr>
                <w:sz w:val="24"/>
                <w:szCs w:val="24"/>
                <w:color w:val="auto"/>
              </w:rPr>
            </w:pPr>
          </w:p>
        </w:tc>
        <w:tc>
          <w:tcPr>
            <w:tcW w:w="540" w:type="dxa"/>
            <w:vAlign w:val="bottom"/>
          </w:tcPr>
          <w:p>
            <w:pPr>
              <w:spacing w:after="0"/>
              <w:rPr>
                <w:sz w:val="24"/>
                <w:szCs w:val="24"/>
                <w:color w:val="auto"/>
              </w:rPr>
            </w:pPr>
          </w:p>
        </w:tc>
        <w:tc>
          <w:tcPr>
            <w:tcW w:w="80" w:type="dxa"/>
            <w:vAlign w:val="bottom"/>
          </w:tcPr>
          <w:p>
            <w:pPr>
              <w:spacing w:after="0"/>
              <w:rPr>
                <w:sz w:val="24"/>
                <w:szCs w:val="24"/>
                <w:color w:val="auto"/>
              </w:rPr>
            </w:pPr>
          </w:p>
        </w:tc>
        <w:tc>
          <w:tcPr>
            <w:tcW w:w="140" w:type="dxa"/>
            <w:vAlign w:val="bottom"/>
          </w:tcPr>
          <w:p>
            <w:pPr>
              <w:spacing w:after="0"/>
              <w:rPr>
                <w:sz w:val="24"/>
                <w:szCs w:val="24"/>
                <w:color w:val="auto"/>
              </w:rPr>
            </w:pPr>
          </w:p>
        </w:tc>
      </w:tr>
      <w:tr>
        <w:trPr>
          <w:trHeight w:val="241"/>
        </w:trPr>
        <w:tc>
          <w:tcPr>
            <w:tcW w:w="740" w:type="dxa"/>
            <w:vAlign w:val="bottom"/>
          </w:tcPr>
          <w:p>
            <w:pPr>
              <w:ind w:left="20"/>
              <w:spacing w:after="0"/>
              <w:rPr>
                <w:sz w:val="20"/>
                <w:szCs w:val="20"/>
                <w:color w:val="auto"/>
              </w:rPr>
            </w:pPr>
            <w:r>
              <w:rPr>
                <w:rFonts w:ascii="Arial" w:cs="Arial" w:eastAsia="Arial" w:hAnsi="Arial"/>
                <w:sz w:val="18"/>
                <w:szCs w:val="18"/>
                <w:b w:val="1"/>
                <w:bCs w:val="1"/>
                <w:color w:val="auto"/>
              </w:rPr>
              <w:t>Number</w:t>
            </w:r>
          </w:p>
        </w:tc>
        <w:tc>
          <w:tcPr>
            <w:tcW w:w="540" w:type="dxa"/>
            <w:vAlign w:val="bottom"/>
          </w:tcPr>
          <w:p>
            <w:pPr>
              <w:spacing w:after="0"/>
              <w:rPr>
                <w:sz w:val="20"/>
                <w:szCs w:val="20"/>
                <w:color w:val="auto"/>
              </w:rPr>
            </w:pPr>
          </w:p>
        </w:tc>
        <w:tc>
          <w:tcPr>
            <w:tcW w:w="9960" w:type="dxa"/>
            <w:vAlign w:val="bottom"/>
            <w:gridSpan w:val="15"/>
          </w:tcPr>
          <w:p>
            <w:pPr>
              <w:spacing w:after="0"/>
              <w:rPr>
                <w:sz w:val="20"/>
                <w:szCs w:val="20"/>
                <w:color w:val="auto"/>
              </w:rPr>
            </w:pPr>
            <w:r>
              <w:rPr>
                <w:rFonts w:ascii="Arial" w:cs="Arial" w:eastAsia="Arial" w:hAnsi="Arial"/>
                <w:sz w:val="18"/>
                <w:szCs w:val="18"/>
                <w:b w:val="1"/>
                <w:bCs w:val="1"/>
                <w:color w:val="auto"/>
              </w:rPr>
              <w:t>Description of Exhibits</w:t>
            </w:r>
          </w:p>
        </w:tc>
      </w:tr>
      <w:tr>
        <w:trPr>
          <w:trHeight w:val="209"/>
        </w:trPr>
        <w:tc>
          <w:tcPr>
            <w:tcW w:w="740" w:type="dxa"/>
            <w:vAlign w:val="bottom"/>
            <w:shd w:val="clear" w:color="auto" w:fill="CFF0FC"/>
          </w:tcPr>
          <w:p>
            <w:pPr>
              <w:ind w:left="20"/>
              <w:spacing w:after="0"/>
              <w:rPr>
                <w:sz w:val="20"/>
                <w:szCs w:val="20"/>
                <w:color w:val="auto"/>
              </w:rPr>
            </w:pPr>
            <w:r>
              <w:rPr>
                <w:rFonts w:ascii="Arial" w:cs="Arial" w:eastAsia="Arial" w:hAnsi="Arial"/>
                <w:sz w:val="18"/>
                <w:szCs w:val="18"/>
                <w:color w:val="auto"/>
              </w:rPr>
              <w:t>3.1</w:t>
            </w:r>
          </w:p>
        </w:tc>
        <w:tc>
          <w:tcPr>
            <w:tcW w:w="10500" w:type="dxa"/>
            <w:vAlign w:val="bottom"/>
            <w:gridSpan w:val="16"/>
            <w:shd w:val="clear" w:color="auto" w:fill="CFF0FC"/>
          </w:tcPr>
          <w:p>
            <w:pPr>
              <w:ind w:left="300"/>
              <w:spacing w:after="0"/>
              <w:rPr>
                <w:rFonts w:ascii="Arial" w:cs="Arial" w:eastAsia="Arial" w:hAnsi="Arial"/>
                <w:sz w:val="18"/>
                <w:szCs w:val="18"/>
                <w:color w:val="auto"/>
                <w:w w:val="99"/>
              </w:rPr>
            </w:pPr>
            <w:r>
              <w:rPr>
                <w:rFonts w:ascii="Arial" w:cs="Arial" w:eastAsia="Arial" w:hAnsi="Arial"/>
                <w:sz w:val="18"/>
                <w:szCs w:val="18"/>
                <w:color w:val="auto"/>
                <w:w w:val="99"/>
              </w:rPr>
              <w:t xml:space="preserve">–  </w:t>
            </w:r>
            <w:hyperlink r:id="rId396">
              <w:r>
                <w:rPr>
                  <w:rFonts w:ascii="Arial" w:cs="Arial" w:eastAsia="Arial" w:hAnsi="Arial"/>
                  <w:sz w:val="18"/>
                  <w:szCs w:val="18"/>
                  <w:color w:val="0000FF"/>
                  <w:w w:val="99"/>
                </w:rPr>
                <w:t>Restated Articles of Incorporation of the Company with all amendments to date (incorporated by reference to Exhibit 3.1 to the</w:t>
              </w:r>
            </w:hyperlink>
          </w:p>
        </w:tc>
      </w:tr>
      <w:tr>
        <w:trPr>
          <w:trHeight w:val="20"/>
        </w:trPr>
        <w:tc>
          <w:tcPr>
            <w:tcW w:w="740" w:type="dxa"/>
            <w:vAlign w:val="bottom"/>
            <w:shd w:val="clear" w:color="auto" w:fill="CFF0FC"/>
          </w:tcPr>
          <w:p>
            <w:pPr>
              <w:spacing w:after="0" w:line="20" w:lineRule="exact"/>
              <w:rPr>
                <w:sz w:val="1"/>
                <w:szCs w:val="1"/>
                <w:color w:val="auto"/>
              </w:rPr>
            </w:pPr>
          </w:p>
        </w:tc>
        <w:tc>
          <w:tcPr>
            <w:tcW w:w="540" w:type="dxa"/>
            <w:vAlign w:val="bottom"/>
            <w:tcBorders>
              <w:right w:val="single" w:sz="8" w:color="CFF0FC"/>
            </w:tcBorders>
            <w:shd w:val="clear" w:color="auto" w:fill="CFF0FC"/>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1000" w:type="dxa"/>
            <w:vAlign w:val="bottom"/>
            <w:shd w:val="clear" w:color="auto" w:fill="0000FF"/>
          </w:tcPr>
          <w:p>
            <w:pPr>
              <w:spacing w:after="0" w:line="20" w:lineRule="exact"/>
              <w:rPr>
                <w:sz w:val="1"/>
                <w:szCs w:val="1"/>
                <w:color w:val="auto"/>
              </w:rPr>
            </w:pPr>
          </w:p>
        </w:tc>
        <w:tc>
          <w:tcPr>
            <w:tcW w:w="3260" w:type="dxa"/>
            <w:vAlign w:val="bottom"/>
            <w:shd w:val="clear" w:color="auto" w:fill="0000FF"/>
          </w:tcPr>
          <w:p>
            <w:pPr>
              <w:spacing w:after="0" w:line="20" w:lineRule="exact"/>
              <w:rPr>
                <w:sz w:val="1"/>
                <w:szCs w:val="1"/>
                <w:color w:val="auto"/>
              </w:rPr>
            </w:pPr>
          </w:p>
        </w:tc>
        <w:tc>
          <w:tcPr>
            <w:tcW w:w="540" w:type="dxa"/>
            <w:vAlign w:val="bottom"/>
            <w:shd w:val="clear" w:color="auto" w:fill="CFF0FC"/>
          </w:tcPr>
          <w:p>
            <w:pPr>
              <w:spacing w:after="0" w:line="20" w:lineRule="exact"/>
              <w:rPr>
                <w:sz w:val="1"/>
                <w:szCs w:val="1"/>
                <w:color w:val="auto"/>
              </w:rPr>
            </w:pPr>
          </w:p>
        </w:tc>
        <w:tc>
          <w:tcPr>
            <w:tcW w:w="80" w:type="dxa"/>
            <w:vAlign w:val="bottom"/>
            <w:shd w:val="clear" w:color="auto" w:fill="CFF0FC"/>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10"/>
        </w:trPr>
        <w:tc>
          <w:tcPr>
            <w:tcW w:w="74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9960" w:type="dxa"/>
            <w:vAlign w:val="bottom"/>
            <w:gridSpan w:val="15"/>
            <w:shd w:val="clear" w:color="auto" w:fill="CFF0FC"/>
          </w:tcPr>
          <w:p>
            <w:pPr>
              <w:spacing w:after="0"/>
              <w:rPr>
                <w:rFonts w:ascii="Arial" w:cs="Arial" w:eastAsia="Arial" w:hAnsi="Arial"/>
                <w:sz w:val="18"/>
                <w:szCs w:val="18"/>
                <w:color w:val="0000FF"/>
              </w:rPr>
            </w:pPr>
            <w:hyperlink r:id="rId396">
              <w:r>
                <w:rPr>
                  <w:rFonts w:ascii="Arial" w:cs="Arial" w:eastAsia="Arial" w:hAnsi="Arial"/>
                  <w:sz w:val="18"/>
                  <w:szCs w:val="18"/>
                  <w:color w:val="0000FF"/>
                </w:rPr>
                <w:t>Registrant’s Annual Report on Form 10-K for the year ended December 31, 2014).</w:t>
              </w:r>
            </w:hyperlink>
          </w:p>
        </w:tc>
      </w:tr>
      <w:tr>
        <w:trPr>
          <w:trHeight w:val="34"/>
        </w:trPr>
        <w:tc>
          <w:tcPr>
            <w:tcW w:w="7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right w:val="single" w:sz="8" w:color="CFF0FC"/>
            </w:tcBorders>
            <w:shd w:val="clear" w:color="auto" w:fill="CFF0FC"/>
          </w:tcPr>
          <w:p>
            <w:pPr>
              <w:spacing w:after="0"/>
              <w:rPr>
                <w:sz w:val="2"/>
                <w:szCs w:val="2"/>
                <w:color w:val="auto"/>
              </w:rPr>
            </w:pPr>
          </w:p>
        </w:tc>
        <w:tc>
          <w:tcPr>
            <w:tcW w:w="2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000" w:type="dxa"/>
            <w:vAlign w:val="bottom"/>
            <w:tcBorders>
              <w:top w:val="single" w:sz="8" w:color="0000FF"/>
            </w:tcBorders>
            <w:shd w:val="clear" w:color="auto" w:fill="CFF0FC"/>
          </w:tcPr>
          <w:p>
            <w:pPr>
              <w:spacing w:after="0"/>
              <w:rPr>
                <w:sz w:val="2"/>
                <w:szCs w:val="2"/>
                <w:color w:val="auto"/>
              </w:rPr>
            </w:pPr>
          </w:p>
        </w:tc>
        <w:tc>
          <w:tcPr>
            <w:tcW w:w="326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r>
      <w:tr>
        <w:trPr>
          <w:trHeight w:val="203"/>
        </w:trPr>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3.2</w:t>
            </w:r>
          </w:p>
        </w:tc>
        <w:tc>
          <w:tcPr>
            <w:tcW w:w="10500" w:type="dxa"/>
            <w:vAlign w:val="bottom"/>
            <w:gridSpan w:val="16"/>
          </w:tcPr>
          <w:p>
            <w:pPr>
              <w:ind w:left="300"/>
              <w:spacing w:after="0" w:line="202"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7">
              <w:r>
                <w:rPr>
                  <w:rFonts w:ascii="Arial" w:cs="Arial" w:eastAsia="Arial" w:hAnsi="Arial"/>
                  <w:sz w:val="18"/>
                  <w:szCs w:val="18"/>
                  <w:color w:val="0000FF"/>
                  <w:w w:val="93"/>
                </w:rPr>
                <w:t>Bylaws of the Company, as amended to March 17, 2020 (incorporated by reference to Exhibit 3.2 to the Registrant’s Annual Report on</w:t>
              </w:r>
            </w:hyperlink>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00" w:type="dxa"/>
            <w:vAlign w:val="bottom"/>
            <w:gridSpan w:val="3"/>
            <w:shd w:val="clear" w:color="auto" w:fill="0000FF"/>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0000FF"/>
              </w:rPr>
            </w:pPr>
            <w:hyperlink r:id="rId397">
              <w:r>
                <w:rPr>
                  <w:rFonts w:ascii="Arial" w:cs="Arial" w:eastAsia="Arial" w:hAnsi="Arial"/>
                  <w:sz w:val="18"/>
                  <w:szCs w:val="18"/>
                  <w:color w:val="0000FF"/>
                </w:rPr>
                <w:t>Form 10-K for the year ended December 31, 2014).</w:t>
              </w:r>
            </w:hyperlink>
          </w:p>
        </w:tc>
      </w:tr>
      <w:tr>
        <w:trPr>
          <w:trHeight w:val="34"/>
        </w:trPr>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2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360" w:type="dxa"/>
            <w:vAlign w:val="bottom"/>
            <w:tcBorders>
              <w:top w:val="single" w:sz="8" w:color="0000FF"/>
            </w:tcBorders>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200" w:type="dxa"/>
            <w:vAlign w:val="bottom"/>
            <w:tcBorders>
              <w:top w:val="single" w:sz="8" w:color="0000FF"/>
            </w:tcBorders>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3.3</w:t>
            </w:r>
          </w:p>
        </w:tc>
        <w:tc>
          <w:tcPr>
            <w:tcW w:w="10500" w:type="dxa"/>
            <w:vAlign w:val="bottom"/>
            <w:gridSpan w:val="16"/>
            <w:shd w:val="clear" w:color="auto" w:fill="CFF0FC"/>
          </w:tcPr>
          <w:p>
            <w:pPr>
              <w:ind w:left="300"/>
              <w:spacing w:after="0" w:line="202" w:lineRule="exact"/>
              <w:rPr>
                <w:rFonts w:ascii="Arial" w:cs="Arial" w:eastAsia="Arial" w:hAnsi="Arial"/>
                <w:sz w:val="18"/>
                <w:szCs w:val="18"/>
                <w:color w:val="auto"/>
                <w:w w:val="93"/>
              </w:rPr>
            </w:pPr>
            <w:r>
              <w:rPr>
                <w:rFonts w:ascii="Arial" w:cs="Arial" w:eastAsia="Arial" w:hAnsi="Arial"/>
                <w:sz w:val="18"/>
                <w:szCs w:val="18"/>
                <w:color w:val="auto"/>
                <w:w w:val="93"/>
              </w:rPr>
              <w:t xml:space="preserve">–  </w:t>
            </w:r>
            <w:hyperlink r:id="rId398">
              <w:r>
                <w:rPr>
                  <w:rFonts w:ascii="Arial" w:cs="Arial" w:eastAsia="Arial" w:hAnsi="Arial"/>
                  <w:sz w:val="18"/>
                  <w:szCs w:val="18"/>
                  <w:color w:val="0000FF"/>
                  <w:w w:val="93"/>
                </w:rPr>
                <w:t>Amendment to Bylaws of Kirby Corporation dated March 18, 2020 (incorporated by reference to Exhibit 3.1 to the Registrant’s Current</w:t>
              </w:r>
            </w:hyperlink>
          </w:p>
        </w:tc>
      </w:tr>
      <w:tr>
        <w:trPr>
          <w:trHeight w:val="20"/>
        </w:trPr>
        <w:tc>
          <w:tcPr>
            <w:tcW w:w="740" w:type="dxa"/>
            <w:vAlign w:val="bottom"/>
            <w:shd w:val="clear" w:color="auto" w:fill="CFF0FC"/>
          </w:tcPr>
          <w:p>
            <w:pPr>
              <w:spacing w:after="0" w:line="20" w:lineRule="exact"/>
              <w:rPr>
                <w:sz w:val="1"/>
                <w:szCs w:val="1"/>
                <w:color w:val="auto"/>
              </w:rPr>
            </w:pPr>
          </w:p>
        </w:tc>
        <w:tc>
          <w:tcPr>
            <w:tcW w:w="540" w:type="dxa"/>
            <w:vAlign w:val="bottom"/>
            <w:tcBorders>
              <w:right w:val="single" w:sz="8" w:color="CFF0FC"/>
            </w:tcBorders>
            <w:shd w:val="clear" w:color="auto" w:fill="CFF0FC"/>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2"/>
            <w:shd w:val="clear" w:color="auto" w:fill="0000FF"/>
          </w:tcPr>
          <w:p>
            <w:pPr>
              <w:spacing w:after="0" w:line="20" w:lineRule="exact"/>
              <w:rPr>
                <w:sz w:val="1"/>
                <w:szCs w:val="1"/>
                <w:color w:val="auto"/>
              </w:rPr>
            </w:pPr>
          </w:p>
        </w:tc>
        <w:tc>
          <w:tcPr>
            <w:tcW w:w="40" w:type="dxa"/>
            <w:vAlign w:val="bottom"/>
            <w:shd w:val="clear" w:color="auto" w:fill="0000FF"/>
          </w:tcPr>
          <w:p>
            <w:pPr>
              <w:spacing w:after="0" w:line="20" w:lineRule="exact"/>
              <w:rPr>
                <w:sz w:val="1"/>
                <w:szCs w:val="1"/>
                <w:color w:val="auto"/>
              </w:rPr>
            </w:pPr>
          </w:p>
        </w:tc>
        <w:tc>
          <w:tcPr>
            <w:tcW w:w="100" w:type="dxa"/>
            <w:vAlign w:val="bottom"/>
            <w:shd w:val="clear" w:color="auto" w:fill="0000FF"/>
          </w:tcPr>
          <w:p>
            <w:pPr>
              <w:spacing w:after="0" w:line="20" w:lineRule="exact"/>
              <w:rPr>
                <w:sz w:val="1"/>
                <w:szCs w:val="1"/>
                <w:color w:val="auto"/>
              </w:rPr>
            </w:pPr>
          </w:p>
        </w:tc>
        <w:tc>
          <w:tcPr>
            <w:tcW w:w="4880" w:type="dxa"/>
            <w:vAlign w:val="bottom"/>
            <w:gridSpan w:val="4"/>
            <w:shd w:val="clear" w:color="auto" w:fill="0000FF"/>
          </w:tcPr>
          <w:p>
            <w:pPr>
              <w:spacing w:after="0" w:line="20" w:lineRule="exact"/>
              <w:rPr>
                <w:sz w:val="1"/>
                <w:szCs w:val="1"/>
                <w:color w:val="auto"/>
              </w:rPr>
            </w:pPr>
          </w:p>
        </w:tc>
        <w:tc>
          <w:tcPr>
            <w:tcW w:w="140" w:type="dxa"/>
            <w:vAlign w:val="bottom"/>
            <w:shd w:val="clear" w:color="auto" w:fill="CFF0FC"/>
          </w:tcPr>
          <w:p>
            <w:pPr>
              <w:spacing w:after="0" w:line="20" w:lineRule="exact"/>
              <w:rPr>
                <w:sz w:val="1"/>
                <w:szCs w:val="1"/>
                <w:color w:val="auto"/>
              </w:rPr>
            </w:pPr>
          </w:p>
        </w:tc>
      </w:tr>
      <w:tr>
        <w:trPr>
          <w:trHeight w:val="209"/>
        </w:trPr>
        <w:tc>
          <w:tcPr>
            <w:tcW w:w="740" w:type="dxa"/>
            <w:vAlign w:val="bottom"/>
            <w:shd w:val="clear" w:color="auto" w:fill="CFF0FC"/>
          </w:tcPr>
          <w:p>
            <w:pPr>
              <w:spacing w:after="0"/>
              <w:rPr>
                <w:sz w:val="18"/>
                <w:szCs w:val="18"/>
                <w:color w:val="auto"/>
              </w:rPr>
            </w:pPr>
          </w:p>
        </w:tc>
        <w:tc>
          <w:tcPr>
            <w:tcW w:w="540" w:type="dxa"/>
            <w:vAlign w:val="bottom"/>
            <w:tcBorders>
              <w:right w:val="single" w:sz="8" w:color="CFF0FC"/>
            </w:tcBorders>
            <w:shd w:val="clear" w:color="auto" w:fill="CFF0FC"/>
          </w:tcPr>
          <w:p>
            <w:pPr>
              <w:spacing w:after="0"/>
              <w:rPr>
                <w:sz w:val="18"/>
                <w:szCs w:val="18"/>
                <w:color w:val="auto"/>
              </w:rPr>
            </w:pPr>
          </w:p>
        </w:tc>
        <w:tc>
          <w:tcPr>
            <w:tcW w:w="9960" w:type="dxa"/>
            <w:vAlign w:val="bottom"/>
            <w:gridSpan w:val="15"/>
            <w:shd w:val="clear" w:color="auto" w:fill="CFF0FC"/>
          </w:tcPr>
          <w:p>
            <w:pPr>
              <w:spacing w:after="0"/>
              <w:rPr>
                <w:rFonts w:ascii="Arial" w:cs="Arial" w:eastAsia="Arial" w:hAnsi="Arial"/>
                <w:sz w:val="18"/>
                <w:szCs w:val="18"/>
                <w:color w:val="0000FF"/>
              </w:rPr>
            </w:pPr>
            <w:hyperlink r:id="rId398">
              <w:r>
                <w:rPr>
                  <w:rFonts w:ascii="Arial" w:cs="Arial" w:eastAsia="Arial" w:hAnsi="Arial"/>
                  <w:sz w:val="18"/>
                  <w:szCs w:val="18"/>
                  <w:color w:val="0000FF"/>
                </w:rPr>
                <w:t>Report on Form 8-K filed with the Commission on March 19, 2020).</w:t>
              </w:r>
            </w:hyperlink>
          </w:p>
        </w:tc>
      </w:tr>
      <w:tr>
        <w:trPr>
          <w:trHeight w:val="34"/>
        </w:trPr>
        <w:tc>
          <w:tcPr>
            <w:tcW w:w="7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right w:val="single" w:sz="8" w:color="CFF0FC"/>
            </w:tcBorders>
            <w:shd w:val="clear" w:color="auto" w:fill="CFF0FC"/>
          </w:tcPr>
          <w:p>
            <w:pPr>
              <w:spacing w:after="0"/>
              <w:rPr>
                <w:sz w:val="2"/>
                <w:szCs w:val="2"/>
                <w:color w:val="auto"/>
              </w:rPr>
            </w:pPr>
          </w:p>
        </w:tc>
        <w:tc>
          <w:tcPr>
            <w:tcW w:w="2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0000FF"/>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326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r>
      <w:tr>
        <w:trPr>
          <w:trHeight w:val="242"/>
        </w:trPr>
        <w:tc>
          <w:tcPr>
            <w:tcW w:w="740" w:type="dxa"/>
            <w:vAlign w:val="bottom"/>
          </w:tcPr>
          <w:p>
            <w:pPr>
              <w:ind w:left="20"/>
              <w:spacing w:after="0"/>
              <w:rPr>
                <w:sz w:val="20"/>
                <w:szCs w:val="20"/>
                <w:color w:val="auto"/>
              </w:rPr>
            </w:pPr>
            <w:r>
              <w:rPr>
                <w:rFonts w:ascii="Arial" w:cs="Arial" w:eastAsia="Arial" w:hAnsi="Arial"/>
                <w:sz w:val="18"/>
                <w:szCs w:val="18"/>
                <w:color w:val="auto"/>
              </w:rPr>
              <w:t>4.1</w:t>
            </w:r>
          </w:p>
        </w:tc>
        <w:tc>
          <w:tcPr>
            <w:tcW w:w="10500" w:type="dxa"/>
            <w:vAlign w:val="bottom"/>
            <w:gridSpan w:val="16"/>
          </w:tcPr>
          <w:p>
            <w:pPr>
              <w:ind w:left="300"/>
              <w:spacing w:after="0"/>
              <w:rPr>
                <w:sz w:val="20"/>
                <w:szCs w:val="20"/>
                <w:color w:val="auto"/>
              </w:rPr>
            </w:pPr>
            <w:r>
              <w:rPr>
                <w:rFonts w:ascii="Arial" w:cs="Arial" w:eastAsia="Arial" w:hAnsi="Arial"/>
                <w:sz w:val="18"/>
                <w:szCs w:val="18"/>
                <w:color w:val="auto"/>
                <w:w w:val="95"/>
              </w:rPr>
              <w:t>–  See Exhibits 3.1, 3.2, and 3.3 hereof for provisions of our Restated Articles of Incorporation of the Company with all amendments to</w:t>
            </w:r>
          </w:p>
        </w:tc>
      </w:tr>
      <w:tr>
        <w:trPr>
          <w:trHeight w:val="229"/>
        </w:trPr>
        <w:tc>
          <w:tcPr>
            <w:tcW w:w="740" w:type="dxa"/>
            <w:vAlign w:val="bottom"/>
          </w:tcPr>
          <w:p>
            <w:pPr>
              <w:spacing w:after="0"/>
              <w:rPr>
                <w:sz w:val="19"/>
                <w:szCs w:val="19"/>
                <w:color w:val="auto"/>
              </w:rPr>
            </w:pPr>
          </w:p>
        </w:tc>
        <w:tc>
          <w:tcPr>
            <w:tcW w:w="540" w:type="dxa"/>
            <w:vAlign w:val="bottom"/>
          </w:tcPr>
          <w:p>
            <w:pPr>
              <w:spacing w:after="0"/>
              <w:rPr>
                <w:sz w:val="19"/>
                <w:szCs w:val="19"/>
                <w:color w:val="auto"/>
              </w:rPr>
            </w:pPr>
          </w:p>
        </w:tc>
        <w:tc>
          <w:tcPr>
            <w:tcW w:w="9960" w:type="dxa"/>
            <w:vAlign w:val="bottom"/>
            <w:gridSpan w:val="15"/>
          </w:tcPr>
          <w:p>
            <w:pPr>
              <w:spacing w:after="0"/>
              <w:rPr>
                <w:sz w:val="20"/>
                <w:szCs w:val="20"/>
                <w:color w:val="auto"/>
              </w:rPr>
            </w:pPr>
            <w:r>
              <w:rPr>
                <w:rFonts w:ascii="Arial" w:cs="Arial" w:eastAsia="Arial" w:hAnsi="Arial"/>
                <w:sz w:val="18"/>
                <w:szCs w:val="18"/>
                <w:color w:val="auto"/>
                <w:w w:val="93"/>
              </w:rPr>
              <w:t>date, the Bylaws of the Company, as amended to March 17, 2020, and Amendment to Bylaws of the Company dated March 18, 2020</w:t>
            </w:r>
          </w:p>
        </w:tc>
      </w:tr>
      <w:tr>
        <w:trPr>
          <w:trHeight w:val="190"/>
        </w:trPr>
        <w:tc>
          <w:tcPr>
            <w:tcW w:w="740" w:type="dxa"/>
            <w:vAlign w:val="bottom"/>
          </w:tcPr>
          <w:p>
            <w:pPr>
              <w:spacing w:after="0"/>
              <w:rPr>
                <w:sz w:val="16"/>
                <w:szCs w:val="16"/>
                <w:color w:val="auto"/>
              </w:rPr>
            </w:pPr>
          </w:p>
        </w:tc>
        <w:tc>
          <w:tcPr>
            <w:tcW w:w="540" w:type="dxa"/>
            <w:vAlign w:val="bottom"/>
          </w:tcPr>
          <w:p>
            <w:pPr>
              <w:spacing w:after="0"/>
              <w:rPr>
                <w:sz w:val="16"/>
                <w:szCs w:val="16"/>
                <w:color w:val="auto"/>
              </w:rPr>
            </w:pPr>
          </w:p>
        </w:tc>
        <w:tc>
          <w:tcPr>
            <w:tcW w:w="9960" w:type="dxa"/>
            <w:vAlign w:val="bottom"/>
            <w:gridSpan w:val="15"/>
          </w:tcPr>
          <w:p>
            <w:pPr>
              <w:spacing w:after="0" w:line="190" w:lineRule="exact"/>
              <w:rPr>
                <w:rFonts w:ascii="Arial" w:cs="Arial" w:eastAsia="Arial" w:hAnsi="Arial"/>
                <w:sz w:val="18"/>
                <w:szCs w:val="18"/>
                <w:color w:val="auto"/>
                <w:w w:val="96"/>
              </w:rPr>
            </w:pPr>
            <w:r>
              <w:rPr>
                <w:rFonts w:ascii="Arial" w:cs="Arial" w:eastAsia="Arial" w:hAnsi="Arial"/>
                <w:sz w:val="18"/>
                <w:szCs w:val="18"/>
                <w:color w:val="auto"/>
                <w:w w:val="96"/>
              </w:rPr>
              <w:t xml:space="preserve">(incorporated by reference to Exhibit </w:t>
            </w:r>
            <w:hyperlink r:id="rId396">
              <w:r>
                <w:rPr>
                  <w:rFonts w:ascii="Arial" w:cs="Arial" w:eastAsia="Arial" w:hAnsi="Arial"/>
                  <w:sz w:val="18"/>
                  <w:szCs w:val="18"/>
                  <w:color w:val="0000FF"/>
                  <w:w w:val="96"/>
                </w:rPr>
                <w:t>3.1</w:t>
              </w:r>
              <w:r>
                <w:rPr>
                  <w:rFonts w:ascii="Arial" w:cs="Arial" w:eastAsia="Arial" w:hAnsi="Arial"/>
                  <w:sz w:val="18"/>
                  <w:szCs w:val="18"/>
                  <w:color w:val="auto"/>
                  <w:w w:val="96"/>
                </w:rPr>
                <w:t xml:space="preserve"> </w:t>
              </w:r>
            </w:hyperlink>
            <w:r>
              <w:rPr>
                <w:rFonts w:ascii="Arial" w:cs="Arial" w:eastAsia="Arial" w:hAnsi="Arial"/>
                <w:sz w:val="18"/>
                <w:szCs w:val="18"/>
                <w:color w:val="auto"/>
                <w:w w:val="96"/>
              </w:rPr>
              <w:t xml:space="preserve">and </w:t>
            </w:r>
            <w:hyperlink r:id="rId397">
              <w:r>
                <w:rPr>
                  <w:rFonts w:ascii="Arial" w:cs="Arial" w:eastAsia="Arial" w:hAnsi="Arial"/>
                  <w:sz w:val="18"/>
                  <w:szCs w:val="18"/>
                  <w:color w:val="0000FF"/>
                  <w:w w:val="96"/>
                </w:rPr>
                <w:t>3.2</w:t>
              </w:r>
            </w:hyperlink>
            <w:r>
              <w:rPr>
                <w:rFonts w:ascii="Arial" w:cs="Arial" w:eastAsia="Arial" w:hAnsi="Arial"/>
                <w:sz w:val="18"/>
                <w:szCs w:val="18"/>
                <w:color w:val="auto"/>
                <w:w w:val="96"/>
              </w:rPr>
              <w:t>, respectively, to the Registrant's Annual Report on Form 10-K for the year ended</w:t>
            </w:r>
          </w:p>
        </w:tc>
      </w:tr>
      <w:tr>
        <w:trPr>
          <w:trHeight w:val="20"/>
        </w:trPr>
        <w:tc>
          <w:tcPr>
            <w:tcW w:w="74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2320" w:type="dxa"/>
            <w:vAlign w:val="bottom"/>
          </w:tcPr>
          <w:p>
            <w:pPr>
              <w:spacing w:after="0" w:line="20" w:lineRule="exact"/>
              <w:rPr>
                <w:sz w:val="1"/>
                <w:szCs w:val="1"/>
                <w:color w:val="auto"/>
              </w:rPr>
            </w:pPr>
          </w:p>
        </w:tc>
        <w:tc>
          <w:tcPr>
            <w:tcW w:w="220" w:type="dxa"/>
            <w:vAlign w:val="bottom"/>
          </w:tcPr>
          <w:p>
            <w:pPr>
              <w:spacing w:after="0" w:line="20" w:lineRule="exact"/>
              <w:rPr>
                <w:sz w:val="1"/>
                <w:szCs w:val="1"/>
                <w:color w:val="auto"/>
              </w:rPr>
            </w:pPr>
          </w:p>
        </w:tc>
        <w:tc>
          <w:tcPr>
            <w:tcW w:w="1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300" w:type="dxa"/>
            <w:vAlign w:val="bottom"/>
            <w:gridSpan w:val="2"/>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5120" w:type="dxa"/>
            <w:vAlign w:val="bottom"/>
            <w:gridSpan w:val="6"/>
          </w:tcPr>
          <w:p>
            <w:pPr>
              <w:spacing w:after="0" w:line="20" w:lineRule="exact"/>
              <w:rPr>
                <w:sz w:val="1"/>
                <w:szCs w:val="1"/>
                <w:color w:val="auto"/>
              </w:rPr>
            </w:pPr>
          </w:p>
        </w:tc>
      </w:tr>
      <w:tr>
        <w:trPr>
          <w:trHeight w:val="209"/>
        </w:trPr>
        <w:tc>
          <w:tcPr>
            <w:tcW w:w="740" w:type="dxa"/>
            <w:vAlign w:val="bottom"/>
          </w:tcPr>
          <w:p>
            <w:pPr>
              <w:spacing w:after="0"/>
              <w:rPr>
                <w:sz w:val="18"/>
                <w:szCs w:val="18"/>
                <w:color w:val="auto"/>
              </w:rPr>
            </w:pPr>
          </w:p>
        </w:tc>
        <w:tc>
          <w:tcPr>
            <w:tcW w:w="540" w:type="dxa"/>
            <w:vAlign w:val="bottom"/>
          </w:tcPr>
          <w:p>
            <w:pPr>
              <w:spacing w:after="0"/>
              <w:rPr>
                <w:sz w:val="18"/>
                <w:szCs w:val="18"/>
                <w:color w:val="auto"/>
              </w:rPr>
            </w:pPr>
          </w:p>
        </w:tc>
        <w:tc>
          <w:tcPr>
            <w:tcW w:w="9960" w:type="dxa"/>
            <w:vAlign w:val="bottom"/>
            <w:gridSpan w:val="15"/>
          </w:tcPr>
          <w:p>
            <w:pPr>
              <w:spacing w:after="0"/>
              <w:rPr>
                <w:rFonts w:ascii="Arial" w:cs="Arial" w:eastAsia="Arial" w:hAnsi="Arial"/>
                <w:sz w:val="18"/>
                <w:szCs w:val="18"/>
                <w:color w:val="auto"/>
                <w:w w:val="95"/>
              </w:rPr>
            </w:pPr>
            <w:r>
              <w:rPr>
                <w:rFonts w:ascii="Arial" w:cs="Arial" w:eastAsia="Arial" w:hAnsi="Arial"/>
                <w:sz w:val="18"/>
                <w:szCs w:val="18"/>
                <w:color w:val="auto"/>
                <w:w w:val="95"/>
              </w:rPr>
              <w:t xml:space="preserve">December 31, 2014 and Exhibit </w:t>
            </w:r>
            <w:hyperlink r:id="rId398">
              <w:r>
                <w:rPr>
                  <w:rFonts w:ascii="Arial" w:cs="Arial" w:eastAsia="Arial" w:hAnsi="Arial"/>
                  <w:sz w:val="18"/>
                  <w:szCs w:val="18"/>
                  <w:color w:val="0000FF"/>
                  <w:w w:val="95"/>
                </w:rPr>
                <w:t>3.1</w:t>
              </w:r>
              <w:r>
                <w:rPr>
                  <w:rFonts w:ascii="Arial" w:cs="Arial" w:eastAsia="Arial" w:hAnsi="Arial"/>
                  <w:sz w:val="18"/>
                  <w:szCs w:val="18"/>
                  <w:color w:val="auto"/>
                  <w:w w:val="95"/>
                </w:rPr>
                <w:t xml:space="preserve"> </w:t>
              </w:r>
            </w:hyperlink>
            <w:r>
              <w:rPr>
                <w:rFonts w:ascii="Arial" w:cs="Arial" w:eastAsia="Arial" w:hAnsi="Arial"/>
                <w:sz w:val="18"/>
                <w:szCs w:val="18"/>
                <w:color w:val="auto"/>
                <w:w w:val="95"/>
              </w:rPr>
              <w:t>to the Registrant’s Current Report on Form 8-K filed with the Commission on March 19, 2020).</w:t>
            </w:r>
          </w:p>
        </w:tc>
      </w:tr>
      <w:tr>
        <w:trPr>
          <w:trHeight w:val="34"/>
        </w:trPr>
        <w:tc>
          <w:tcPr>
            <w:tcW w:w="740" w:type="dxa"/>
            <w:vAlign w:val="bottom"/>
          </w:tcPr>
          <w:p>
            <w:pPr>
              <w:spacing w:after="0"/>
              <w:rPr>
                <w:sz w:val="2"/>
                <w:szCs w:val="2"/>
                <w:color w:val="auto"/>
              </w:rPr>
            </w:pPr>
          </w:p>
        </w:tc>
        <w:tc>
          <w:tcPr>
            <w:tcW w:w="540" w:type="dxa"/>
            <w:vAlign w:val="bottom"/>
          </w:tcPr>
          <w:p>
            <w:pPr>
              <w:spacing w:after="0"/>
              <w:rPr>
                <w:sz w:val="2"/>
                <w:szCs w:val="2"/>
                <w:color w:val="auto"/>
              </w:rPr>
            </w:pPr>
          </w:p>
        </w:tc>
        <w:tc>
          <w:tcPr>
            <w:tcW w:w="2320" w:type="dxa"/>
            <w:vAlign w:val="bottom"/>
          </w:tcPr>
          <w:p>
            <w:pPr>
              <w:spacing w:after="0"/>
              <w:rPr>
                <w:sz w:val="2"/>
                <w:szCs w:val="2"/>
                <w:color w:val="auto"/>
              </w:rPr>
            </w:pPr>
          </w:p>
        </w:tc>
        <w:tc>
          <w:tcPr>
            <w:tcW w:w="220" w:type="dxa"/>
            <w:vAlign w:val="bottom"/>
            <w:tcBorders>
              <w:top w:val="single" w:sz="8" w:color="0000FF"/>
            </w:tcBorders>
          </w:tcPr>
          <w:p>
            <w:pPr>
              <w:spacing w:after="0"/>
              <w:rPr>
                <w:sz w:val="2"/>
                <w:szCs w:val="2"/>
                <w:color w:val="auto"/>
              </w:rPr>
            </w:pPr>
          </w:p>
        </w:tc>
        <w:tc>
          <w:tcPr>
            <w:tcW w:w="160" w:type="dxa"/>
            <w:vAlign w:val="bottom"/>
          </w:tcPr>
          <w:p>
            <w:pPr>
              <w:spacing w:after="0"/>
              <w:rPr>
                <w:sz w:val="2"/>
                <w:szCs w:val="2"/>
                <w:color w:val="auto"/>
              </w:rPr>
            </w:pPr>
          </w:p>
        </w:tc>
        <w:tc>
          <w:tcPr>
            <w:tcW w:w="220" w:type="dxa"/>
            <w:vAlign w:val="bottom"/>
          </w:tcPr>
          <w:p>
            <w:pPr>
              <w:spacing w:after="0"/>
              <w:rPr>
                <w:sz w:val="2"/>
                <w:szCs w:val="2"/>
                <w:color w:val="auto"/>
              </w:rPr>
            </w:pPr>
          </w:p>
        </w:tc>
        <w:tc>
          <w:tcPr>
            <w:tcW w:w="360" w:type="dxa"/>
            <w:vAlign w:val="bottom"/>
          </w:tcPr>
          <w:p>
            <w:pPr>
              <w:spacing w:after="0"/>
              <w:rPr>
                <w:sz w:val="2"/>
                <w:szCs w:val="2"/>
                <w:color w:val="auto"/>
              </w:rPr>
            </w:pPr>
          </w:p>
        </w:tc>
        <w:tc>
          <w:tcPr>
            <w:tcW w:w="220" w:type="dxa"/>
            <w:vAlign w:val="bottom"/>
          </w:tcPr>
          <w:p>
            <w:pPr>
              <w:spacing w:after="0"/>
              <w:rPr>
                <w:sz w:val="2"/>
                <w:szCs w:val="2"/>
                <w:color w:val="auto"/>
              </w:rPr>
            </w:pPr>
          </w:p>
        </w:tc>
        <w:tc>
          <w:tcPr>
            <w:tcW w:w="200" w:type="dxa"/>
            <w:vAlign w:val="bottom"/>
          </w:tcPr>
          <w:p>
            <w:pPr>
              <w:spacing w:after="0"/>
              <w:rPr>
                <w:sz w:val="2"/>
                <w:szCs w:val="2"/>
                <w:color w:val="auto"/>
              </w:rPr>
            </w:pPr>
          </w:p>
        </w:tc>
        <w:tc>
          <w:tcPr>
            <w:tcW w:w="1100" w:type="dxa"/>
            <w:vAlign w:val="bottom"/>
          </w:tcPr>
          <w:p>
            <w:pPr>
              <w:spacing w:after="0"/>
              <w:rPr>
                <w:sz w:val="2"/>
                <w:szCs w:val="2"/>
                <w:color w:val="auto"/>
              </w:rPr>
            </w:pPr>
          </w:p>
        </w:tc>
        <w:tc>
          <w:tcPr>
            <w:tcW w:w="40" w:type="dxa"/>
            <w:vAlign w:val="bottom"/>
          </w:tcPr>
          <w:p>
            <w:pPr>
              <w:spacing w:after="0"/>
              <w:rPr>
                <w:sz w:val="2"/>
                <w:szCs w:val="2"/>
                <w:color w:val="auto"/>
              </w:rPr>
            </w:pPr>
          </w:p>
        </w:tc>
        <w:tc>
          <w:tcPr>
            <w:tcW w:w="100" w:type="dxa"/>
            <w:vAlign w:val="bottom"/>
          </w:tcPr>
          <w:p>
            <w:pPr>
              <w:spacing w:after="0"/>
              <w:rPr>
                <w:sz w:val="2"/>
                <w:szCs w:val="2"/>
                <w:color w:val="auto"/>
              </w:rPr>
            </w:pPr>
          </w:p>
        </w:tc>
        <w:tc>
          <w:tcPr>
            <w:tcW w:w="1000" w:type="dxa"/>
            <w:vAlign w:val="bottom"/>
          </w:tcPr>
          <w:p>
            <w:pPr>
              <w:spacing w:after="0"/>
              <w:rPr>
                <w:sz w:val="2"/>
                <w:szCs w:val="2"/>
                <w:color w:val="auto"/>
              </w:rPr>
            </w:pPr>
          </w:p>
        </w:tc>
        <w:tc>
          <w:tcPr>
            <w:tcW w:w="3260" w:type="dxa"/>
            <w:vAlign w:val="bottom"/>
          </w:tcPr>
          <w:p>
            <w:pPr>
              <w:spacing w:after="0"/>
              <w:rPr>
                <w:sz w:val="2"/>
                <w:szCs w:val="2"/>
                <w:color w:val="auto"/>
              </w:rPr>
            </w:pPr>
          </w:p>
        </w:tc>
        <w:tc>
          <w:tcPr>
            <w:tcW w:w="540" w:type="dxa"/>
            <w:vAlign w:val="bottom"/>
          </w:tcPr>
          <w:p>
            <w:pPr>
              <w:spacing w:after="0"/>
              <w:rPr>
                <w:sz w:val="2"/>
                <w:szCs w:val="2"/>
                <w:color w:val="auto"/>
              </w:rPr>
            </w:pPr>
          </w:p>
        </w:tc>
        <w:tc>
          <w:tcPr>
            <w:tcW w:w="80" w:type="dxa"/>
            <w:vAlign w:val="bottom"/>
          </w:tcPr>
          <w:p>
            <w:pPr>
              <w:spacing w:after="0"/>
              <w:rPr>
                <w:sz w:val="2"/>
                <w:szCs w:val="2"/>
                <w:color w:val="auto"/>
              </w:rPr>
            </w:pPr>
          </w:p>
        </w:tc>
        <w:tc>
          <w:tcPr>
            <w:tcW w:w="140" w:type="dxa"/>
            <w:vAlign w:val="bottom"/>
          </w:tcPr>
          <w:p>
            <w:pPr>
              <w:spacing w:after="0"/>
              <w:rPr>
                <w:sz w:val="2"/>
                <w:szCs w:val="2"/>
                <w:color w:val="auto"/>
              </w:rPr>
            </w:pPr>
          </w:p>
        </w:tc>
      </w:tr>
      <w:tr>
        <w:trPr>
          <w:trHeight w:val="203"/>
        </w:trPr>
        <w:tc>
          <w:tcPr>
            <w:tcW w:w="740" w:type="dxa"/>
            <w:vAlign w:val="bottom"/>
            <w:shd w:val="clear" w:color="auto" w:fill="CFF0FC"/>
          </w:tcPr>
          <w:p>
            <w:pPr>
              <w:ind w:left="20"/>
              <w:spacing w:after="0" w:line="202" w:lineRule="exact"/>
              <w:rPr>
                <w:sz w:val="20"/>
                <w:szCs w:val="20"/>
                <w:color w:val="auto"/>
              </w:rPr>
            </w:pPr>
            <w:r>
              <w:rPr>
                <w:rFonts w:ascii="Arial" w:cs="Arial" w:eastAsia="Arial" w:hAnsi="Arial"/>
                <w:sz w:val="18"/>
                <w:szCs w:val="18"/>
                <w:color w:val="auto"/>
              </w:rPr>
              <w:t>31.1</w:t>
            </w:r>
          </w:p>
        </w:tc>
        <w:tc>
          <w:tcPr>
            <w:tcW w:w="10500" w:type="dxa"/>
            <w:vAlign w:val="bottom"/>
            <w:gridSpan w:val="16"/>
            <w:shd w:val="clear" w:color="auto" w:fill="CFF0FC"/>
          </w:tcPr>
          <w:p>
            <w:pPr>
              <w:ind w:left="180"/>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6">
              <w:r>
                <w:rPr>
                  <w:rFonts w:ascii="Arial" w:cs="Arial" w:eastAsia="Arial" w:hAnsi="Arial"/>
                  <w:sz w:val="18"/>
                  <w:szCs w:val="18"/>
                  <w:color w:val="0000FF"/>
                </w:rPr>
                <w:t>Certification of Chief Executive Officer Pursuant to Rule 13a-14(a)</w:t>
              </w:r>
            </w:hyperlink>
          </w:p>
        </w:tc>
      </w:tr>
      <w:tr>
        <w:trPr>
          <w:trHeight w:val="34"/>
        </w:trPr>
        <w:tc>
          <w:tcPr>
            <w:tcW w:w="74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right w:val="single" w:sz="8" w:color="CFF0FC"/>
            </w:tcBorders>
            <w:shd w:val="clear" w:color="auto" w:fill="CFF0FC"/>
          </w:tcPr>
          <w:p>
            <w:pPr>
              <w:spacing w:after="0"/>
              <w:rPr>
                <w:sz w:val="2"/>
                <w:szCs w:val="2"/>
                <w:color w:val="auto"/>
              </w:rPr>
            </w:pPr>
          </w:p>
        </w:tc>
        <w:tc>
          <w:tcPr>
            <w:tcW w:w="232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1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360" w:type="dxa"/>
            <w:vAlign w:val="bottom"/>
            <w:tcBorders>
              <w:top w:val="single" w:sz="8" w:color="0000FF"/>
            </w:tcBorders>
            <w:shd w:val="clear" w:color="auto" w:fill="CFF0FC"/>
          </w:tcPr>
          <w:p>
            <w:pPr>
              <w:spacing w:after="0"/>
              <w:rPr>
                <w:sz w:val="2"/>
                <w:szCs w:val="2"/>
                <w:color w:val="auto"/>
              </w:rPr>
            </w:pPr>
          </w:p>
        </w:tc>
        <w:tc>
          <w:tcPr>
            <w:tcW w:w="220" w:type="dxa"/>
            <w:vAlign w:val="bottom"/>
            <w:tcBorders>
              <w:top w:val="single" w:sz="8" w:color="0000FF"/>
            </w:tcBorders>
            <w:shd w:val="clear" w:color="auto" w:fill="CFF0FC"/>
          </w:tcPr>
          <w:p>
            <w:pPr>
              <w:spacing w:after="0"/>
              <w:rPr>
                <w:sz w:val="2"/>
                <w:szCs w:val="2"/>
                <w:color w:val="auto"/>
              </w:rPr>
            </w:pPr>
          </w:p>
        </w:tc>
        <w:tc>
          <w:tcPr>
            <w:tcW w:w="200" w:type="dxa"/>
            <w:vAlign w:val="bottom"/>
            <w:tcBorders>
              <w:top w:val="single" w:sz="8" w:color="0000FF"/>
            </w:tcBorders>
            <w:shd w:val="clear" w:color="auto" w:fill="CFF0FC"/>
          </w:tcPr>
          <w:p>
            <w:pPr>
              <w:spacing w:after="0"/>
              <w:rPr>
                <w:sz w:val="2"/>
                <w:szCs w:val="2"/>
                <w:color w:val="auto"/>
              </w:rPr>
            </w:pPr>
          </w:p>
        </w:tc>
        <w:tc>
          <w:tcPr>
            <w:tcW w:w="1100" w:type="dxa"/>
            <w:vAlign w:val="bottom"/>
            <w:tcBorders>
              <w:top w:val="single" w:sz="8" w:color="0000FF"/>
            </w:tcBorders>
            <w:shd w:val="clear" w:color="auto" w:fill="CFF0FC"/>
          </w:tcPr>
          <w:p>
            <w:pPr>
              <w:spacing w:after="0"/>
              <w:rPr>
                <w:sz w:val="2"/>
                <w:szCs w:val="2"/>
                <w:color w:val="auto"/>
              </w:rPr>
            </w:pPr>
          </w:p>
        </w:tc>
        <w:tc>
          <w:tcPr>
            <w:tcW w:w="40" w:type="dxa"/>
            <w:vAlign w:val="bottom"/>
            <w:tcBorders>
              <w:top w:val="single" w:sz="8" w:color="0000FF"/>
            </w:tcBorders>
            <w:shd w:val="clear" w:color="auto" w:fill="CFF0FC"/>
          </w:tcPr>
          <w:p>
            <w:pPr>
              <w:spacing w:after="0"/>
              <w:rPr>
                <w:sz w:val="2"/>
                <w:szCs w:val="2"/>
                <w:color w:val="auto"/>
              </w:rPr>
            </w:pPr>
          </w:p>
        </w:tc>
        <w:tc>
          <w:tcPr>
            <w:tcW w:w="100" w:type="dxa"/>
            <w:vAlign w:val="bottom"/>
            <w:tcBorders>
              <w:top w:val="single" w:sz="8" w:color="CFF0FC"/>
            </w:tcBorders>
            <w:shd w:val="clear" w:color="auto" w:fill="CFF0FC"/>
          </w:tcPr>
          <w:p>
            <w:pPr>
              <w:spacing w:after="0"/>
              <w:rPr>
                <w:sz w:val="2"/>
                <w:szCs w:val="2"/>
                <w:color w:val="auto"/>
              </w:rPr>
            </w:pPr>
          </w:p>
        </w:tc>
        <w:tc>
          <w:tcPr>
            <w:tcW w:w="1000" w:type="dxa"/>
            <w:vAlign w:val="bottom"/>
            <w:tcBorders>
              <w:top w:val="single" w:sz="8" w:color="CFF0FC"/>
            </w:tcBorders>
            <w:shd w:val="clear" w:color="auto" w:fill="CFF0FC"/>
          </w:tcPr>
          <w:p>
            <w:pPr>
              <w:spacing w:after="0"/>
              <w:rPr>
                <w:sz w:val="2"/>
                <w:szCs w:val="2"/>
                <w:color w:val="auto"/>
              </w:rPr>
            </w:pPr>
          </w:p>
        </w:tc>
        <w:tc>
          <w:tcPr>
            <w:tcW w:w="3260" w:type="dxa"/>
            <w:vAlign w:val="bottom"/>
            <w:tcBorders>
              <w:top w:val="single" w:sz="8" w:color="CFF0FC"/>
            </w:tcBorders>
            <w:shd w:val="clear" w:color="auto" w:fill="CFF0FC"/>
          </w:tcPr>
          <w:p>
            <w:pPr>
              <w:spacing w:after="0"/>
              <w:rPr>
                <w:sz w:val="2"/>
                <w:szCs w:val="2"/>
                <w:color w:val="auto"/>
              </w:rPr>
            </w:pPr>
          </w:p>
        </w:tc>
        <w:tc>
          <w:tcPr>
            <w:tcW w:w="540" w:type="dxa"/>
            <w:vAlign w:val="bottom"/>
            <w:tcBorders>
              <w:top w:val="single" w:sz="8" w:color="CFF0FC"/>
            </w:tcBorders>
            <w:shd w:val="clear" w:color="auto" w:fill="CFF0FC"/>
          </w:tcPr>
          <w:p>
            <w:pPr>
              <w:spacing w:after="0"/>
              <w:rPr>
                <w:sz w:val="2"/>
                <w:szCs w:val="2"/>
                <w:color w:val="auto"/>
              </w:rPr>
            </w:pPr>
          </w:p>
        </w:tc>
        <w:tc>
          <w:tcPr>
            <w:tcW w:w="80" w:type="dxa"/>
            <w:vAlign w:val="bottom"/>
            <w:tcBorders>
              <w:top w:val="single" w:sz="8" w:color="CFF0FC"/>
            </w:tcBorders>
            <w:shd w:val="clear" w:color="auto" w:fill="CFF0FC"/>
          </w:tcPr>
          <w:p>
            <w:pPr>
              <w:spacing w:after="0"/>
              <w:rPr>
                <w:sz w:val="2"/>
                <w:szCs w:val="2"/>
                <w:color w:val="auto"/>
              </w:rPr>
            </w:pPr>
          </w:p>
        </w:tc>
        <w:tc>
          <w:tcPr>
            <w:tcW w:w="140" w:type="dxa"/>
            <w:vAlign w:val="bottom"/>
            <w:tcBorders>
              <w:top w:val="single" w:sz="8" w:color="CFF0FC"/>
            </w:tcBorders>
            <w:shd w:val="clear" w:color="auto" w:fill="CFF0FC"/>
          </w:tcPr>
          <w:p>
            <w:pPr>
              <w:spacing w:after="0"/>
              <w:rPr>
                <w:sz w:val="2"/>
                <w:szCs w:val="2"/>
                <w:color w:val="auto"/>
              </w:rPr>
            </w:pPr>
          </w:p>
        </w:tc>
      </w:tr>
      <w:tr>
        <w:trPr>
          <w:trHeight w:val="203"/>
        </w:trPr>
        <w:tc>
          <w:tcPr>
            <w:tcW w:w="740" w:type="dxa"/>
            <w:vAlign w:val="bottom"/>
          </w:tcPr>
          <w:p>
            <w:pPr>
              <w:ind w:left="20"/>
              <w:spacing w:after="0" w:line="202" w:lineRule="exact"/>
              <w:rPr>
                <w:sz w:val="20"/>
                <w:szCs w:val="20"/>
                <w:color w:val="auto"/>
              </w:rPr>
            </w:pPr>
            <w:r>
              <w:rPr>
                <w:rFonts w:ascii="Arial" w:cs="Arial" w:eastAsia="Arial" w:hAnsi="Arial"/>
                <w:sz w:val="18"/>
                <w:szCs w:val="18"/>
                <w:color w:val="auto"/>
              </w:rPr>
              <w:t>31.2</w:t>
            </w:r>
          </w:p>
        </w:tc>
        <w:tc>
          <w:tcPr>
            <w:tcW w:w="10500" w:type="dxa"/>
            <w:vAlign w:val="bottom"/>
            <w:gridSpan w:val="16"/>
          </w:tcPr>
          <w:p>
            <w:pPr>
              <w:ind w:left="300"/>
              <w:spacing w:after="0" w:line="202" w:lineRule="exact"/>
              <w:rPr>
                <w:rFonts w:ascii="Arial" w:cs="Arial" w:eastAsia="Arial" w:hAnsi="Arial"/>
                <w:sz w:val="18"/>
                <w:szCs w:val="18"/>
                <w:color w:val="auto"/>
              </w:rPr>
            </w:pPr>
            <w:r>
              <w:rPr>
                <w:rFonts w:ascii="Arial" w:cs="Arial" w:eastAsia="Arial" w:hAnsi="Arial"/>
                <w:sz w:val="18"/>
                <w:szCs w:val="18"/>
                <w:color w:val="auto"/>
              </w:rPr>
              <w:t xml:space="preserve">–  </w:t>
            </w:r>
            <w:hyperlink w:anchor="page37">
              <w:r>
                <w:rPr>
                  <w:rFonts w:ascii="Arial" w:cs="Arial" w:eastAsia="Arial" w:hAnsi="Arial"/>
                  <w:sz w:val="18"/>
                  <w:szCs w:val="18"/>
                  <w:color w:val="0000FF"/>
                </w:rPr>
                <w:t>Certification of Chief Financial Officer Pursuant to Rule 13a-14(a)</w:t>
              </w:r>
            </w:hyperlink>
          </w:p>
        </w:tc>
      </w:tr>
      <w:tr>
        <w:trPr>
          <w:trHeight w:val="20"/>
        </w:trPr>
        <w:tc>
          <w:tcPr>
            <w:tcW w:w="740" w:type="dxa"/>
            <w:vAlign w:val="bottom"/>
          </w:tcPr>
          <w:p>
            <w:pPr>
              <w:spacing w:after="0" w:line="20" w:lineRule="exact"/>
              <w:rPr>
                <w:sz w:val="1"/>
                <w:szCs w:val="1"/>
                <w:color w:val="auto"/>
              </w:rPr>
            </w:pPr>
          </w:p>
        </w:tc>
        <w:tc>
          <w:tcPr>
            <w:tcW w:w="540" w:type="dxa"/>
            <w:vAlign w:val="bottom"/>
            <w:tcBorders>
              <w:right w:val="single" w:sz="8" w:color="0000EE"/>
            </w:tcBorders>
          </w:tcPr>
          <w:p>
            <w:pPr>
              <w:spacing w:after="0" w:line="20" w:lineRule="exact"/>
              <w:rPr>
                <w:sz w:val="1"/>
                <w:szCs w:val="1"/>
                <w:color w:val="auto"/>
              </w:rPr>
            </w:pPr>
          </w:p>
        </w:tc>
        <w:tc>
          <w:tcPr>
            <w:tcW w:w="232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1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360" w:type="dxa"/>
            <w:vAlign w:val="bottom"/>
            <w:shd w:val="clear" w:color="auto" w:fill="0000FF"/>
          </w:tcPr>
          <w:p>
            <w:pPr>
              <w:spacing w:after="0" w:line="20" w:lineRule="exact"/>
              <w:rPr>
                <w:sz w:val="1"/>
                <w:szCs w:val="1"/>
                <w:color w:val="auto"/>
              </w:rPr>
            </w:pPr>
          </w:p>
        </w:tc>
        <w:tc>
          <w:tcPr>
            <w:tcW w:w="220" w:type="dxa"/>
            <w:vAlign w:val="bottom"/>
            <w:shd w:val="clear" w:color="auto" w:fill="0000FF"/>
          </w:tcPr>
          <w:p>
            <w:pPr>
              <w:spacing w:after="0" w:line="20" w:lineRule="exact"/>
              <w:rPr>
                <w:sz w:val="1"/>
                <w:szCs w:val="1"/>
                <w:color w:val="auto"/>
              </w:rPr>
            </w:pPr>
          </w:p>
        </w:tc>
        <w:tc>
          <w:tcPr>
            <w:tcW w:w="200" w:type="dxa"/>
            <w:vAlign w:val="bottom"/>
            <w:shd w:val="clear" w:color="auto" w:fill="0000FF"/>
          </w:tcPr>
          <w:p>
            <w:pPr>
              <w:spacing w:after="0" w:line="20" w:lineRule="exact"/>
              <w:rPr>
                <w:sz w:val="1"/>
                <w:szCs w:val="1"/>
                <w:color w:val="auto"/>
              </w:rPr>
            </w:pPr>
          </w:p>
        </w:tc>
        <w:tc>
          <w:tcPr>
            <w:tcW w:w="1100" w:type="dxa"/>
            <w:vAlign w:val="bottom"/>
            <w:shd w:val="clear" w:color="auto" w:fill="0000FF"/>
          </w:tcPr>
          <w:p>
            <w:pPr>
              <w:spacing w:after="0" w:line="20" w:lineRule="exact"/>
              <w:rPr>
                <w:sz w:val="1"/>
                <w:szCs w:val="1"/>
                <w:color w:val="auto"/>
              </w:rPr>
            </w:pPr>
          </w:p>
        </w:tc>
        <w:tc>
          <w:tcPr>
            <w:tcW w:w="40" w:type="dxa"/>
            <w:vAlign w:val="bottom"/>
          </w:tcPr>
          <w:p>
            <w:pPr>
              <w:spacing w:after="0" w:line="20" w:lineRule="exact"/>
              <w:rPr>
                <w:sz w:val="1"/>
                <w:szCs w:val="1"/>
                <w:color w:val="auto"/>
              </w:rPr>
            </w:pPr>
          </w:p>
        </w:tc>
        <w:tc>
          <w:tcPr>
            <w:tcW w:w="100" w:type="dxa"/>
            <w:vAlign w:val="bottom"/>
          </w:tcPr>
          <w:p>
            <w:pPr>
              <w:spacing w:after="0" w:line="20" w:lineRule="exact"/>
              <w:rPr>
                <w:sz w:val="1"/>
                <w:szCs w:val="1"/>
                <w:color w:val="auto"/>
              </w:rPr>
            </w:pPr>
          </w:p>
        </w:tc>
        <w:tc>
          <w:tcPr>
            <w:tcW w:w="1000" w:type="dxa"/>
            <w:vAlign w:val="bottom"/>
          </w:tcPr>
          <w:p>
            <w:pPr>
              <w:spacing w:after="0" w:line="20" w:lineRule="exact"/>
              <w:rPr>
                <w:sz w:val="1"/>
                <w:szCs w:val="1"/>
                <w:color w:val="auto"/>
              </w:rPr>
            </w:pPr>
          </w:p>
        </w:tc>
        <w:tc>
          <w:tcPr>
            <w:tcW w:w="3260" w:type="dxa"/>
            <w:vAlign w:val="bottom"/>
          </w:tcPr>
          <w:p>
            <w:pPr>
              <w:spacing w:after="0" w:line="20" w:lineRule="exact"/>
              <w:rPr>
                <w:sz w:val="1"/>
                <w:szCs w:val="1"/>
                <w:color w:val="auto"/>
              </w:rPr>
            </w:pPr>
          </w:p>
        </w:tc>
        <w:tc>
          <w:tcPr>
            <w:tcW w:w="540" w:type="dxa"/>
            <w:vAlign w:val="bottom"/>
          </w:tcPr>
          <w:p>
            <w:pPr>
              <w:spacing w:after="0" w:line="20" w:lineRule="exact"/>
              <w:rPr>
                <w:sz w:val="1"/>
                <w:szCs w:val="1"/>
                <w:color w:val="auto"/>
              </w:rPr>
            </w:pPr>
          </w:p>
        </w:tc>
        <w:tc>
          <w:tcPr>
            <w:tcW w:w="80" w:type="dxa"/>
            <w:vAlign w:val="bottom"/>
          </w:tcPr>
          <w:p>
            <w:pPr>
              <w:spacing w:after="0" w:line="20" w:lineRule="exact"/>
              <w:rPr>
                <w:sz w:val="1"/>
                <w:szCs w:val="1"/>
                <w:color w:val="auto"/>
              </w:rPr>
            </w:pPr>
          </w:p>
        </w:tc>
        <w:tc>
          <w:tcPr>
            <w:tcW w:w="140" w:type="dxa"/>
            <w:vAlign w:val="bottom"/>
          </w:tcPr>
          <w:p>
            <w:pPr>
              <w:spacing w:after="0" w:line="20" w:lineRule="exact"/>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25400</wp:posOffset>
            </wp:positionV>
            <wp:extent cx="7132320" cy="163195"/>
            <wp:wrapNone/>
            <wp:docPr id="389" name="Picture 38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89"/>
                    <pic:cNvPicPr>
                      <a:picLocks noChangeAspect="1" noChangeArrowheads="1"/>
                    </pic:cNvPicPr>
                  </pic:nvPicPr>
                  <pic:blipFill>
                    <a:blip r:embed="rId399">
                      <a:extLst>
                        <a:ext uri="{28A0092B-C50C-407E-A947-70E740481C1C}"/>
                      </a:extLst>
                    </a:blip>
                    <a:srcRect/>
                    <a:stretch>
                      <a:fillRect/>
                    </a:stretch>
                  </pic:blipFill>
                  <pic:spPr bwMode="auto">
                    <a:xfrm>
                      <a:off x="0" y="0"/>
                      <a:ext cx="7132320" cy="163195"/>
                    </a:xfrm>
                    <a:prstGeom prst="rect">
                      <a:avLst/>
                    </a:prstGeom>
                    <a:noFill/>
                  </pic:spPr>
                </pic:pic>
              </a:graphicData>
            </a:graphic>
          </wp:anchor>
        </w:drawing>
      </w:r>
    </w:p>
    <w:p>
      <w:pPr>
        <w:spacing w:after="0" w:line="33" w:lineRule="exact"/>
        <w:rPr>
          <w:sz w:val="20"/>
          <w:szCs w:val="20"/>
          <w:color w:val="auto"/>
        </w:rPr>
      </w:pPr>
    </w:p>
    <w:p>
      <w:pPr>
        <w:ind w:left="1040" w:hanging="1019"/>
        <w:spacing w:after="0"/>
        <w:tabs>
          <w:tab w:leader="none" w:pos="1040" w:val="left"/>
        </w:tabs>
        <w:numPr>
          <w:ilvl w:val="0"/>
          <w:numId w:val="16"/>
        </w:numPr>
        <w:rPr>
          <w:rFonts w:ascii="Arial" w:cs="Arial" w:eastAsia="Arial" w:hAnsi="Arial"/>
          <w:sz w:val="18"/>
          <w:szCs w:val="18"/>
          <w:color w:val="auto"/>
        </w:rPr>
      </w:pPr>
      <w:r>
        <w:rPr>
          <w:rFonts w:ascii="Arial" w:cs="Arial" w:eastAsia="Arial" w:hAnsi="Arial"/>
          <w:sz w:val="18"/>
          <w:szCs w:val="18"/>
          <w:color w:val="auto"/>
        </w:rPr>
        <w:t xml:space="preserve">–  </w:t>
      </w:r>
      <w:hyperlink w:anchor="page38">
        <w:r>
          <w:rPr>
            <w:rFonts w:ascii="Arial" w:cs="Arial" w:eastAsia="Arial" w:hAnsi="Arial"/>
            <w:sz w:val="18"/>
            <w:szCs w:val="18"/>
            <w:u w:val="single" w:color="auto"/>
            <w:color w:val="0000FF"/>
          </w:rPr>
          <w:t>Certification Pursuant to 18 U.S.C. Section 1350</w:t>
        </w:r>
      </w:hyperlink>
    </w:p>
    <w:p>
      <w:pPr>
        <w:spacing w:after="0" w:line="50" w:lineRule="exact"/>
        <w:rPr>
          <w:sz w:val="20"/>
          <w:szCs w:val="20"/>
          <w:color w:val="auto"/>
        </w:rPr>
      </w:pPr>
    </w:p>
    <w:tbl>
      <w:tblPr>
        <w:tblLayout w:type="fixed"/>
        <w:tblInd w:w="0" w:type="dxa"/>
        <w:tblCellMar>
          <w:top w:w="0" w:type="dxa"/>
          <w:left w:w="0" w:type="dxa"/>
          <w:bottom w:w="0" w:type="dxa"/>
          <w:right w:w="0" w:type="dxa"/>
        </w:tblCellMar>
      </w:tblPr>
      <w:tr>
        <w:trPr>
          <w:trHeight w:val="230"/>
        </w:trPr>
        <w:tc>
          <w:tcPr>
            <w:tcW w:w="860" w:type="dxa"/>
            <w:vAlign w:val="bottom"/>
          </w:tcPr>
          <w:p>
            <w:pPr>
              <w:ind w:left="20"/>
              <w:spacing w:after="0"/>
              <w:rPr>
                <w:sz w:val="20"/>
                <w:szCs w:val="20"/>
                <w:color w:val="auto"/>
              </w:rPr>
            </w:pPr>
            <w:r>
              <w:rPr>
                <w:rFonts w:ascii="Arial" w:cs="Arial" w:eastAsia="Arial" w:hAnsi="Arial"/>
                <w:sz w:val="18"/>
                <w:szCs w:val="18"/>
                <w:color w:val="auto"/>
              </w:rPr>
              <w:t>101.INS</w:t>
            </w:r>
          </w:p>
        </w:tc>
        <w:tc>
          <w:tcPr>
            <w:tcW w:w="10380" w:type="dxa"/>
            <w:vAlign w:val="bottom"/>
          </w:tcPr>
          <w:p>
            <w:pPr>
              <w:ind w:left="180"/>
              <w:spacing w:after="0"/>
              <w:rPr>
                <w:sz w:val="20"/>
                <w:szCs w:val="20"/>
                <w:color w:val="auto"/>
              </w:rPr>
            </w:pPr>
            <w:r>
              <w:rPr>
                <w:rFonts w:ascii="Arial" w:cs="Arial" w:eastAsia="Arial" w:hAnsi="Arial"/>
                <w:sz w:val="18"/>
                <w:szCs w:val="18"/>
                <w:color w:val="auto"/>
                <w:w w:val="97"/>
              </w:rPr>
              <w:t>–  Inline XBRL Instance Document – the instance document does not appear in the Interactive Data File because its XBRL tags are</w:t>
            </w:r>
          </w:p>
        </w:tc>
      </w:tr>
      <w:tr>
        <w:trPr>
          <w:trHeight w:val="237"/>
        </w:trPr>
        <w:tc>
          <w:tcPr>
            <w:tcW w:w="860" w:type="dxa"/>
            <w:vAlign w:val="bottom"/>
          </w:tcPr>
          <w:p>
            <w:pPr>
              <w:spacing w:after="0"/>
              <w:rPr>
                <w:sz w:val="20"/>
                <w:szCs w:val="20"/>
                <w:color w:val="auto"/>
              </w:rPr>
            </w:pPr>
          </w:p>
        </w:tc>
        <w:tc>
          <w:tcPr>
            <w:tcW w:w="10380" w:type="dxa"/>
            <w:vAlign w:val="bottom"/>
          </w:tcPr>
          <w:p>
            <w:pPr>
              <w:ind w:left="400"/>
              <w:spacing w:after="0"/>
              <w:rPr>
                <w:sz w:val="20"/>
                <w:szCs w:val="20"/>
                <w:color w:val="auto"/>
              </w:rPr>
            </w:pPr>
            <w:r>
              <w:rPr>
                <w:rFonts w:ascii="Arial" w:cs="Arial" w:eastAsia="Arial" w:hAnsi="Arial"/>
                <w:sz w:val="18"/>
                <w:szCs w:val="18"/>
                <w:color w:val="auto"/>
              </w:rPr>
              <w:t>embedded within the Inline XBRL document</w:t>
            </w:r>
          </w:p>
        </w:tc>
      </w:tr>
      <w:tr>
        <w:trPr>
          <w:trHeight w:val="263"/>
        </w:trPr>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101.SCH</w:t>
            </w:r>
          </w:p>
        </w:tc>
        <w:tc>
          <w:tcPr>
            <w:tcW w:w="10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Inline XBRL Taxonomy Extension Schema Document</w:t>
            </w:r>
          </w:p>
        </w:tc>
      </w:tr>
      <w:tr>
        <w:trPr>
          <w:trHeight w:val="250"/>
        </w:trPr>
        <w:tc>
          <w:tcPr>
            <w:tcW w:w="860" w:type="dxa"/>
            <w:vAlign w:val="bottom"/>
          </w:tcPr>
          <w:p>
            <w:pPr>
              <w:ind w:left="20"/>
              <w:spacing w:after="0"/>
              <w:rPr>
                <w:sz w:val="20"/>
                <w:szCs w:val="20"/>
                <w:color w:val="auto"/>
              </w:rPr>
            </w:pPr>
            <w:r>
              <w:rPr>
                <w:rFonts w:ascii="Arial" w:cs="Arial" w:eastAsia="Arial" w:hAnsi="Arial"/>
                <w:sz w:val="18"/>
                <w:szCs w:val="18"/>
                <w:color w:val="auto"/>
              </w:rPr>
              <w:t>101.CAL</w:t>
            </w:r>
          </w:p>
        </w:tc>
        <w:tc>
          <w:tcPr>
            <w:tcW w:w="10380" w:type="dxa"/>
            <w:vAlign w:val="bottom"/>
          </w:tcPr>
          <w:p>
            <w:pPr>
              <w:ind w:left="180"/>
              <w:spacing w:after="0"/>
              <w:rPr>
                <w:sz w:val="20"/>
                <w:szCs w:val="20"/>
                <w:color w:val="auto"/>
              </w:rPr>
            </w:pPr>
            <w:r>
              <w:rPr>
                <w:rFonts w:ascii="Arial" w:cs="Arial" w:eastAsia="Arial" w:hAnsi="Arial"/>
                <w:sz w:val="18"/>
                <w:szCs w:val="18"/>
                <w:color w:val="auto"/>
              </w:rPr>
              <w:t>–  Inline XBRL Taxonomy Extension Calculation Linkbase Document</w:t>
            </w:r>
          </w:p>
        </w:tc>
      </w:tr>
      <w:tr>
        <w:trPr>
          <w:trHeight w:val="263"/>
        </w:trPr>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101.DEF</w:t>
            </w:r>
          </w:p>
        </w:tc>
        <w:tc>
          <w:tcPr>
            <w:tcW w:w="10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Inline XBRL Taxonomy Extension Definition Linkbase Document</w:t>
            </w:r>
          </w:p>
        </w:tc>
      </w:tr>
      <w:tr>
        <w:trPr>
          <w:trHeight w:val="250"/>
        </w:trPr>
        <w:tc>
          <w:tcPr>
            <w:tcW w:w="860" w:type="dxa"/>
            <w:vAlign w:val="bottom"/>
          </w:tcPr>
          <w:p>
            <w:pPr>
              <w:ind w:left="20"/>
              <w:spacing w:after="0"/>
              <w:rPr>
                <w:sz w:val="20"/>
                <w:szCs w:val="20"/>
                <w:color w:val="auto"/>
              </w:rPr>
            </w:pPr>
            <w:r>
              <w:rPr>
                <w:rFonts w:ascii="Arial" w:cs="Arial" w:eastAsia="Arial" w:hAnsi="Arial"/>
                <w:sz w:val="18"/>
                <w:szCs w:val="18"/>
                <w:color w:val="auto"/>
              </w:rPr>
              <w:t>101.LAB</w:t>
            </w:r>
          </w:p>
        </w:tc>
        <w:tc>
          <w:tcPr>
            <w:tcW w:w="10380" w:type="dxa"/>
            <w:vAlign w:val="bottom"/>
          </w:tcPr>
          <w:p>
            <w:pPr>
              <w:ind w:left="180"/>
              <w:spacing w:after="0"/>
              <w:rPr>
                <w:sz w:val="20"/>
                <w:szCs w:val="20"/>
                <w:color w:val="auto"/>
              </w:rPr>
            </w:pPr>
            <w:r>
              <w:rPr>
                <w:rFonts w:ascii="Arial" w:cs="Arial" w:eastAsia="Arial" w:hAnsi="Arial"/>
                <w:sz w:val="18"/>
                <w:szCs w:val="18"/>
                <w:color w:val="auto"/>
              </w:rPr>
              <w:t>–  Inline XBRL Taxonomy Extension Label Linkbase Document</w:t>
            </w:r>
          </w:p>
        </w:tc>
      </w:tr>
      <w:tr>
        <w:trPr>
          <w:trHeight w:val="263"/>
        </w:trPr>
        <w:tc>
          <w:tcPr>
            <w:tcW w:w="860" w:type="dxa"/>
            <w:vAlign w:val="bottom"/>
            <w:shd w:val="clear" w:color="auto" w:fill="CFF0FC"/>
          </w:tcPr>
          <w:p>
            <w:pPr>
              <w:ind w:left="20"/>
              <w:spacing w:after="0"/>
              <w:rPr>
                <w:sz w:val="20"/>
                <w:szCs w:val="20"/>
                <w:color w:val="auto"/>
              </w:rPr>
            </w:pPr>
            <w:r>
              <w:rPr>
                <w:rFonts w:ascii="Arial" w:cs="Arial" w:eastAsia="Arial" w:hAnsi="Arial"/>
                <w:sz w:val="18"/>
                <w:szCs w:val="18"/>
                <w:color w:val="auto"/>
              </w:rPr>
              <w:t>101.PRE</w:t>
            </w:r>
          </w:p>
        </w:tc>
        <w:tc>
          <w:tcPr>
            <w:tcW w:w="10380" w:type="dxa"/>
            <w:vAlign w:val="bottom"/>
            <w:shd w:val="clear" w:color="auto" w:fill="CFF0FC"/>
          </w:tcPr>
          <w:p>
            <w:pPr>
              <w:ind w:left="180"/>
              <w:spacing w:after="0"/>
              <w:rPr>
                <w:sz w:val="20"/>
                <w:szCs w:val="20"/>
                <w:color w:val="auto"/>
              </w:rPr>
            </w:pPr>
            <w:r>
              <w:rPr>
                <w:rFonts w:ascii="Arial" w:cs="Arial" w:eastAsia="Arial" w:hAnsi="Arial"/>
                <w:sz w:val="18"/>
                <w:szCs w:val="18"/>
                <w:color w:val="auto"/>
              </w:rPr>
              <w:t>–  Inline XBRL Taxonomy Extension Presentation Linkbase Document</w:t>
            </w:r>
          </w:p>
        </w:tc>
      </w:tr>
    </w:tbl>
    <w:p>
      <w:pPr>
        <w:spacing w:after="0" w:line="13" w:lineRule="exact"/>
        <w:rPr>
          <w:sz w:val="20"/>
          <w:szCs w:val="20"/>
          <w:color w:val="auto"/>
        </w:rPr>
      </w:pPr>
    </w:p>
    <w:p>
      <w:pPr>
        <w:ind w:left="1040" w:hanging="1019"/>
        <w:spacing w:after="0"/>
        <w:tabs>
          <w:tab w:leader="none" w:pos="1040" w:val="left"/>
        </w:tabs>
        <w:numPr>
          <w:ilvl w:val="0"/>
          <w:numId w:val="17"/>
        </w:numPr>
        <w:rPr>
          <w:rFonts w:ascii="Arial" w:cs="Arial" w:eastAsia="Arial" w:hAnsi="Arial"/>
          <w:sz w:val="18"/>
          <w:szCs w:val="18"/>
          <w:color w:val="auto"/>
        </w:rPr>
      </w:pPr>
      <w:r>
        <w:rPr>
          <w:rFonts w:ascii="Arial" w:cs="Arial" w:eastAsia="Arial" w:hAnsi="Arial"/>
          <w:sz w:val="18"/>
          <w:szCs w:val="18"/>
          <w:color w:val="auto"/>
        </w:rPr>
        <w:t>–  Cover Page Interactive Data File (embedded within the Inline XBRL document)</w:t>
      </w: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00" w:lineRule="exact"/>
        <w:rPr>
          <w:rFonts w:ascii="Arial" w:cs="Arial" w:eastAsia="Arial" w:hAnsi="Arial"/>
          <w:sz w:val="18"/>
          <w:szCs w:val="18"/>
          <w:color w:val="auto"/>
        </w:rPr>
      </w:pPr>
    </w:p>
    <w:p>
      <w:pPr>
        <w:spacing w:after="0" w:line="286" w:lineRule="exact"/>
        <w:rPr>
          <w:rFonts w:ascii="Arial" w:cs="Arial" w:eastAsia="Arial" w:hAnsi="Arial"/>
          <w:sz w:val="18"/>
          <w:szCs w:val="18"/>
          <w:color w:val="auto"/>
        </w:rPr>
      </w:pPr>
    </w:p>
    <w:p>
      <w:pPr>
        <w:ind w:left="5540"/>
        <w:spacing w:after="0"/>
        <w:rPr>
          <w:rFonts w:ascii="Arial" w:cs="Arial" w:eastAsia="Arial" w:hAnsi="Arial"/>
          <w:sz w:val="18"/>
          <w:szCs w:val="18"/>
          <w:color w:val="auto"/>
        </w:rPr>
      </w:pPr>
      <w:r>
        <w:rPr>
          <w:rFonts w:ascii="Arial" w:cs="Arial" w:eastAsia="Arial" w:hAnsi="Arial"/>
          <w:sz w:val="18"/>
          <w:szCs w:val="18"/>
          <w:color w:val="auto"/>
        </w:rPr>
        <w:t>33</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5080</wp:posOffset>
            </wp:positionH>
            <wp:positionV relativeFrom="paragraph">
              <wp:posOffset>-670560</wp:posOffset>
            </wp:positionV>
            <wp:extent cx="7132320" cy="8255"/>
            <wp:wrapNone/>
            <wp:docPr id="390" name="Picture 39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0"/>
                    <pic:cNvPicPr>
                      <a:picLocks noChangeAspect="1" noChangeArrowheads="1"/>
                    </pic:cNvPicPr>
                  </pic:nvPicPr>
                  <pic:blipFill>
                    <a:blip r:embed="rId400">
                      <a:extLst>
                        <a:ext uri="{28A0092B-C50C-407E-A947-70E740481C1C}"/>
                      </a:extLst>
                    </a:blip>
                    <a:srcRect/>
                    <a:stretch>
                      <a:fillRect/>
                    </a:stretch>
                  </pic:blipFill>
                  <pic:spPr bwMode="auto">
                    <a:xfrm>
                      <a:off x="0" y="0"/>
                      <a:ext cx="7132320" cy="8255"/>
                    </a:xfrm>
                    <a:prstGeom prst="rect">
                      <a:avLst/>
                    </a:prstGeom>
                    <a:noFill/>
                  </pic:spPr>
                </pic:pic>
              </a:graphicData>
            </a:graphic>
          </wp:anchor>
        </w:drawing>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1" name="Picture 39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1"/>
                    <pic:cNvPicPr>
                      <a:picLocks noChangeAspect="1" noChangeArrowheads="1"/>
                    </pic:cNvPicPr>
                  </pic:nvPicPr>
                  <pic:blipFill>
                    <a:blip r:embed="rId401">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4" w:name="page35"/>
    <w:bookmarkEnd w:id="34"/>
    <w:p>
      <w:pPr>
        <w:jc w:val="center"/>
        <w:ind w:right="-19"/>
        <w:spacing w:after="0"/>
        <w:rPr>
          <w:sz w:val="20"/>
          <w:szCs w:val="20"/>
          <w:color w:val="auto"/>
        </w:rPr>
      </w:pPr>
      <w:r>
        <w:rPr>
          <w:rFonts w:ascii="Arial" w:cs="Arial" w:eastAsia="Arial" w:hAnsi="Arial"/>
          <w:sz w:val="18"/>
          <w:szCs w:val="18"/>
          <w:b w:val="1"/>
          <w:bCs w:val="1"/>
          <w:color w:val="auto"/>
        </w:rPr>
        <w:t>SIGNATURES</w:t>
      </w:r>
    </w:p>
    <w:p>
      <w:pPr>
        <w:spacing w:after="0" w:line="256" w:lineRule="exact"/>
        <w:rPr>
          <w:sz w:val="20"/>
          <w:szCs w:val="20"/>
          <w:color w:val="auto"/>
        </w:rPr>
      </w:pPr>
    </w:p>
    <w:p>
      <w:pPr>
        <w:ind w:firstLine="569"/>
        <w:spacing w:after="0" w:line="293" w:lineRule="auto"/>
        <w:rPr>
          <w:sz w:val="20"/>
          <w:szCs w:val="20"/>
          <w:color w:val="auto"/>
        </w:rPr>
      </w:pPr>
      <w:r>
        <w:rPr>
          <w:rFonts w:ascii="Arial" w:cs="Arial" w:eastAsia="Arial" w:hAnsi="Arial"/>
          <w:sz w:val="18"/>
          <w:szCs w:val="18"/>
          <w:color w:val="auto"/>
        </w:rPr>
        <w:t>Pursuant to the requirements of the Securities Exchange Act of 1934, the Registrant has duly caused this report to be signed on its behalf by the undersigned thereunto duly authorized.</w:t>
      </w:r>
    </w:p>
    <w:p>
      <w:pPr>
        <w:spacing w:after="0" w:line="197"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KIRBY CORPORATION</w:t>
      </w:r>
    </w:p>
    <w:p>
      <w:pPr>
        <w:spacing w:after="0" w:line="50" w:lineRule="exact"/>
        <w:rPr>
          <w:sz w:val="20"/>
          <w:szCs w:val="20"/>
          <w:color w:val="auto"/>
        </w:rPr>
      </w:pPr>
    </w:p>
    <w:p>
      <w:pPr>
        <w:ind w:left="5660"/>
        <w:spacing w:after="0"/>
        <w:rPr>
          <w:sz w:val="20"/>
          <w:szCs w:val="20"/>
          <w:color w:val="auto"/>
        </w:rPr>
      </w:pPr>
      <w:r>
        <w:rPr>
          <w:rFonts w:ascii="Arial" w:cs="Arial" w:eastAsia="Arial" w:hAnsi="Arial"/>
          <w:sz w:val="18"/>
          <w:szCs w:val="18"/>
          <w:color w:val="auto"/>
        </w:rPr>
        <w:t>(Registrant)</w:t>
      </w:r>
    </w:p>
    <w:p>
      <w:pPr>
        <w:spacing w:after="0" w:line="306" w:lineRule="exact"/>
        <w:rPr>
          <w:sz w:val="20"/>
          <w:szCs w:val="20"/>
          <w:color w:val="auto"/>
        </w:rPr>
      </w:pPr>
    </w:p>
    <w:p>
      <w:pPr>
        <w:ind w:left="5660"/>
        <w:spacing w:after="0"/>
        <w:tabs>
          <w:tab w:leader="none" w:pos="7900" w:val="left"/>
        </w:tabs>
        <w:rPr>
          <w:sz w:val="20"/>
          <w:szCs w:val="20"/>
          <w:color w:val="auto"/>
        </w:rPr>
      </w:pPr>
      <w:r>
        <w:rPr>
          <w:rFonts w:ascii="Arial" w:cs="Arial" w:eastAsia="Arial" w:hAnsi="Arial"/>
          <w:sz w:val="18"/>
          <w:szCs w:val="18"/>
          <w:color w:val="auto"/>
        </w:rPr>
        <w:t>By:</w:t>
      </w:r>
      <w:r>
        <w:rPr>
          <w:sz w:val="20"/>
          <w:szCs w:val="20"/>
          <w:color w:val="auto"/>
        </w:rPr>
        <w:tab/>
      </w: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3931285</wp:posOffset>
            </wp:positionH>
            <wp:positionV relativeFrom="paragraph">
              <wp:posOffset>23495</wp:posOffset>
            </wp:positionV>
            <wp:extent cx="3206115" cy="8255"/>
            <wp:wrapNone/>
            <wp:docPr id="392" name="Picture 39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2"/>
                    <pic:cNvPicPr>
                      <a:picLocks noChangeAspect="1" noChangeArrowheads="1"/>
                    </pic:cNvPicPr>
                  </pic:nvPicPr>
                  <pic:blipFill>
                    <a:blip r:embed="rId402">
                      <a:extLst>
                        <a:ext uri="{28A0092B-C50C-407E-A947-70E740481C1C}"/>
                      </a:extLst>
                    </a:blip>
                    <a:srcRect/>
                    <a:stretch>
                      <a:fillRect/>
                    </a:stretch>
                  </pic:blipFill>
                  <pic:spPr bwMode="auto">
                    <a:xfrm>
                      <a:off x="0" y="0"/>
                      <a:ext cx="3206115" cy="8255"/>
                    </a:xfrm>
                    <a:prstGeom prst="rect">
                      <a:avLst/>
                    </a:prstGeom>
                    <a:noFill/>
                  </pic:spPr>
                </pic:pic>
              </a:graphicData>
            </a:graphic>
          </wp:anchor>
        </w:drawing>
      </w:r>
    </w:p>
    <w:p>
      <w:pPr>
        <w:spacing w:after="0" w:line="43" w:lineRule="exact"/>
        <w:rPr>
          <w:sz w:val="20"/>
          <w:szCs w:val="20"/>
          <w:color w:val="auto"/>
        </w:rPr>
      </w:pPr>
    </w:p>
    <w:p>
      <w:pPr>
        <w:jc w:val="center"/>
        <w:ind w:left="6180"/>
        <w:spacing w:after="0"/>
        <w:rPr>
          <w:sz w:val="20"/>
          <w:szCs w:val="20"/>
          <w:color w:val="auto"/>
        </w:rPr>
      </w:pPr>
      <w:r>
        <w:rPr>
          <w:rFonts w:ascii="Arial" w:cs="Arial" w:eastAsia="Arial" w:hAnsi="Arial"/>
          <w:sz w:val="18"/>
          <w:szCs w:val="18"/>
          <w:color w:val="auto"/>
        </w:rPr>
        <w:t>William G. Harvey</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Executive Vice President and</w:t>
      </w:r>
    </w:p>
    <w:p>
      <w:pPr>
        <w:spacing w:after="0" w:line="50" w:lineRule="exact"/>
        <w:rPr>
          <w:sz w:val="20"/>
          <w:szCs w:val="20"/>
          <w:color w:val="auto"/>
        </w:rPr>
      </w:pPr>
    </w:p>
    <w:p>
      <w:pPr>
        <w:jc w:val="center"/>
        <w:ind w:left="6180"/>
        <w:spacing w:after="0"/>
        <w:rPr>
          <w:sz w:val="20"/>
          <w:szCs w:val="20"/>
          <w:color w:val="auto"/>
        </w:rPr>
      </w:pPr>
      <w:r>
        <w:rPr>
          <w:rFonts w:ascii="Arial" w:cs="Arial" w:eastAsia="Arial" w:hAnsi="Arial"/>
          <w:sz w:val="18"/>
          <w:szCs w:val="18"/>
          <w:i w:val="1"/>
          <w:iCs w:val="1"/>
          <w:color w:val="auto"/>
        </w:rPr>
        <w:t>Chief Financial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2021</w:t>
      </w:r>
    </w:p>
    <w:p>
      <w:pPr>
        <w:spacing w:after="0" w:line="200" w:lineRule="exact"/>
        <w:rPr>
          <w:sz w:val="20"/>
          <w:szCs w:val="20"/>
          <w:color w:val="auto"/>
        </w:rPr>
      </w:pPr>
    </w:p>
    <w:p>
      <w:pPr>
        <w:spacing w:after="0" w:line="214" w:lineRule="exact"/>
        <w:rPr>
          <w:sz w:val="20"/>
          <w:szCs w:val="20"/>
          <w:color w:val="auto"/>
        </w:rPr>
      </w:pPr>
    </w:p>
    <w:p>
      <w:pPr>
        <w:jc w:val="center"/>
        <w:ind w:right="-19"/>
        <w:spacing w:after="0"/>
        <w:rPr>
          <w:sz w:val="20"/>
          <w:szCs w:val="20"/>
          <w:color w:val="auto"/>
        </w:rPr>
      </w:pPr>
      <w:r>
        <w:rPr>
          <w:rFonts w:ascii="Arial" w:cs="Arial" w:eastAsia="Arial" w:hAnsi="Arial"/>
          <w:sz w:val="18"/>
          <w:szCs w:val="18"/>
          <w:color w:val="auto"/>
        </w:rPr>
        <w:t>34</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70485</wp:posOffset>
            </wp:positionV>
            <wp:extent cx="7157720" cy="42545"/>
            <wp:wrapNone/>
            <wp:docPr id="393" name="Picture 39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3"/>
                    <pic:cNvPicPr>
                      <a:picLocks noChangeAspect="1" noChangeArrowheads="1"/>
                    </pic:cNvPicPr>
                  </pic:nvPicPr>
                  <pic:blipFill>
                    <a:blip r:embed="rId40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64" w:right="339" w:bottom="1440" w:gutter="0" w:footer="0" w:header="0"/>
        </w:sectPr>
      </w:pPr>
    </w:p>
    <w:bookmarkStart w:id="35" w:name="page36"/>
    <w:bookmarkEnd w:id="35"/>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394" name="Picture 39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4"/>
                    <pic:cNvPicPr>
                      <a:picLocks noChangeAspect="1" noChangeArrowheads="1"/>
                    </pic:cNvPicPr>
                  </pic:nvPicPr>
                  <pic:blipFill>
                    <a:blip r:embed="rId404">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31.1</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Executive Officer</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connection with the filing of the Quarterly Report on Form 10-Q for the quarter ended September 30, 2021 by Kirby Corporation, David W.</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Grzebinski certifies that:</w:t>
      </w:r>
    </w:p>
    <w:p>
      <w:pPr>
        <w:spacing w:after="0" w:line="130" w:lineRule="exact"/>
        <w:rPr>
          <w:sz w:val="20"/>
          <w:szCs w:val="20"/>
          <w:color w:val="auto"/>
        </w:rPr>
      </w:pPr>
    </w:p>
    <w:p>
      <w:pPr>
        <w:ind w:left="340" w:hanging="332"/>
        <w:spacing w:after="0"/>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30"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40" w:right="80" w:hanging="332"/>
        <w:spacing w:after="0" w:line="279" w:lineRule="auto"/>
        <w:tabs>
          <w:tab w:leader="none" w:pos="340" w:val="left"/>
        </w:tabs>
        <w:numPr>
          <w:ilvl w:val="0"/>
          <w:numId w:val="18"/>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00" w:right="100" w:hanging="318"/>
        <w:spacing w:after="0" w:line="359" w:lineRule="auto"/>
        <w:tabs>
          <w:tab w:leader="none" w:pos="700" w:val="left"/>
        </w:tabs>
        <w:numPr>
          <w:ilvl w:val="1"/>
          <w:numId w:val="18"/>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right="320" w:hanging="332"/>
        <w:spacing w:after="0" w:line="324" w:lineRule="auto"/>
        <w:tabs>
          <w:tab w:leader="none" w:pos="340" w:val="left"/>
        </w:tabs>
        <w:numPr>
          <w:ilvl w:val="0"/>
          <w:numId w:val="18"/>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18"/>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5" name="Picture 39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5"/>
                    <pic:cNvPicPr>
                      <a:picLocks noChangeAspect="1" noChangeArrowheads="1"/>
                    </pic:cNvPicPr>
                  </pic:nvPicPr>
                  <pic:blipFill>
                    <a:blip r:embed="rId405">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David W. Grzebinski</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200" w:lineRule="exact"/>
        <w:rPr>
          <w:sz w:val="20"/>
          <w:szCs w:val="20"/>
          <w:color w:val="auto"/>
        </w:rPr>
      </w:pPr>
    </w:p>
    <w:p>
      <w:pPr>
        <w:spacing w:after="0" w:line="309"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96" name="Picture 39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6"/>
                    <pic:cNvPicPr>
                      <a:picLocks noChangeAspect="1" noChangeArrowheads="1"/>
                    </pic:cNvPicPr>
                  </pic:nvPicPr>
                  <pic:blipFill>
                    <a:blip r:embed="rId406">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6" w:name="page37"/>
    <w:bookmarkEnd w:id="36"/>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397" name="Picture 39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7"/>
                    <pic:cNvPicPr>
                      <a:picLocks noChangeAspect="1" noChangeArrowheads="1"/>
                    </pic:cNvPicPr>
                  </pic:nvPicPr>
                  <pic:blipFill>
                    <a:blip r:embed="rId407">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31.2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of Chief Financial Officer</w:t>
      </w:r>
    </w:p>
    <w:p>
      <w:pPr>
        <w:spacing w:after="0" w:line="251" w:lineRule="exact"/>
        <w:rPr>
          <w:sz w:val="20"/>
          <w:szCs w:val="20"/>
          <w:color w:val="auto"/>
        </w:rPr>
      </w:pPr>
    </w:p>
    <w:p>
      <w:pPr>
        <w:ind w:left="380"/>
        <w:spacing w:after="0"/>
        <w:rPr>
          <w:sz w:val="20"/>
          <w:szCs w:val="20"/>
          <w:color w:val="auto"/>
        </w:rPr>
      </w:pPr>
      <w:r>
        <w:rPr>
          <w:rFonts w:ascii="Arial" w:cs="Arial" w:eastAsia="Arial" w:hAnsi="Arial"/>
          <w:sz w:val="17"/>
          <w:szCs w:val="17"/>
          <w:color w:val="auto"/>
        </w:rPr>
        <w:t>In connection with the filing of the Quarterly Report on Form 10-Q for the quarter ended September 30, 2021 by Kirby Corporation, William G.</w:t>
      </w:r>
    </w:p>
    <w:p>
      <w:pPr>
        <w:spacing w:after="0" w:line="35" w:lineRule="exact"/>
        <w:rPr>
          <w:sz w:val="20"/>
          <w:szCs w:val="20"/>
          <w:color w:val="auto"/>
        </w:rPr>
      </w:pPr>
    </w:p>
    <w:p>
      <w:pPr>
        <w:ind w:left="380"/>
        <w:spacing w:after="0"/>
        <w:rPr>
          <w:sz w:val="20"/>
          <w:szCs w:val="20"/>
          <w:color w:val="auto"/>
        </w:rPr>
      </w:pPr>
      <w:r>
        <w:rPr>
          <w:rFonts w:ascii="Arial" w:cs="Arial" w:eastAsia="Arial" w:hAnsi="Arial"/>
          <w:sz w:val="18"/>
          <w:szCs w:val="18"/>
          <w:color w:val="auto"/>
        </w:rPr>
        <w:t>Harvey certifies that:</w:t>
      </w:r>
    </w:p>
    <w:p>
      <w:pPr>
        <w:spacing w:after="0" w:line="130" w:lineRule="exact"/>
        <w:rPr>
          <w:sz w:val="20"/>
          <w:szCs w:val="20"/>
          <w:color w:val="auto"/>
        </w:rPr>
      </w:pPr>
    </w:p>
    <w:p>
      <w:pPr>
        <w:ind w:left="340" w:hanging="332"/>
        <w:spacing w:after="0"/>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I have reviewed this report on Form 10-Q of Kirby Corporation (the “registrant”);</w:t>
      </w:r>
    </w:p>
    <w:p>
      <w:pPr>
        <w:spacing w:after="0" w:line="130" w:lineRule="exact"/>
        <w:rPr>
          <w:rFonts w:ascii="Arial" w:cs="Arial" w:eastAsia="Arial" w:hAnsi="Arial"/>
          <w:sz w:val="18"/>
          <w:szCs w:val="18"/>
          <w:color w:val="auto"/>
        </w:rPr>
      </w:pPr>
    </w:p>
    <w:p>
      <w:pPr>
        <w:jc w:val="both"/>
        <w:ind w:left="340" w:right="440" w:hanging="332"/>
        <w:spacing w:after="0" w:line="27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Based on my knowledge, this report does not contain any untrue statement of a material fact or omit to state a material fact necessary to make the statements made, in light of the circumstances under which such statements were made, not misleading with respect to the period covered by this report;</w:t>
      </w:r>
    </w:p>
    <w:p>
      <w:pPr>
        <w:spacing w:after="0" w:line="74" w:lineRule="exact"/>
        <w:rPr>
          <w:rFonts w:ascii="Arial" w:cs="Arial" w:eastAsia="Arial" w:hAnsi="Arial"/>
          <w:sz w:val="18"/>
          <w:szCs w:val="18"/>
          <w:color w:val="auto"/>
        </w:rPr>
      </w:pPr>
    </w:p>
    <w:p>
      <w:pPr>
        <w:ind w:left="340" w:right="400" w:hanging="332"/>
        <w:spacing w:after="0" w:line="324"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Based on my knowledge, the financial statements, and other financial information included in this report, fairly present in all material respects the financial condition, results of operations and cash flows of the registrant as of, and for, the periods presented in this report;</w:t>
      </w:r>
    </w:p>
    <w:p>
      <w:pPr>
        <w:spacing w:after="0" w:line="39" w:lineRule="exact"/>
        <w:rPr>
          <w:rFonts w:ascii="Arial" w:cs="Arial" w:eastAsia="Arial" w:hAnsi="Arial"/>
          <w:sz w:val="17"/>
          <w:szCs w:val="17"/>
          <w:color w:val="auto"/>
        </w:rPr>
      </w:pPr>
    </w:p>
    <w:p>
      <w:pPr>
        <w:ind w:left="340" w:right="80" w:hanging="332"/>
        <w:spacing w:after="0" w:line="279" w:lineRule="auto"/>
        <w:tabs>
          <w:tab w:leader="none" w:pos="340" w:val="left"/>
        </w:tabs>
        <w:numPr>
          <w:ilvl w:val="0"/>
          <w:numId w:val="19"/>
        </w:numPr>
        <w:rPr>
          <w:rFonts w:ascii="Arial" w:cs="Arial" w:eastAsia="Arial" w:hAnsi="Arial"/>
          <w:sz w:val="18"/>
          <w:szCs w:val="18"/>
          <w:color w:val="auto"/>
        </w:rPr>
      </w:pPr>
      <w:r>
        <w:rPr>
          <w:rFonts w:ascii="Arial" w:cs="Arial" w:eastAsia="Arial" w:hAnsi="Arial"/>
          <w:sz w:val="18"/>
          <w:szCs w:val="18"/>
          <w:color w:val="auto"/>
        </w:rPr>
        <w:t>The registrant’s other certifying officer and I are responsible for establishing and maintaining disclosure controls and procedures (as defined in Exchange Act Rules 13a-15(e) and 15d-15(e)) and internal control over financial reporting (as defined in Exchange Act Rules 13a-15(f) and 15d-15(f) for the registrant and have:</w:t>
      </w:r>
    </w:p>
    <w:p>
      <w:pPr>
        <w:spacing w:after="0" w:line="74" w:lineRule="exact"/>
        <w:rPr>
          <w:rFonts w:ascii="Arial" w:cs="Arial" w:eastAsia="Arial" w:hAnsi="Arial"/>
          <w:sz w:val="18"/>
          <w:szCs w:val="18"/>
          <w:color w:val="auto"/>
        </w:rPr>
      </w:pPr>
    </w:p>
    <w:p>
      <w:pPr>
        <w:ind w:left="700" w:right="320" w:hanging="318"/>
        <w:spacing w:after="0" w:line="279"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disclosure controls and procedures, or caused such disclosure controls and procedures to be designed under our supervision, to ensure that material information relating to the registrant, including its consolidated subsidiaries, is made known to us by others within those entities, particularly during the period in which this report is being prepared;</w:t>
      </w:r>
    </w:p>
    <w:p>
      <w:pPr>
        <w:spacing w:after="0" w:line="74" w:lineRule="exact"/>
        <w:rPr>
          <w:rFonts w:ascii="Arial" w:cs="Arial" w:eastAsia="Arial" w:hAnsi="Arial"/>
          <w:sz w:val="18"/>
          <w:szCs w:val="18"/>
          <w:color w:val="auto"/>
        </w:rPr>
      </w:pPr>
    </w:p>
    <w:p>
      <w:pPr>
        <w:ind w:left="700" w:right="20" w:hanging="318"/>
        <w:spacing w:after="0" w:line="279"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Designed such internal control over financial reporting, or caused such internal control over financial reporting to be designed under our supervision, to provide reasonable assurance regarding the reliability of financial reporting and the preparation of financial statements for external purposes in accordance with generally accepted accounting principles;</w:t>
      </w:r>
    </w:p>
    <w:p>
      <w:pPr>
        <w:spacing w:after="0" w:line="74" w:lineRule="exact"/>
        <w:rPr>
          <w:rFonts w:ascii="Arial" w:cs="Arial" w:eastAsia="Arial" w:hAnsi="Arial"/>
          <w:sz w:val="18"/>
          <w:szCs w:val="18"/>
          <w:color w:val="auto"/>
        </w:rPr>
      </w:pPr>
    </w:p>
    <w:p>
      <w:pPr>
        <w:jc w:val="both"/>
        <w:ind w:left="700" w:right="800" w:hanging="318"/>
        <w:spacing w:after="0" w:line="359" w:lineRule="auto"/>
        <w:tabs>
          <w:tab w:leader="none" w:pos="7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Evaluated the effectiveness of the registrant’s disclosure controls and procedures and presented in this report our conclusions about the effectiveness of the disclosure controls and procedures, as of the end of the period covered by this report based on such evaluation; and</w:t>
      </w:r>
    </w:p>
    <w:p>
      <w:pPr>
        <w:spacing w:after="0" w:line="16" w:lineRule="exact"/>
        <w:rPr>
          <w:rFonts w:ascii="Arial" w:cs="Arial" w:eastAsia="Arial" w:hAnsi="Arial"/>
          <w:sz w:val="16"/>
          <w:szCs w:val="16"/>
          <w:color w:val="auto"/>
        </w:rPr>
      </w:pPr>
    </w:p>
    <w:p>
      <w:pPr>
        <w:ind w:left="700" w:right="100" w:hanging="318"/>
        <w:spacing w:after="0" w:line="359" w:lineRule="auto"/>
        <w:tabs>
          <w:tab w:leader="none" w:pos="700" w:val="left"/>
        </w:tabs>
        <w:numPr>
          <w:ilvl w:val="1"/>
          <w:numId w:val="19"/>
        </w:numPr>
        <w:rPr>
          <w:rFonts w:ascii="Arial" w:cs="Arial" w:eastAsia="Arial" w:hAnsi="Arial"/>
          <w:sz w:val="16"/>
          <w:szCs w:val="16"/>
          <w:color w:val="auto"/>
        </w:rPr>
      </w:pPr>
      <w:r>
        <w:rPr>
          <w:rFonts w:ascii="Arial" w:cs="Arial" w:eastAsia="Arial" w:hAnsi="Arial"/>
          <w:sz w:val="16"/>
          <w:szCs w:val="16"/>
          <w:color w:val="auto"/>
        </w:rPr>
        <w:t>Disclosed in this report any change in the registrant’s internal control over financial reporting that occurred during the registrant’s most recent fiscal quarter that has materially affected, or is reasonably likely to materially affect, the registrant’s internal control over financial reporting; and</w:t>
      </w:r>
    </w:p>
    <w:p>
      <w:pPr>
        <w:spacing w:after="0" w:line="16" w:lineRule="exact"/>
        <w:rPr>
          <w:rFonts w:ascii="Arial" w:cs="Arial" w:eastAsia="Arial" w:hAnsi="Arial"/>
          <w:sz w:val="16"/>
          <w:szCs w:val="16"/>
          <w:color w:val="auto"/>
        </w:rPr>
      </w:pPr>
    </w:p>
    <w:p>
      <w:pPr>
        <w:ind w:left="340" w:right="320" w:hanging="332"/>
        <w:spacing w:after="0" w:line="324" w:lineRule="auto"/>
        <w:tabs>
          <w:tab w:leader="none" w:pos="340" w:val="left"/>
        </w:tabs>
        <w:numPr>
          <w:ilvl w:val="0"/>
          <w:numId w:val="19"/>
        </w:numPr>
        <w:rPr>
          <w:rFonts w:ascii="Arial" w:cs="Arial" w:eastAsia="Arial" w:hAnsi="Arial"/>
          <w:sz w:val="17"/>
          <w:szCs w:val="17"/>
          <w:color w:val="auto"/>
        </w:rPr>
      </w:pPr>
      <w:r>
        <w:rPr>
          <w:rFonts w:ascii="Arial" w:cs="Arial" w:eastAsia="Arial" w:hAnsi="Arial"/>
          <w:sz w:val="17"/>
          <w:szCs w:val="17"/>
          <w:color w:val="auto"/>
        </w:rPr>
        <w:t>The registrant’s other certifying officer and I have disclosed, based on our most recent evaluation of internal control over financial reporting, to the registrant’s auditors and the audit committee of the registrant’s board of directors (or persons performing the equivalent functions):</w:t>
      </w:r>
    </w:p>
    <w:p>
      <w:pPr>
        <w:spacing w:after="0" w:line="39" w:lineRule="exact"/>
        <w:rPr>
          <w:rFonts w:ascii="Arial" w:cs="Arial" w:eastAsia="Arial" w:hAnsi="Arial"/>
          <w:sz w:val="17"/>
          <w:szCs w:val="17"/>
          <w:color w:val="auto"/>
        </w:rPr>
      </w:pPr>
    </w:p>
    <w:p>
      <w:pPr>
        <w:ind w:left="700" w:right="220" w:hanging="318"/>
        <w:spacing w:after="0" w:line="293"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All significant deficiencies and material weaknesses in the design or operation of internal control over financial reporting which are reasonably likely to adversely affect the registrant’s ability to record, process, summarize and report financial information; and</w:t>
      </w:r>
    </w:p>
    <w:p>
      <w:pPr>
        <w:spacing w:after="0" w:line="61" w:lineRule="exact"/>
        <w:rPr>
          <w:rFonts w:ascii="Arial" w:cs="Arial" w:eastAsia="Arial" w:hAnsi="Arial"/>
          <w:sz w:val="18"/>
          <w:szCs w:val="18"/>
          <w:color w:val="auto"/>
        </w:rPr>
      </w:pPr>
    </w:p>
    <w:p>
      <w:pPr>
        <w:ind w:left="700" w:right="180" w:hanging="318"/>
        <w:spacing w:after="0" w:line="293" w:lineRule="auto"/>
        <w:tabs>
          <w:tab w:leader="none" w:pos="700" w:val="left"/>
        </w:tabs>
        <w:numPr>
          <w:ilvl w:val="1"/>
          <w:numId w:val="19"/>
        </w:numPr>
        <w:rPr>
          <w:rFonts w:ascii="Arial" w:cs="Arial" w:eastAsia="Arial" w:hAnsi="Arial"/>
          <w:sz w:val="18"/>
          <w:szCs w:val="18"/>
          <w:color w:val="auto"/>
        </w:rPr>
      </w:pPr>
      <w:r>
        <w:rPr>
          <w:rFonts w:ascii="Arial" w:cs="Arial" w:eastAsia="Arial" w:hAnsi="Arial"/>
          <w:sz w:val="18"/>
          <w:szCs w:val="18"/>
          <w:color w:val="auto"/>
        </w:rPr>
        <w:t>Any fraud, whether or not material, that involves management or other employees who have a significant role in the registrant’s internal control over financial reporting.</w:t>
      </w:r>
    </w:p>
    <w:p>
      <w:pPr>
        <w:spacing w:after="0" w:line="143"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398" name="Picture 39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8"/>
                    <pic:cNvPicPr>
                      <a:picLocks noChangeAspect="1" noChangeArrowheads="1"/>
                    </pic:cNvPicPr>
                  </pic:nvPicPr>
                  <pic:blipFill>
                    <a:blip r:embed="rId408">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William G. Harvey</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252"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399" name="Picture 39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99"/>
                    <pic:cNvPicPr>
                      <a:picLocks noChangeAspect="1" noChangeArrowheads="1"/>
                    </pic:cNvPicPr>
                  </pic:nvPicPr>
                  <pic:blipFill>
                    <a:blip r:embed="rId409">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7" w:name="page38"/>
    <w:bookmarkEnd w:id="37"/>
    <w:p>
      <w:pPr>
        <w:jc w:val="right"/>
        <w:spacing w:after="0"/>
        <w:rPr>
          <w:sz w:val="20"/>
          <w:szCs w:val="20"/>
          <w:color w:val="auto"/>
        </w:rPr>
      </w:pPr>
      <w:r>
        <w:rPr>
          <w:rFonts w:ascii="Arial" w:cs="Arial" w:eastAsia="Arial" w:hAnsi="Arial"/>
          <w:sz w:val="18"/>
          <w:szCs w:val="18"/>
          <w:b w:val="1"/>
          <w:bCs w:val="1"/>
          <w:color w:val="auto"/>
        </w:rPr>
        <w:drawing>
          <wp:anchor simplePos="0" relativeHeight="251657728" behindDoc="1" locked="0" layoutInCell="0" allowOverlap="1">
            <wp:simplePos x="0" y="0"/>
            <wp:positionH relativeFrom="page">
              <wp:posOffset>208280</wp:posOffset>
            </wp:positionH>
            <wp:positionV relativeFrom="page">
              <wp:posOffset>234315</wp:posOffset>
            </wp:positionV>
            <wp:extent cx="7132320" cy="8255"/>
            <wp:wrapNone/>
            <wp:docPr id="400" name="Picture 40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0"/>
                    <pic:cNvPicPr>
                      <a:picLocks noChangeAspect="1" noChangeArrowheads="1"/>
                    </pic:cNvPicPr>
                  </pic:nvPicPr>
                  <pic:blipFill>
                    <a:blip r:embed="rId410">
                      <a:extLst>
                        <a:ext uri="{28A0092B-C50C-407E-A947-70E740481C1C}"/>
                      </a:extLst>
                    </a:blip>
                    <a:srcRect/>
                    <a:stretch>
                      <a:fillRect/>
                    </a:stretch>
                  </pic:blipFill>
                  <pic:spPr bwMode="auto">
                    <a:xfrm>
                      <a:off x="0" y="0"/>
                      <a:ext cx="7132320" cy="8255"/>
                    </a:xfrm>
                    <a:prstGeom prst="rect">
                      <a:avLst/>
                    </a:prstGeom>
                    <a:noFill/>
                  </pic:spPr>
                </pic:pic>
              </a:graphicData>
            </a:graphic>
          </wp:anchor>
        </w:drawing>
        <w:t>Exhibit 32</w:t>
      </w:r>
    </w:p>
    <w:p>
      <w:pPr>
        <w:spacing w:after="0" w:line="27" w:lineRule="exact"/>
        <w:rPr>
          <w:sz w:val="20"/>
          <w:szCs w:val="20"/>
          <w:color w:val="auto"/>
        </w:rPr>
      </w:pPr>
    </w:p>
    <w:p>
      <w:pPr>
        <w:jc w:val="center"/>
        <w:spacing w:after="0"/>
        <w:rPr>
          <w:sz w:val="20"/>
          <w:szCs w:val="20"/>
          <w:color w:val="auto"/>
        </w:rPr>
      </w:pPr>
      <w:r>
        <w:rPr>
          <w:rFonts w:ascii="Arial" w:cs="Arial" w:eastAsia="Arial" w:hAnsi="Arial"/>
          <w:sz w:val="18"/>
          <w:szCs w:val="18"/>
          <w:b w:val="1"/>
          <w:bCs w:val="1"/>
          <w:color w:val="auto"/>
        </w:rPr>
        <w:t>Certification Pursuant to Section 18 U.S.C. Section 1350</w:t>
      </w:r>
    </w:p>
    <w:p>
      <w:pPr>
        <w:spacing w:after="0" w:line="251" w:lineRule="exact"/>
        <w:rPr>
          <w:sz w:val="20"/>
          <w:szCs w:val="20"/>
          <w:color w:val="auto"/>
        </w:rPr>
      </w:pPr>
    </w:p>
    <w:p>
      <w:pPr>
        <w:ind w:right="280" w:firstLine="374"/>
        <w:spacing w:after="0" w:line="293" w:lineRule="auto"/>
        <w:rPr>
          <w:sz w:val="20"/>
          <w:szCs w:val="20"/>
          <w:color w:val="auto"/>
        </w:rPr>
      </w:pPr>
      <w:r>
        <w:rPr>
          <w:rFonts w:ascii="Arial" w:cs="Arial" w:eastAsia="Arial" w:hAnsi="Arial"/>
          <w:sz w:val="18"/>
          <w:szCs w:val="18"/>
          <w:color w:val="auto"/>
        </w:rPr>
        <w:t>In connection with the filing of the Quarterly Report on Form 10-Q for the quarter ended September 30, 2021 (the “Report”) by Kirby Corporation (the “Company”), each of the undersigned hereby certifies that:</w:t>
      </w:r>
    </w:p>
    <w:p>
      <w:pPr>
        <w:spacing w:after="0" w:line="62" w:lineRule="exact"/>
        <w:rPr>
          <w:sz w:val="20"/>
          <w:szCs w:val="20"/>
          <w:color w:val="auto"/>
        </w:rPr>
      </w:pPr>
    </w:p>
    <w:p>
      <w:pPr>
        <w:ind w:left="340" w:hanging="332"/>
        <w:spacing w:after="0"/>
        <w:tabs>
          <w:tab w:leader="none" w:pos="340" w:val="left"/>
        </w:tabs>
        <w:numPr>
          <w:ilvl w:val="0"/>
          <w:numId w:val="20"/>
        </w:numPr>
        <w:rPr>
          <w:rFonts w:ascii="Arial" w:cs="Arial" w:eastAsia="Arial" w:hAnsi="Arial"/>
          <w:sz w:val="18"/>
          <w:szCs w:val="18"/>
          <w:color w:val="auto"/>
        </w:rPr>
      </w:pPr>
      <w:r>
        <w:rPr>
          <w:rFonts w:ascii="Arial" w:cs="Arial" w:eastAsia="Arial" w:hAnsi="Arial"/>
          <w:sz w:val="18"/>
          <w:szCs w:val="18"/>
          <w:color w:val="auto"/>
        </w:rPr>
        <w:t>The Report fully complies with the requirements of Section 13(a) or 15(d) of the Securities Exchange Act of 1934, as amended; and</w:t>
      </w:r>
    </w:p>
    <w:p>
      <w:pPr>
        <w:spacing w:after="0" w:line="130" w:lineRule="exact"/>
        <w:rPr>
          <w:rFonts w:ascii="Arial" w:cs="Arial" w:eastAsia="Arial" w:hAnsi="Arial"/>
          <w:sz w:val="18"/>
          <w:szCs w:val="18"/>
          <w:color w:val="auto"/>
        </w:rPr>
      </w:pPr>
    </w:p>
    <w:p>
      <w:pPr>
        <w:ind w:left="340" w:hanging="332"/>
        <w:spacing w:after="0"/>
        <w:tabs>
          <w:tab w:leader="none" w:pos="340" w:val="left"/>
        </w:tabs>
        <w:numPr>
          <w:ilvl w:val="0"/>
          <w:numId w:val="20"/>
        </w:numPr>
        <w:rPr>
          <w:rFonts w:ascii="Arial" w:cs="Arial" w:eastAsia="Arial" w:hAnsi="Arial"/>
          <w:sz w:val="17"/>
          <w:szCs w:val="17"/>
          <w:color w:val="auto"/>
        </w:rPr>
      </w:pPr>
      <w:r>
        <w:rPr>
          <w:rFonts w:ascii="Arial" w:cs="Arial" w:eastAsia="Arial" w:hAnsi="Arial"/>
          <w:sz w:val="17"/>
          <w:szCs w:val="17"/>
          <w:color w:val="auto"/>
        </w:rPr>
        <w:t>The information contained in the Report fairly presents, in all material respects, the financial condition and results of operations of the Company.</w:t>
      </w:r>
    </w:p>
    <w:p>
      <w:pPr>
        <w:spacing w:after="0" w:line="277"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David W. Grzebinski</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1" name="Picture 40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1"/>
                    <pic:cNvPicPr>
                      <a:picLocks noChangeAspect="1" noChangeArrowheads="1"/>
                    </pic:cNvPicPr>
                  </pic:nvPicPr>
                  <pic:blipFill>
                    <a:blip r:embed="rId411">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David W. Grzebinski</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President and Chief Executive Officer</w:t>
      </w:r>
    </w:p>
    <w:p>
      <w:pPr>
        <w:spacing w:after="0" w:line="306"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/s/ William G. Harvey</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3571240</wp:posOffset>
            </wp:positionH>
            <wp:positionV relativeFrom="paragraph">
              <wp:posOffset>14605</wp:posOffset>
            </wp:positionV>
            <wp:extent cx="3566160" cy="8255"/>
            <wp:wrapNone/>
            <wp:docPr id="402" name="Picture 40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2"/>
                    <pic:cNvPicPr>
                      <a:picLocks noChangeAspect="1" noChangeArrowheads="1"/>
                    </pic:cNvPicPr>
                  </pic:nvPicPr>
                  <pic:blipFill>
                    <a:blip r:embed="rId412">
                      <a:extLst>
                        <a:ext uri="{28A0092B-C50C-407E-A947-70E740481C1C}"/>
                      </a:extLst>
                    </a:blip>
                    <a:srcRect/>
                    <a:stretch>
                      <a:fillRect/>
                    </a:stretch>
                  </pic:blipFill>
                  <pic:spPr bwMode="auto">
                    <a:xfrm>
                      <a:off x="0" y="0"/>
                      <a:ext cx="3566160" cy="8255"/>
                    </a:xfrm>
                    <a:prstGeom prst="rect">
                      <a:avLst/>
                    </a:prstGeom>
                    <a:noFill/>
                  </pic:spPr>
                </pic:pic>
              </a:graphicData>
            </a:graphic>
          </wp:anchor>
        </w:drawing>
      </w:r>
    </w:p>
    <w:p>
      <w:pPr>
        <w:spacing w:after="0" w:line="30" w:lineRule="exact"/>
        <w:rPr>
          <w:sz w:val="20"/>
          <w:szCs w:val="20"/>
          <w:color w:val="auto"/>
        </w:rPr>
      </w:pPr>
    </w:p>
    <w:p>
      <w:pPr>
        <w:jc w:val="center"/>
        <w:ind w:left="5600"/>
        <w:spacing w:after="0"/>
        <w:rPr>
          <w:sz w:val="20"/>
          <w:szCs w:val="20"/>
          <w:color w:val="auto"/>
        </w:rPr>
      </w:pPr>
      <w:r>
        <w:rPr>
          <w:rFonts w:ascii="Arial" w:cs="Arial" w:eastAsia="Arial" w:hAnsi="Arial"/>
          <w:sz w:val="18"/>
          <w:szCs w:val="18"/>
          <w:color w:val="auto"/>
        </w:rPr>
        <w:t>William G. Harvey</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Executive Vice President and</w:t>
      </w:r>
    </w:p>
    <w:p>
      <w:pPr>
        <w:spacing w:after="0" w:line="50" w:lineRule="exact"/>
        <w:rPr>
          <w:sz w:val="20"/>
          <w:szCs w:val="20"/>
          <w:color w:val="auto"/>
        </w:rPr>
      </w:pPr>
    </w:p>
    <w:p>
      <w:pPr>
        <w:jc w:val="center"/>
        <w:ind w:left="5600"/>
        <w:spacing w:after="0"/>
        <w:rPr>
          <w:sz w:val="20"/>
          <w:szCs w:val="20"/>
          <w:color w:val="auto"/>
        </w:rPr>
      </w:pPr>
      <w:r>
        <w:rPr>
          <w:rFonts w:ascii="Arial" w:cs="Arial" w:eastAsia="Arial" w:hAnsi="Arial"/>
          <w:sz w:val="18"/>
          <w:szCs w:val="18"/>
          <w:i w:val="1"/>
          <w:iCs w:val="1"/>
          <w:color w:val="auto"/>
        </w:rPr>
        <w:t>Chief Financial Officer</w:t>
      </w:r>
    </w:p>
    <w:p>
      <w:pPr>
        <w:spacing w:after="0" w:line="306" w:lineRule="exact"/>
        <w:rPr>
          <w:sz w:val="20"/>
          <w:szCs w:val="20"/>
          <w:color w:val="auto"/>
        </w:rPr>
      </w:pPr>
    </w:p>
    <w:p>
      <w:pPr>
        <w:ind w:left="20"/>
        <w:spacing w:after="0"/>
        <w:rPr>
          <w:sz w:val="20"/>
          <w:szCs w:val="20"/>
          <w:color w:val="auto"/>
        </w:rPr>
      </w:pPr>
      <w:r>
        <w:rPr>
          <w:rFonts w:ascii="Arial" w:cs="Arial" w:eastAsia="Arial" w:hAnsi="Arial"/>
          <w:sz w:val="18"/>
          <w:szCs w:val="18"/>
          <w:color w:val="auto"/>
        </w:rPr>
        <w:t>Dated: November 8, 2021</w:t>
      </w:r>
    </w:p>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-6985</wp:posOffset>
            </wp:positionH>
            <wp:positionV relativeFrom="paragraph">
              <wp:posOffset>370840</wp:posOffset>
            </wp:positionV>
            <wp:extent cx="7157720" cy="42545"/>
            <wp:wrapNone/>
            <wp:docPr id="403" name="Picture 40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03"/>
                    <pic:cNvPicPr>
                      <a:picLocks noChangeAspect="1" noChangeArrowheads="1"/>
                    </pic:cNvPicPr>
                  </pic:nvPicPr>
                  <pic:blipFill>
                    <a:blip r:embed="rId413">
                      <a:extLst>
                        <a:ext uri="{28A0092B-C50C-407E-A947-70E740481C1C}"/>
                      </a:extLst>
                    </a:blip>
                    <a:srcRect/>
                    <a:stretch>
                      <a:fillRect/>
                    </a:stretch>
                  </pic:blipFill>
                  <pic:spPr bwMode="auto">
                    <a:xfrm>
                      <a:off x="0" y="0"/>
                      <a:ext cx="7157720" cy="42545"/>
                    </a:xfrm>
                    <a:prstGeom prst="rect">
                      <a:avLst/>
                    </a:prstGeom>
                    <a:noFill/>
                  </pic:spPr>
                </pic:pic>
              </a:graphicData>
            </a:graphic>
          </wp:anchor>
        </w:drawing>
      </w:r>
    </w:p>
    <w:p>
      <w:pPr>
        <w:sectPr>
          <w:pgSz w:w="11900" w:h="16838" w:orient="portrait"/>
          <w:cols w:equalWidth="0" w:num="1">
            <w:col w:w="11240"/>
          </w:cols>
          <w:pgMar w:left="320" w:top="391" w:right="339" w:bottom="1440" w:gutter="0" w:footer="0" w:header="0"/>
        </w:sectPr>
      </w:pPr>
    </w:p>
    <w:bookmarkStart w:id="38" w:name="page39"/>
    <w:bookmarkEnd w:id="38"/>
    <w:sectPr>
      <w:pgSz w:w="11900" w:h="16838" w:orient="portrait"/>
      <w:cols w:equalWidth="1" w:num="1" w:space="0"/>
      <w:pgMar w:left="1440" w:top="1440" w:right="1440" w:bottom="875"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 w:name="Arial">
    <w:panose1 w:val="020B0604020202020204"/>
    <w:charset w:val="00"/>
    <w:family w:val="swiss"/>
    <w:pitch w:val="variable"/>
    <w:sig w:usb0="E0002EFF" w:usb1="C0007843" w:usb2="00000009" w:usb3="00000000" w:csb0="400001FF" w:csb1="FFFF0000"/>
  </w:font>
  <w:font w:name="MS PGothic">
    <w:panose1 w:val="020B0600070205080204"/>
    <w:charset w:val="80"/>
    <w:family w:val="swiss"/>
    <w:pitch w:val="variable"/>
    <w:sig w:usb0="E00002FF" w:usb1="6AC7FDFB" w:usb2="08000012" w:usb3="00000000" w:csb0="4002009F" w:csb1="DFD70000"/>
  </w:font>
</w:fonts>
</file>

<file path=word/numbering.xml><?xml version="1.0" encoding="utf-8"?>
<w:numbering xmlns:w="http://schemas.openxmlformats.org/wordprocessingml/2006/main">
  <w:abstractNum w:abstractNumId="0">
    <w:nsid w:val="216231B"/>
    <w:multiLevelType w:val="hybridMultilevel"/>
    <w:lvl w:ilvl="0">
      <w:lvlJc w:val="left"/>
      <w:lvlText w:val="(%1)"/>
      <w:numFmt w:val="decimal"/>
      <w:start w:val="1"/>
    </w:lvl>
  </w:abstractNum>
  <w:abstractNum w:abstractNumId="1">
    <w:nsid w:val="1F16E9E8"/>
    <w:multiLevelType w:val="hybridMultilevel"/>
    <w:lvl w:ilvl="0">
      <w:lvlJc w:val="left"/>
      <w:lvlText w:val="(%1)"/>
      <w:numFmt w:val="decimal"/>
      <w:start w:val="2"/>
    </w:lvl>
  </w:abstractNum>
  <w:abstractNum w:abstractNumId="2">
    <w:nsid w:val="1190CDE7"/>
    <w:multiLevelType w:val="hybridMultilevel"/>
    <w:lvl w:ilvl="0">
      <w:lvlJc w:val="left"/>
      <w:lvlText w:val="(%1)"/>
      <w:numFmt w:val="decimal"/>
      <w:start w:val="3"/>
    </w:lvl>
  </w:abstractNum>
  <w:abstractNum w:abstractNumId="3">
    <w:nsid w:val="66EF438D"/>
    <w:multiLevelType w:val="hybridMultilevel"/>
    <w:lvl w:ilvl="0">
      <w:lvlJc w:val="left"/>
      <w:lvlText w:val="(%1)"/>
      <w:numFmt w:val="decimal"/>
      <w:start w:val="4"/>
    </w:lvl>
  </w:abstractNum>
  <w:abstractNum w:abstractNumId="4">
    <w:nsid w:val="140E0F76"/>
    <w:multiLevelType w:val="hybridMultilevel"/>
    <w:lvl w:ilvl="0">
      <w:lvlJc w:val="left"/>
      <w:lvlText w:val="(%1)"/>
      <w:numFmt w:val="decimal"/>
      <w:start w:val="5"/>
    </w:lvl>
  </w:abstractNum>
  <w:abstractNum w:abstractNumId="5">
    <w:nsid w:val="3352255A"/>
    <w:multiLevelType w:val="hybridMultilevel"/>
    <w:lvl w:ilvl="0">
      <w:lvlJc w:val="left"/>
      <w:lvlText w:val="(%1)"/>
      <w:numFmt w:val="lowerLetter"/>
      <w:start w:val="1"/>
    </w:lvl>
  </w:abstractNum>
  <w:abstractNum w:abstractNumId="6">
    <w:nsid w:val="109CF92E"/>
    <w:multiLevelType w:val="hybridMultilevel"/>
    <w:lvl w:ilvl="0">
      <w:lvlJc w:val="left"/>
      <w:lvlText w:val="(%1)"/>
      <w:numFmt w:val="decimal"/>
      <w:start w:val="6"/>
    </w:lvl>
  </w:abstractNum>
  <w:abstractNum w:abstractNumId="7">
    <w:nsid w:val="DED7263"/>
    <w:multiLevelType w:val="hybridMultilevel"/>
    <w:lvl w:ilvl="0">
      <w:lvlJc w:val="left"/>
      <w:lvlText w:val="(%1)"/>
      <w:numFmt w:val="decimal"/>
      <w:start w:val="7"/>
    </w:lvl>
  </w:abstractNum>
  <w:abstractNum w:abstractNumId="8">
    <w:nsid w:val="7FDCC233"/>
    <w:multiLevelType w:val="hybridMultilevel"/>
    <w:lvl w:ilvl="0">
      <w:lvlJc w:val="left"/>
      <w:lvlText w:val="(%1)"/>
      <w:numFmt w:val="decimal"/>
      <w:start w:val="8"/>
    </w:lvl>
  </w:abstractNum>
  <w:abstractNum w:abstractNumId="9">
    <w:nsid w:val="1BEFD79F"/>
    <w:multiLevelType w:val="hybridMultilevel"/>
    <w:lvl w:ilvl="0">
      <w:lvlJc w:val="left"/>
      <w:lvlText w:val="(%1)"/>
      <w:numFmt w:val="decimal"/>
      <w:start w:val="9"/>
    </w:lvl>
  </w:abstractNum>
  <w:abstractNum w:abstractNumId="10">
    <w:nsid w:val="41A7C4C9"/>
    <w:multiLevelType w:val="hybridMultilevel"/>
    <w:lvl w:ilvl="0">
      <w:lvlJc w:val="left"/>
      <w:lvlText w:val="%1"/>
      <w:numFmt w:val="decimal"/>
      <w:start w:val="1"/>
    </w:lvl>
    <w:lvl w:ilvl="1">
      <w:lvlJc w:val="left"/>
      <w:lvlText w:val="(%2)"/>
      <w:numFmt w:val="lowerLetter"/>
      <w:start w:val="1"/>
    </w:lvl>
  </w:abstractNum>
  <w:abstractNum w:abstractNumId="11">
    <w:nsid w:val="6B68079A"/>
    <w:multiLevelType w:val="hybridMultilevel"/>
    <w:lvl w:ilvl="0">
      <w:lvlJc w:val="left"/>
      <w:lvlText w:val="(%1)"/>
      <w:numFmt w:val="decimal"/>
      <w:start w:val="14"/>
    </w:lvl>
    <w:lvl w:ilvl="1">
      <w:lvlJc w:val="left"/>
      <w:lvlText w:val="%2"/>
      <w:numFmt w:val="lowerLetter"/>
      <w:start w:val="1"/>
    </w:lvl>
  </w:abstractNum>
  <w:abstractNum w:abstractNumId="12">
    <w:nsid w:val="4E6AFB66"/>
    <w:multiLevelType w:val="hybridMultilevel"/>
    <w:lvl w:ilvl="0">
      <w:lvlJc w:val="left"/>
      <w:lvlText w:val="(%1)"/>
      <w:numFmt w:val="lowerLetter"/>
      <w:start w:val="1"/>
    </w:lvl>
  </w:abstractNum>
  <w:abstractNum w:abstractNumId="13">
    <w:nsid w:val="25E45D32"/>
    <w:multiLevelType w:val="hybridMultilevel"/>
    <w:lvl w:ilvl="0">
      <w:lvlJc w:val="left"/>
      <w:lvlText w:val="(%1)"/>
      <w:numFmt w:val="lowerLetter"/>
      <w:start w:val="1"/>
    </w:lvl>
  </w:abstractNum>
  <w:abstractNum w:abstractNumId="14">
    <w:nsid w:val="519B500D"/>
    <w:multiLevelType w:val="hybridMultilevel"/>
    <w:lvl w:ilvl="0">
      <w:lvlJc w:val="left"/>
      <w:lvlText w:val="(%1)"/>
      <w:numFmt w:val="lowerLetter"/>
      <w:start w:val="1"/>
    </w:lvl>
  </w:abstractNum>
  <w:abstractNum w:abstractNumId="15">
    <w:nsid w:val="431BD7B7"/>
    <w:multiLevelType w:val="hybridMultilevel"/>
    <w:lvl w:ilvl="0">
      <w:lvlJc w:val="left"/>
      <w:lvlText w:val="%1"/>
      <w:numFmt w:val="decimal"/>
      <w:start w:val="32"/>
    </w:lvl>
  </w:abstractNum>
  <w:abstractNum w:abstractNumId="16">
    <w:nsid w:val="3F2DBA31"/>
    <w:multiLevelType w:val="hybridMultilevel"/>
    <w:lvl w:ilvl="0">
      <w:lvlJc w:val="left"/>
      <w:lvlText w:val="%1"/>
      <w:numFmt w:val="decimal"/>
      <w:start w:val="104"/>
    </w:lvl>
  </w:abstractNum>
  <w:abstractNum w:abstractNumId="17">
    <w:nsid w:val="7C83E458"/>
    <w:multiLevelType w:val="hybridMultilevel"/>
    <w:lvl w:ilvl="0">
      <w:lvlJc w:val="left"/>
      <w:lvlText w:val="%1."/>
      <w:numFmt w:val="decimal"/>
      <w:start w:val="1"/>
    </w:lvl>
    <w:lvl w:ilvl="1">
      <w:lvlJc w:val="left"/>
      <w:lvlText w:val="%2)"/>
      <w:numFmt w:val="lowerLetter"/>
      <w:start w:val="1"/>
    </w:lvl>
  </w:abstractNum>
  <w:abstractNum w:abstractNumId="18">
    <w:nsid w:val="257130A3"/>
    <w:multiLevelType w:val="hybridMultilevel"/>
    <w:lvl w:ilvl="0">
      <w:lvlJc w:val="left"/>
      <w:lvlText w:val="%1."/>
      <w:numFmt w:val="decimal"/>
      <w:start w:val="1"/>
    </w:lvl>
    <w:lvl w:ilvl="1">
      <w:lvlJc w:val="left"/>
      <w:lvlText w:val="%2)"/>
      <w:numFmt w:val="lowerLetter"/>
      <w:start w:val="1"/>
    </w:lvl>
  </w:abstractNum>
  <w:abstractNum w:abstractNumId="19">
    <w:nsid w:val="62BBD95A"/>
    <w:multiLevelType w:val="hybridMultilevel"/>
    <w:lvl w:ilvl="0">
      <w:lvlJc w:val="left"/>
      <w:lvlText w:val="%1."/>
      <w:numFmt w:val="decimal"/>
      <w:start w:val="1"/>
    </w:lvl>
  </w:abstractNum>
  <w:num w:numId="1">
    <w:abstractNumId w:val="0"/>
  </w:num>
  <w:num w:numId="2">
    <w:abstractNumId w:val="1"/>
  </w:num>
  <w:num w:numId="3">
    <w:abstractNumId w:val="2"/>
  </w:num>
  <w:num w:numId="4">
    <w:abstractNumId w:val="3"/>
  </w:num>
  <w:num w:numId="5">
    <w:abstractNumId w:val="4"/>
  </w:num>
  <w:num w:numId="6">
    <w:abstractNumId w:val="5"/>
  </w:num>
  <w:num w:numId="7">
    <w:abstractNumId w:val="6"/>
  </w:num>
  <w:num w:numId="8">
    <w:abstractNumId w:val="7"/>
  </w:num>
  <w:num w:numId="9">
    <w:abstractNumId w:val="8"/>
  </w:num>
  <w:num w:numId="10">
    <w:abstractNumId w:val="9"/>
  </w:num>
  <w:num w:numId="11">
    <w:abstractNumId w:val="10"/>
  </w:num>
  <w:num w:numId="12">
    <w:abstractNumId w:val="11"/>
  </w:num>
  <w:num w:numId="13">
    <w:abstractNumId w:val="12"/>
  </w:num>
  <w:num w:numId="14">
    <w:abstractNumId w:val="13"/>
  </w:num>
  <w:num w:numId="15">
    <w:abstractNumId w:val="14"/>
  </w:num>
  <w:num w:numId="16">
    <w:abstractNumId w:val="15"/>
  </w:num>
  <w:num w:numId="17">
    <w:abstractNumId w:val="16"/>
  </w:num>
  <w:num w:numId="18">
    <w:abstractNumId w:val="17"/>
  </w:num>
  <w:num w:numId="19">
    <w:abstractNumId w:val="18"/>
  </w:num>
  <w:num w:numId="20">
    <w:abstractNumId w:val="19"/>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png"/><Relationship Id="rId9" Type="http://schemas.openxmlformats.org/officeDocument/2006/relationships/image" Target="media/image2.png"/><Relationship Id="rId10" Type="http://schemas.openxmlformats.org/officeDocument/2006/relationships/image" Target="media/image3.png"/><Relationship Id="rId11" Type="http://schemas.openxmlformats.org/officeDocument/2006/relationships/image" Target="media/image4.png"/><Relationship Id="rId12" Type="http://schemas.openxmlformats.org/officeDocument/2006/relationships/image" Target="media/image5.png"/><Relationship Id="rId13" Type="http://schemas.openxmlformats.org/officeDocument/2006/relationships/image" Target="media/image6.png"/><Relationship Id="rId14" Type="http://schemas.openxmlformats.org/officeDocument/2006/relationships/image" Target="media/image7.png"/><Relationship Id="rId15" Type="http://schemas.openxmlformats.org/officeDocument/2006/relationships/image" Target="media/image8.png"/><Relationship Id="rId16" Type="http://schemas.openxmlformats.org/officeDocument/2006/relationships/image" Target="media/image9.png"/><Relationship Id="rId17" Type="http://schemas.openxmlformats.org/officeDocument/2006/relationships/image" Target="media/image10.png"/><Relationship Id="rId18" Type="http://schemas.openxmlformats.org/officeDocument/2006/relationships/image" Target="media/image11.png"/><Relationship Id="rId19" Type="http://schemas.openxmlformats.org/officeDocument/2006/relationships/image" Target="media/image12.png"/><Relationship Id="rId20" Type="http://schemas.openxmlformats.org/officeDocument/2006/relationships/image" Target="media/image13.png"/><Relationship Id="rId21" Type="http://schemas.openxmlformats.org/officeDocument/2006/relationships/image" Target="media/image14.png"/><Relationship Id="rId22" Type="http://schemas.openxmlformats.org/officeDocument/2006/relationships/image" Target="media/image15.png"/><Relationship Id="rId23" Type="http://schemas.openxmlformats.org/officeDocument/2006/relationships/image" Target="media/image16.png"/><Relationship Id="rId24" Type="http://schemas.openxmlformats.org/officeDocument/2006/relationships/image" Target="media/image17.png"/><Relationship Id="rId25" Type="http://schemas.openxmlformats.org/officeDocument/2006/relationships/image" Target="media/image18.png"/><Relationship Id="rId26" Type="http://schemas.openxmlformats.org/officeDocument/2006/relationships/image" Target="media/image19.png"/><Relationship Id="rId27" Type="http://schemas.openxmlformats.org/officeDocument/2006/relationships/image" Target="media/image20.png"/><Relationship Id="rId28" Type="http://schemas.openxmlformats.org/officeDocument/2006/relationships/image" Target="media/image21.png"/><Relationship Id="rId29" Type="http://schemas.openxmlformats.org/officeDocument/2006/relationships/image" Target="media/image22.png"/><Relationship Id="rId30" Type="http://schemas.openxmlformats.org/officeDocument/2006/relationships/image" Target="media/image23.png"/><Relationship Id="rId31" Type="http://schemas.openxmlformats.org/officeDocument/2006/relationships/image" Target="media/image24.png"/><Relationship Id="rId32" Type="http://schemas.openxmlformats.org/officeDocument/2006/relationships/image" Target="media/image25.png"/><Relationship Id="rId33" Type="http://schemas.openxmlformats.org/officeDocument/2006/relationships/image" Target="media/image26.png"/><Relationship Id="rId34" Type="http://schemas.openxmlformats.org/officeDocument/2006/relationships/image" Target="media/image27.png"/><Relationship Id="rId35" Type="http://schemas.openxmlformats.org/officeDocument/2006/relationships/image" Target="media/image28.png"/><Relationship Id="rId36" Type="http://schemas.openxmlformats.org/officeDocument/2006/relationships/image" Target="media/image29.png"/><Relationship Id="rId37" Type="http://schemas.openxmlformats.org/officeDocument/2006/relationships/image" Target="media/image30.png"/><Relationship Id="rId38" Type="http://schemas.openxmlformats.org/officeDocument/2006/relationships/image" Target="media/image31.png"/><Relationship Id="rId39" Type="http://schemas.openxmlformats.org/officeDocument/2006/relationships/image" Target="media/image32.png"/><Relationship Id="rId40" Type="http://schemas.openxmlformats.org/officeDocument/2006/relationships/image" Target="media/image33.png"/><Relationship Id="rId41" Type="http://schemas.openxmlformats.org/officeDocument/2006/relationships/image" Target="media/image34.png"/><Relationship Id="rId42" Type="http://schemas.openxmlformats.org/officeDocument/2006/relationships/image" Target="media/image35.png"/><Relationship Id="rId43" Type="http://schemas.openxmlformats.org/officeDocument/2006/relationships/image" Target="media/image36.png"/><Relationship Id="rId44" Type="http://schemas.openxmlformats.org/officeDocument/2006/relationships/image" Target="media/image37.png"/><Relationship Id="rId45" Type="http://schemas.openxmlformats.org/officeDocument/2006/relationships/image" Target="media/image38.png"/><Relationship Id="rId46" Type="http://schemas.openxmlformats.org/officeDocument/2006/relationships/image" Target="media/image39.png"/><Relationship Id="rId47" Type="http://schemas.openxmlformats.org/officeDocument/2006/relationships/image" Target="media/image40.png"/><Relationship Id="rId48" Type="http://schemas.openxmlformats.org/officeDocument/2006/relationships/image" Target="media/image41.png"/><Relationship Id="rId49" Type="http://schemas.openxmlformats.org/officeDocument/2006/relationships/image" Target="media/image42.png"/><Relationship Id="rId50" Type="http://schemas.openxmlformats.org/officeDocument/2006/relationships/image" Target="media/image43.png"/><Relationship Id="rId51" Type="http://schemas.openxmlformats.org/officeDocument/2006/relationships/image" Target="media/image44.png"/><Relationship Id="rId52" Type="http://schemas.openxmlformats.org/officeDocument/2006/relationships/image" Target="media/image45.png"/><Relationship Id="rId53" Type="http://schemas.openxmlformats.org/officeDocument/2006/relationships/image" Target="media/image46.png"/><Relationship Id="rId54" Type="http://schemas.openxmlformats.org/officeDocument/2006/relationships/image" Target="media/image47.png"/><Relationship Id="rId55" Type="http://schemas.openxmlformats.org/officeDocument/2006/relationships/image" Target="media/image48.png"/><Relationship Id="rId56" Type="http://schemas.openxmlformats.org/officeDocument/2006/relationships/image" Target="media/image49.png"/><Relationship Id="rId57" Type="http://schemas.openxmlformats.org/officeDocument/2006/relationships/image" Target="media/image50.png"/><Relationship Id="rId58" Type="http://schemas.openxmlformats.org/officeDocument/2006/relationships/image" Target="media/image51.png"/><Relationship Id="rId59" Type="http://schemas.openxmlformats.org/officeDocument/2006/relationships/image" Target="media/image52.png"/><Relationship Id="rId60" Type="http://schemas.openxmlformats.org/officeDocument/2006/relationships/image" Target="media/image53.png"/><Relationship Id="rId61" Type="http://schemas.openxmlformats.org/officeDocument/2006/relationships/image" Target="media/image54.png"/><Relationship Id="rId62" Type="http://schemas.openxmlformats.org/officeDocument/2006/relationships/image" Target="media/image55.png"/><Relationship Id="rId63" Type="http://schemas.openxmlformats.org/officeDocument/2006/relationships/image" Target="media/image56.png"/><Relationship Id="rId64" Type="http://schemas.openxmlformats.org/officeDocument/2006/relationships/image" Target="media/image57.png"/><Relationship Id="rId65" Type="http://schemas.openxmlformats.org/officeDocument/2006/relationships/image" Target="media/image58.png"/><Relationship Id="rId66" Type="http://schemas.openxmlformats.org/officeDocument/2006/relationships/image" Target="media/image59.png"/><Relationship Id="rId67" Type="http://schemas.openxmlformats.org/officeDocument/2006/relationships/image" Target="media/image60.png"/><Relationship Id="rId68" Type="http://schemas.openxmlformats.org/officeDocument/2006/relationships/image" Target="media/image61.png"/><Relationship Id="rId69" Type="http://schemas.openxmlformats.org/officeDocument/2006/relationships/image" Target="media/image62.png"/><Relationship Id="rId70" Type="http://schemas.openxmlformats.org/officeDocument/2006/relationships/image" Target="media/image63.png"/><Relationship Id="rId71" Type="http://schemas.openxmlformats.org/officeDocument/2006/relationships/image" Target="media/image64.png"/><Relationship Id="rId72" Type="http://schemas.openxmlformats.org/officeDocument/2006/relationships/image" Target="media/image65.png"/><Relationship Id="rId73" Type="http://schemas.openxmlformats.org/officeDocument/2006/relationships/image" Target="media/image66.png"/><Relationship Id="rId74" Type="http://schemas.openxmlformats.org/officeDocument/2006/relationships/image" Target="media/image67.png"/><Relationship Id="rId75" Type="http://schemas.openxmlformats.org/officeDocument/2006/relationships/image" Target="media/image68.png"/><Relationship Id="rId76" Type="http://schemas.openxmlformats.org/officeDocument/2006/relationships/image" Target="media/image69.png"/><Relationship Id="rId77" Type="http://schemas.openxmlformats.org/officeDocument/2006/relationships/image" Target="media/image70.png"/><Relationship Id="rId78" Type="http://schemas.openxmlformats.org/officeDocument/2006/relationships/image" Target="media/image71.png"/><Relationship Id="rId79" Type="http://schemas.openxmlformats.org/officeDocument/2006/relationships/image" Target="media/image72.png"/><Relationship Id="rId80" Type="http://schemas.openxmlformats.org/officeDocument/2006/relationships/image" Target="media/image73.png"/><Relationship Id="rId81" Type="http://schemas.openxmlformats.org/officeDocument/2006/relationships/image" Target="media/image74.png"/><Relationship Id="rId82" Type="http://schemas.openxmlformats.org/officeDocument/2006/relationships/image" Target="media/image75.png"/><Relationship Id="rId83" Type="http://schemas.openxmlformats.org/officeDocument/2006/relationships/image" Target="media/image76.png"/><Relationship Id="rId84" Type="http://schemas.openxmlformats.org/officeDocument/2006/relationships/image" Target="media/image77.png"/><Relationship Id="rId85" Type="http://schemas.openxmlformats.org/officeDocument/2006/relationships/image" Target="media/image78.png"/><Relationship Id="rId86" Type="http://schemas.openxmlformats.org/officeDocument/2006/relationships/image" Target="media/image79.png"/><Relationship Id="rId87" Type="http://schemas.openxmlformats.org/officeDocument/2006/relationships/image" Target="media/image80.png"/><Relationship Id="rId88" Type="http://schemas.openxmlformats.org/officeDocument/2006/relationships/image" Target="media/image81.png"/><Relationship Id="rId89" Type="http://schemas.openxmlformats.org/officeDocument/2006/relationships/image" Target="media/image82.png"/><Relationship Id="rId90" Type="http://schemas.openxmlformats.org/officeDocument/2006/relationships/image" Target="media/image83.png"/><Relationship Id="rId91" Type="http://schemas.openxmlformats.org/officeDocument/2006/relationships/image" Target="media/image84.png"/><Relationship Id="rId92" Type="http://schemas.openxmlformats.org/officeDocument/2006/relationships/image" Target="media/image85.png"/><Relationship Id="rId93" Type="http://schemas.openxmlformats.org/officeDocument/2006/relationships/image" Target="media/image86.png"/><Relationship Id="rId94" Type="http://schemas.openxmlformats.org/officeDocument/2006/relationships/image" Target="media/image87.png"/><Relationship Id="rId95" Type="http://schemas.openxmlformats.org/officeDocument/2006/relationships/image" Target="media/image88.png"/><Relationship Id="rId96" Type="http://schemas.openxmlformats.org/officeDocument/2006/relationships/image" Target="media/image89.png"/><Relationship Id="rId97" Type="http://schemas.openxmlformats.org/officeDocument/2006/relationships/image" Target="media/image90.png"/><Relationship Id="rId98" Type="http://schemas.openxmlformats.org/officeDocument/2006/relationships/image" Target="media/image91.png"/><Relationship Id="rId99" Type="http://schemas.openxmlformats.org/officeDocument/2006/relationships/image" Target="media/image92.png"/><Relationship Id="rId100" Type="http://schemas.openxmlformats.org/officeDocument/2006/relationships/image" Target="media/image93.png"/><Relationship Id="rId101" Type="http://schemas.openxmlformats.org/officeDocument/2006/relationships/image" Target="media/image94.png"/><Relationship Id="rId102" Type="http://schemas.openxmlformats.org/officeDocument/2006/relationships/image" Target="media/image95.png"/><Relationship Id="rId103" Type="http://schemas.openxmlformats.org/officeDocument/2006/relationships/image" Target="media/image96.png"/><Relationship Id="rId104" Type="http://schemas.openxmlformats.org/officeDocument/2006/relationships/image" Target="media/image97.png"/><Relationship Id="rId105" Type="http://schemas.openxmlformats.org/officeDocument/2006/relationships/image" Target="media/image98.png"/><Relationship Id="rId106" Type="http://schemas.openxmlformats.org/officeDocument/2006/relationships/image" Target="media/image99.png"/><Relationship Id="rId107" Type="http://schemas.openxmlformats.org/officeDocument/2006/relationships/image" Target="media/image100.png"/><Relationship Id="rId108" Type="http://schemas.openxmlformats.org/officeDocument/2006/relationships/image" Target="media/image101.png"/><Relationship Id="rId109" Type="http://schemas.openxmlformats.org/officeDocument/2006/relationships/image" Target="media/image102.png"/><Relationship Id="rId110" Type="http://schemas.openxmlformats.org/officeDocument/2006/relationships/image" Target="media/image103.png"/><Relationship Id="rId111" Type="http://schemas.openxmlformats.org/officeDocument/2006/relationships/image" Target="media/image104.png"/><Relationship Id="rId112" Type="http://schemas.openxmlformats.org/officeDocument/2006/relationships/image" Target="media/image105.png"/><Relationship Id="rId113" Type="http://schemas.openxmlformats.org/officeDocument/2006/relationships/image" Target="media/image106.png"/><Relationship Id="rId114" Type="http://schemas.openxmlformats.org/officeDocument/2006/relationships/image" Target="media/image107.png"/><Relationship Id="rId115" Type="http://schemas.openxmlformats.org/officeDocument/2006/relationships/image" Target="media/image108.png"/><Relationship Id="rId116" Type="http://schemas.openxmlformats.org/officeDocument/2006/relationships/image" Target="media/image109.png"/><Relationship Id="rId117" Type="http://schemas.openxmlformats.org/officeDocument/2006/relationships/image" Target="media/image110.png"/><Relationship Id="rId118" Type="http://schemas.openxmlformats.org/officeDocument/2006/relationships/image" Target="media/image111.png"/><Relationship Id="rId119" Type="http://schemas.openxmlformats.org/officeDocument/2006/relationships/image" Target="media/image112.png"/><Relationship Id="rId120" Type="http://schemas.openxmlformats.org/officeDocument/2006/relationships/image" Target="media/image113.png"/><Relationship Id="rId121" Type="http://schemas.openxmlformats.org/officeDocument/2006/relationships/image" Target="media/image114.png"/><Relationship Id="rId122" Type="http://schemas.openxmlformats.org/officeDocument/2006/relationships/image" Target="media/image115.png"/><Relationship Id="rId123" Type="http://schemas.openxmlformats.org/officeDocument/2006/relationships/image" Target="media/image116.png"/><Relationship Id="rId124" Type="http://schemas.openxmlformats.org/officeDocument/2006/relationships/image" Target="media/image117.png"/><Relationship Id="rId125" Type="http://schemas.openxmlformats.org/officeDocument/2006/relationships/image" Target="media/image118.png"/><Relationship Id="rId126" Type="http://schemas.openxmlformats.org/officeDocument/2006/relationships/image" Target="media/image119.png"/><Relationship Id="rId127" Type="http://schemas.openxmlformats.org/officeDocument/2006/relationships/image" Target="media/image120.png"/><Relationship Id="rId128" Type="http://schemas.openxmlformats.org/officeDocument/2006/relationships/image" Target="media/image121.png"/><Relationship Id="rId129" Type="http://schemas.openxmlformats.org/officeDocument/2006/relationships/image" Target="media/image122.png"/><Relationship Id="rId130" Type="http://schemas.openxmlformats.org/officeDocument/2006/relationships/image" Target="media/image123.png"/><Relationship Id="rId131" Type="http://schemas.openxmlformats.org/officeDocument/2006/relationships/image" Target="media/image124.png"/><Relationship Id="rId132" Type="http://schemas.openxmlformats.org/officeDocument/2006/relationships/image" Target="media/image125.png"/><Relationship Id="rId133" Type="http://schemas.openxmlformats.org/officeDocument/2006/relationships/image" Target="media/image126.png"/><Relationship Id="rId134" Type="http://schemas.openxmlformats.org/officeDocument/2006/relationships/image" Target="media/image127.png"/><Relationship Id="rId135" Type="http://schemas.openxmlformats.org/officeDocument/2006/relationships/image" Target="media/image128.png"/><Relationship Id="rId136" Type="http://schemas.openxmlformats.org/officeDocument/2006/relationships/image" Target="media/image129.png"/><Relationship Id="rId137" Type="http://schemas.openxmlformats.org/officeDocument/2006/relationships/image" Target="media/image130.png"/><Relationship Id="rId138" Type="http://schemas.openxmlformats.org/officeDocument/2006/relationships/image" Target="media/image131.png"/><Relationship Id="rId139" Type="http://schemas.openxmlformats.org/officeDocument/2006/relationships/image" Target="media/image132.png"/><Relationship Id="rId140" Type="http://schemas.openxmlformats.org/officeDocument/2006/relationships/image" Target="media/image133.png"/><Relationship Id="rId141" Type="http://schemas.openxmlformats.org/officeDocument/2006/relationships/image" Target="media/image134.png"/><Relationship Id="rId142" Type="http://schemas.openxmlformats.org/officeDocument/2006/relationships/image" Target="media/image135.png"/><Relationship Id="rId143" Type="http://schemas.openxmlformats.org/officeDocument/2006/relationships/image" Target="media/image136.png"/><Relationship Id="rId144" Type="http://schemas.openxmlformats.org/officeDocument/2006/relationships/image" Target="media/image137.png"/><Relationship Id="rId145" Type="http://schemas.openxmlformats.org/officeDocument/2006/relationships/image" Target="media/image138.png"/><Relationship Id="rId146" Type="http://schemas.openxmlformats.org/officeDocument/2006/relationships/image" Target="media/image139.png"/><Relationship Id="rId147" Type="http://schemas.openxmlformats.org/officeDocument/2006/relationships/image" Target="media/image140.png"/><Relationship Id="rId148" Type="http://schemas.openxmlformats.org/officeDocument/2006/relationships/image" Target="media/image141.png"/><Relationship Id="rId149" Type="http://schemas.openxmlformats.org/officeDocument/2006/relationships/image" Target="media/image142.png"/><Relationship Id="rId150" Type="http://schemas.openxmlformats.org/officeDocument/2006/relationships/image" Target="media/image143.png"/><Relationship Id="rId151" Type="http://schemas.openxmlformats.org/officeDocument/2006/relationships/image" Target="media/image144.png"/><Relationship Id="rId152" Type="http://schemas.openxmlformats.org/officeDocument/2006/relationships/image" Target="media/image145.png"/><Relationship Id="rId153" Type="http://schemas.openxmlformats.org/officeDocument/2006/relationships/image" Target="media/image146.png"/><Relationship Id="rId154" Type="http://schemas.openxmlformats.org/officeDocument/2006/relationships/image" Target="media/image147.png"/><Relationship Id="rId155" Type="http://schemas.openxmlformats.org/officeDocument/2006/relationships/image" Target="media/image148.png"/><Relationship Id="rId156" Type="http://schemas.openxmlformats.org/officeDocument/2006/relationships/image" Target="media/image149.png"/><Relationship Id="rId157" Type="http://schemas.openxmlformats.org/officeDocument/2006/relationships/image" Target="media/image150.png"/><Relationship Id="rId158" Type="http://schemas.openxmlformats.org/officeDocument/2006/relationships/image" Target="media/image151.png"/><Relationship Id="rId159" Type="http://schemas.openxmlformats.org/officeDocument/2006/relationships/image" Target="media/image152.png"/><Relationship Id="rId160" Type="http://schemas.openxmlformats.org/officeDocument/2006/relationships/image" Target="media/image153.png"/><Relationship Id="rId161" Type="http://schemas.openxmlformats.org/officeDocument/2006/relationships/image" Target="media/image154.png"/><Relationship Id="rId162" Type="http://schemas.openxmlformats.org/officeDocument/2006/relationships/image" Target="media/image155.png"/><Relationship Id="rId163" Type="http://schemas.openxmlformats.org/officeDocument/2006/relationships/image" Target="media/image156.png"/><Relationship Id="rId164" Type="http://schemas.openxmlformats.org/officeDocument/2006/relationships/image" Target="media/image157.png"/><Relationship Id="rId165" Type="http://schemas.openxmlformats.org/officeDocument/2006/relationships/image" Target="media/image158.png"/><Relationship Id="rId166" Type="http://schemas.openxmlformats.org/officeDocument/2006/relationships/image" Target="media/image159.png"/><Relationship Id="rId167" Type="http://schemas.openxmlformats.org/officeDocument/2006/relationships/image" Target="media/image160.png"/><Relationship Id="rId168" Type="http://schemas.openxmlformats.org/officeDocument/2006/relationships/image" Target="media/image161.png"/><Relationship Id="rId169" Type="http://schemas.openxmlformats.org/officeDocument/2006/relationships/image" Target="media/image162.png"/><Relationship Id="rId170" Type="http://schemas.openxmlformats.org/officeDocument/2006/relationships/image" Target="media/image163.png"/><Relationship Id="rId171" Type="http://schemas.openxmlformats.org/officeDocument/2006/relationships/image" Target="media/image164.png"/><Relationship Id="rId172" Type="http://schemas.openxmlformats.org/officeDocument/2006/relationships/image" Target="media/image165.png"/><Relationship Id="rId173" Type="http://schemas.openxmlformats.org/officeDocument/2006/relationships/image" Target="media/image166.png"/><Relationship Id="rId174" Type="http://schemas.openxmlformats.org/officeDocument/2006/relationships/image" Target="media/image167.png"/><Relationship Id="rId175" Type="http://schemas.openxmlformats.org/officeDocument/2006/relationships/image" Target="media/image168.png"/><Relationship Id="rId176" Type="http://schemas.openxmlformats.org/officeDocument/2006/relationships/image" Target="media/image169.png"/><Relationship Id="rId177" Type="http://schemas.openxmlformats.org/officeDocument/2006/relationships/image" Target="media/image170.png"/><Relationship Id="rId178" Type="http://schemas.openxmlformats.org/officeDocument/2006/relationships/image" Target="media/image171.png"/><Relationship Id="rId179" Type="http://schemas.openxmlformats.org/officeDocument/2006/relationships/image" Target="media/image172.png"/><Relationship Id="rId180" Type="http://schemas.openxmlformats.org/officeDocument/2006/relationships/image" Target="media/image173.png"/><Relationship Id="rId181" Type="http://schemas.openxmlformats.org/officeDocument/2006/relationships/image" Target="media/image174.png"/><Relationship Id="rId182" Type="http://schemas.openxmlformats.org/officeDocument/2006/relationships/image" Target="media/image175.png"/><Relationship Id="rId183" Type="http://schemas.openxmlformats.org/officeDocument/2006/relationships/image" Target="media/image176.png"/><Relationship Id="rId184" Type="http://schemas.openxmlformats.org/officeDocument/2006/relationships/image" Target="media/image177.png"/><Relationship Id="rId185" Type="http://schemas.openxmlformats.org/officeDocument/2006/relationships/image" Target="media/image178.png"/><Relationship Id="rId186" Type="http://schemas.openxmlformats.org/officeDocument/2006/relationships/image" Target="media/image179.png"/><Relationship Id="rId187" Type="http://schemas.openxmlformats.org/officeDocument/2006/relationships/image" Target="media/image180.png"/><Relationship Id="rId188" Type="http://schemas.openxmlformats.org/officeDocument/2006/relationships/image" Target="media/image181.png"/><Relationship Id="rId189" Type="http://schemas.openxmlformats.org/officeDocument/2006/relationships/image" Target="media/image182.png"/><Relationship Id="rId190" Type="http://schemas.openxmlformats.org/officeDocument/2006/relationships/image" Target="media/image183.png"/><Relationship Id="rId191" Type="http://schemas.openxmlformats.org/officeDocument/2006/relationships/image" Target="media/image184.png"/><Relationship Id="rId192" Type="http://schemas.openxmlformats.org/officeDocument/2006/relationships/image" Target="media/image185.png"/><Relationship Id="rId193" Type="http://schemas.openxmlformats.org/officeDocument/2006/relationships/image" Target="media/image186.png"/><Relationship Id="rId194" Type="http://schemas.openxmlformats.org/officeDocument/2006/relationships/image" Target="media/image187.png"/><Relationship Id="rId195" Type="http://schemas.openxmlformats.org/officeDocument/2006/relationships/image" Target="media/image188.png"/><Relationship Id="rId196" Type="http://schemas.openxmlformats.org/officeDocument/2006/relationships/image" Target="media/image189.png"/><Relationship Id="rId197" Type="http://schemas.openxmlformats.org/officeDocument/2006/relationships/image" Target="media/image190.png"/><Relationship Id="rId198" Type="http://schemas.openxmlformats.org/officeDocument/2006/relationships/image" Target="media/image191.png"/><Relationship Id="rId199" Type="http://schemas.openxmlformats.org/officeDocument/2006/relationships/image" Target="media/image192.png"/><Relationship Id="rId200" Type="http://schemas.openxmlformats.org/officeDocument/2006/relationships/image" Target="media/image193.png"/><Relationship Id="rId201" Type="http://schemas.openxmlformats.org/officeDocument/2006/relationships/image" Target="media/image194.png"/><Relationship Id="rId202" Type="http://schemas.openxmlformats.org/officeDocument/2006/relationships/image" Target="media/image195.png"/><Relationship Id="rId203" Type="http://schemas.openxmlformats.org/officeDocument/2006/relationships/image" Target="media/image196.png"/><Relationship Id="rId204" Type="http://schemas.openxmlformats.org/officeDocument/2006/relationships/image" Target="media/image197.png"/><Relationship Id="rId205" Type="http://schemas.openxmlformats.org/officeDocument/2006/relationships/image" Target="media/image198.png"/><Relationship Id="rId206" Type="http://schemas.openxmlformats.org/officeDocument/2006/relationships/image" Target="media/image199.png"/><Relationship Id="rId207" Type="http://schemas.openxmlformats.org/officeDocument/2006/relationships/image" Target="media/image200.png"/><Relationship Id="rId208" Type="http://schemas.openxmlformats.org/officeDocument/2006/relationships/image" Target="media/image201.png"/><Relationship Id="rId209" Type="http://schemas.openxmlformats.org/officeDocument/2006/relationships/image" Target="media/image202.png"/><Relationship Id="rId210" Type="http://schemas.openxmlformats.org/officeDocument/2006/relationships/image" Target="media/image203.png"/><Relationship Id="rId211" Type="http://schemas.openxmlformats.org/officeDocument/2006/relationships/image" Target="media/image204.png"/><Relationship Id="rId212" Type="http://schemas.openxmlformats.org/officeDocument/2006/relationships/image" Target="media/image205.png"/><Relationship Id="rId213" Type="http://schemas.openxmlformats.org/officeDocument/2006/relationships/image" Target="media/image206.png"/><Relationship Id="rId214" Type="http://schemas.openxmlformats.org/officeDocument/2006/relationships/image" Target="media/image207.png"/><Relationship Id="rId215" Type="http://schemas.openxmlformats.org/officeDocument/2006/relationships/image" Target="media/image208.png"/><Relationship Id="rId216" Type="http://schemas.openxmlformats.org/officeDocument/2006/relationships/image" Target="media/image209.png"/><Relationship Id="rId217" Type="http://schemas.openxmlformats.org/officeDocument/2006/relationships/image" Target="media/image210.png"/><Relationship Id="rId218" Type="http://schemas.openxmlformats.org/officeDocument/2006/relationships/image" Target="media/image211.png"/><Relationship Id="rId219" Type="http://schemas.openxmlformats.org/officeDocument/2006/relationships/image" Target="media/image212.png"/><Relationship Id="rId220" Type="http://schemas.openxmlformats.org/officeDocument/2006/relationships/image" Target="media/image213.png"/><Relationship Id="rId221" Type="http://schemas.openxmlformats.org/officeDocument/2006/relationships/image" Target="media/image214.png"/><Relationship Id="rId222" Type="http://schemas.openxmlformats.org/officeDocument/2006/relationships/image" Target="media/image215.png"/><Relationship Id="rId223" Type="http://schemas.openxmlformats.org/officeDocument/2006/relationships/image" Target="media/image216.png"/><Relationship Id="rId224" Type="http://schemas.openxmlformats.org/officeDocument/2006/relationships/image" Target="media/image217.png"/><Relationship Id="rId225" Type="http://schemas.openxmlformats.org/officeDocument/2006/relationships/image" Target="media/image218.png"/><Relationship Id="rId226" Type="http://schemas.openxmlformats.org/officeDocument/2006/relationships/image" Target="media/image219.png"/><Relationship Id="rId227" Type="http://schemas.openxmlformats.org/officeDocument/2006/relationships/image" Target="media/image220.png"/><Relationship Id="rId228" Type="http://schemas.openxmlformats.org/officeDocument/2006/relationships/image" Target="media/image221.png"/><Relationship Id="rId229" Type="http://schemas.openxmlformats.org/officeDocument/2006/relationships/image" Target="media/image222.png"/><Relationship Id="rId230" Type="http://schemas.openxmlformats.org/officeDocument/2006/relationships/image" Target="media/image223.png"/><Relationship Id="rId231" Type="http://schemas.openxmlformats.org/officeDocument/2006/relationships/image" Target="media/image224.png"/><Relationship Id="rId232" Type="http://schemas.openxmlformats.org/officeDocument/2006/relationships/image" Target="media/image225.png"/><Relationship Id="rId233" Type="http://schemas.openxmlformats.org/officeDocument/2006/relationships/image" Target="media/image226.png"/><Relationship Id="rId234" Type="http://schemas.openxmlformats.org/officeDocument/2006/relationships/image" Target="media/image227.png"/><Relationship Id="rId235" Type="http://schemas.openxmlformats.org/officeDocument/2006/relationships/image" Target="media/image228.png"/><Relationship Id="rId236" Type="http://schemas.openxmlformats.org/officeDocument/2006/relationships/image" Target="media/image229.png"/><Relationship Id="rId237" Type="http://schemas.openxmlformats.org/officeDocument/2006/relationships/image" Target="media/image230.png"/><Relationship Id="rId238" Type="http://schemas.openxmlformats.org/officeDocument/2006/relationships/image" Target="media/image231.png"/><Relationship Id="rId239" Type="http://schemas.openxmlformats.org/officeDocument/2006/relationships/image" Target="media/image232.png"/><Relationship Id="rId240" Type="http://schemas.openxmlformats.org/officeDocument/2006/relationships/image" Target="media/image233.png"/><Relationship Id="rId241" Type="http://schemas.openxmlformats.org/officeDocument/2006/relationships/image" Target="media/image234.png"/><Relationship Id="rId242" Type="http://schemas.openxmlformats.org/officeDocument/2006/relationships/image" Target="media/image235.png"/><Relationship Id="rId243" Type="http://schemas.openxmlformats.org/officeDocument/2006/relationships/image" Target="media/image236.png"/><Relationship Id="rId244" Type="http://schemas.openxmlformats.org/officeDocument/2006/relationships/image" Target="media/image237.png"/><Relationship Id="rId245" Type="http://schemas.openxmlformats.org/officeDocument/2006/relationships/image" Target="media/image238.png"/><Relationship Id="rId246" Type="http://schemas.openxmlformats.org/officeDocument/2006/relationships/image" Target="media/image239.png"/><Relationship Id="rId247" Type="http://schemas.openxmlformats.org/officeDocument/2006/relationships/image" Target="media/image240.png"/><Relationship Id="rId248" Type="http://schemas.openxmlformats.org/officeDocument/2006/relationships/image" Target="media/image241.png"/><Relationship Id="rId249" Type="http://schemas.openxmlformats.org/officeDocument/2006/relationships/image" Target="media/image242.png"/><Relationship Id="rId250" Type="http://schemas.openxmlformats.org/officeDocument/2006/relationships/image" Target="media/image243.png"/><Relationship Id="rId251" Type="http://schemas.openxmlformats.org/officeDocument/2006/relationships/image" Target="media/image244.png"/><Relationship Id="rId252" Type="http://schemas.openxmlformats.org/officeDocument/2006/relationships/image" Target="media/image245.png"/><Relationship Id="rId253" Type="http://schemas.openxmlformats.org/officeDocument/2006/relationships/image" Target="media/image246.png"/><Relationship Id="rId254" Type="http://schemas.openxmlformats.org/officeDocument/2006/relationships/image" Target="media/image247.png"/><Relationship Id="rId255" Type="http://schemas.openxmlformats.org/officeDocument/2006/relationships/image" Target="media/image248.png"/><Relationship Id="rId256" Type="http://schemas.openxmlformats.org/officeDocument/2006/relationships/image" Target="media/image249.png"/><Relationship Id="rId257" Type="http://schemas.openxmlformats.org/officeDocument/2006/relationships/image" Target="media/image250.png"/><Relationship Id="rId258" Type="http://schemas.openxmlformats.org/officeDocument/2006/relationships/image" Target="media/image251.png"/><Relationship Id="rId259" Type="http://schemas.openxmlformats.org/officeDocument/2006/relationships/image" Target="media/image252.png"/><Relationship Id="rId260" Type="http://schemas.openxmlformats.org/officeDocument/2006/relationships/image" Target="media/image253.png"/><Relationship Id="rId261" Type="http://schemas.openxmlformats.org/officeDocument/2006/relationships/image" Target="media/image254.png"/><Relationship Id="rId262" Type="http://schemas.openxmlformats.org/officeDocument/2006/relationships/image" Target="media/image255.png"/><Relationship Id="rId263" Type="http://schemas.openxmlformats.org/officeDocument/2006/relationships/image" Target="media/image256.png"/><Relationship Id="rId264" Type="http://schemas.openxmlformats.org/officeDocument/2006/relationships/image" Target="media/image257.png"/><Relationship Id="rId265" Type="http://schemas.openxmlformats.org/officeDocument/2006/relationships/image" Target="media/image258.png"/><Relationship Id="rId266" Type="http://schemas.openxmlformats.org/officeDocument/2006/relationships/image" Target="media/image259.png"/><Relationship Id="rId267" Type="http://schemas.openxmlformats.org/officeDocument/2006/relationships/image" Target="media/image260.png"/><Relationship Id="rId268" Type="http://schemas.openxmlformats.org/officeDocument/2006/relationships/image" Target="media/image261.png"/><Relationship Id="rId269" Type="http://schemas.openxmlformats.org/officeDocument/2006/relationships/image" Target="media/image262.png"/><Relationship Id="rId270" Type="http://schemas.openxmlformats.org/officeDocument/2006/relationships/image" Target="media/image263.png"/><Relationship Id="rId271" Type="http://schemas.openxmlformats.org/officeDocument/2006/relationships/image" Target="media/image264.png"/><Relationship Id="rId272" Type="http://schemas.openxmlformats.org/officeDocument/2006/relationships/image" Target="media/image265.png"/><Relationship Id="rId273" Type="http://schemas.openxmlformats.org/officeDocument/2006/relationships/image" Target="media/image266.png"/><Relationship Id="rId274" Type="http://schemas.openxmlformats.org/officeDocument/2006/relationships/image" Target="media/image267.png"/><Relationship Id="rId275" Type="http://schemas.openxmlformats.org/officeDocument/2006/relationships/image" Target="media/image268.png"/><Relationship Id="rId276" Type="http://schemas.openxmlformats.org/officeDocument/2006/relationships/image" Target="media/image269.png"/><Relationship Id="rId277" Type="http://schemas.openxmlformats.org/officeDocument/2006/relationships/image" Target="media/image270.png"/><Relationship Id="rId278" Type="http://schemas.openxmlformats.org/officeDocument/2006/relationships/image" Target="media/image271.png"/><Relationship Id="rId279" Type="http://schemas.openxmlformats.org/officeDocument/2006/relationships/image" Target="media/image272.png"/><Relationship Id="rId280" Type="http://schemas.openxmlformats.org/officeDocument/2006/relationships/image" Target="media/image273.png"/><Relationship Id="rId281" Type="http://schemas.openxmlformats.org/officeDocument/2006/relationships/image" Target="media/image274.png"/><Relationship Id="rId282" Type="http://schemas.openxmlformats.org/officeDocument/2006/relationships/image" Target="media/image275.png"/><Relationship Id="rId283" Type="http://schemas.openxmlformats.org/officeDocument/2006/relationships/image" Target="media/image276.png"/><Relationship Id="rId284" Type="http://schemas.openxmlformats.org/officeDocument/2006/relationships/image" Target="media/image277.png"/><Relationship Id="rId285" Type="http://schemas.openxmlformats.org/officeDocument/2006/relationships/image" Target="media/image278.png"/><Relationship Id="rId286" Type="http://schemas.openxmlformats.org/officeDocument/2006/relationships/image" Target="media/image279.png"/><Relationship Id="rId287" Type="http://schemas.openxmlformats.org/officeDocument/2006/relationships/image" Target="media/image280.png"/><Relationship Id="rId288" Type="http://schemas.openxmlformats.org/officeDocument/2006/relationships/image" Target="media/image281.png"/><Relationship Id="rId289" Type="http://schemas.openxmlformats.org/officeDocument/2006/relationships/image" Target="media/image282.png"/><Relationship Id="rId290" Type="http://schemas.openxmlformats.org/officeDocument/2006/relationships/image" Target="media/image283.png"/><Relationship Id="rId291" Type="http://schemas.openxmlformats.org/officeDocument/2006/relationships/image" Target="media/image284.png"/><Relationship Id="rId292" Type="http://schemas.openxmlformats.org/officeDocument/2006/relationships/image" Target="media/image285.png"/><Relationship Id="rId293" Type="http://schemas.openxmlformats.org/officeDocument/2006/relationships/image" Target="media/image286.png"/><Relationship Id="rId294" Type="http://schemas.openxmlformats.org/officeDocument/2006/relationships/image" Target="media/image287.png"/><Relationship Id="rId295" Type="http://schemas.openxmlformats.org/officeDocument/2006/relationships/image" Target="media/image288.png"/><Relationship Id="rId296" Type="http://schemas.openxmlformats.org/officeDocument/2006/relationships/image" Target="media/image289.png"/><Relationship Id="rId297" Type="http://schemas.openxmlformats.org/officeDocument/2006/relationships/image" Target="media/image290.png"/><Relationship Id="rId298" Type="http://schemas.openxmlformats.org/officeDocument/2006/relationships/image" Target="media/image291.png"/><Relationship Id="rId299" Type="http://schemas.openxmlformats.org/officeDocument/2006/relationships/image" Target="media/image292.png"/><Relationship Id="rId300" Type="http://schemas.openxmlformats.org/officeDocument/2006/relationships/image" Target="media/image293.png"/><Relationship Id="rId301" Type="http://schemas.openxmlformats.org/officeDocument/2006/relationships/image" Target="media/image294.png"/><Relationship Id="rId302" Type="http://schemas.openxmlformats.org/officeDocument/2006/relationships/image" Target="media/image295.png"/><Relationship Id="rId303" Type="http://schemas.openxmlformats.org/officeDocument/2006/relationships/image" Target="media/image296.png"/><Relationship Id="rId304" Type="http://schemas.openxmlformats.org/officeDocument/2006/relationships/image" Target="media/image297.png"/><Relationship Id="rId305" Type="http://schemas.openxmlformats.org/officeDocument/2006/relationships/image" Target="media/image298.png"/><Relationship Id="rId306" Type="http://schemas.openxmlformats.org/officeDocument/2006/relationships/image" Target="media/image299.png"/><Relationship Id="rId307" Type="http://schemas.openxmlformats.org/officeDocument/2006/relationships/image" Target="media/image300.png"/><Relationship Id="rId308" Type="http://schemas.openxmlformats.org/officeDocument/2006/relationships/image" Target="media/image301.png"/><Relationship Id="rId309" Type="http://schemas.openxmlformats.org/officeDocument/2006/relationships/image" Target="media/image302.png"/><Relationship Id="rId310" Type="http://schemas.openxmlformats.org/officeDocument/2006/relationships/image" Target="media/image303.png"/><Relationship Id="rId311" Type="http://schemas.openxmlformats.org/officeDocument/2006/relationships/image" Target="media/image304.png"/><Relationship Id="rId312" Type="http://schemas.openxmlformats.org/officeDocument/2006/relationships/image" Target="media/image305.png"/><Relationship Id="rId313" Type="http://schemas.openxmlformats.org/officeDocument/2006/relationships/image" Target="media/image306.png"/><Relationship Id="rId314" Type="http://schemas.openxmlformats.org/officeDocument/2006/relationships/image" Target="media/image307.png"/><Relationship Id="rId315" Type="http://schemas.openxmlformats.org/officeDocument/2006/relationships/image" Target="media/image308.png"/><Relationship Id="rId316" Type="http://schemas.openxmlformats.org/officeDocument/2006/relationships/image" Target="media/image309.png"/><Relationship Id="rId317" Type="http://schemas.openxmlformats.org/officeDocument/2006/relationships/image" Target="media/image310.png"/><Relationship Id="rId318" Type="http://schemas.openxmlformats.org/officeDocument/2006/relationships/image" Target="media/image311.png"/><Relationship Id="rId319" Type="http://schemas.openxmlformats.org/officeDocument/2006/relationships/image" Target="media/image312.png"/><Relationship Id="rId320" Type="http://schemas.openxmlformats.org/officeDocument/2006/relationships/image" Target="media/image313.png"/><Relationship Id="rId321" Type="http://schemas.openxmlformats.org/officeDocument/2006/relationships/image" Target="media/image314.png"/><Relationship Id="rId322" Type="http://schemas.openxmlformats.org/officeDocument/2006/relationships/image" Target="media/image315.png"/><Relationship Id="rId323" Type="http://schemas.openxmlformats.org/officeDocument/2006/relationships/image" Target="media/image316.png"/><Relationship Id="rId324" Type="http://schemas.openxmlformats.org/officeDocument/2006/relationships/image" Target="media/image317.png"/><Relationship Id="rId325" Type="http://schemas.openxmlformats.org/officeDocument/2006/relationships/image" Target="media/image318.png"/><Relationship Id="rId326" Type="http://schemas.openxmlformats.org/officeDocument/2006/relationships/image" Target="media/image319.png"/><Relationship Id="rId327" Type="http://schemas.openxmlformats.org/officeDocument/2006/relationships/image" Target="media/image320.png"/><Relationship Id="rId328" Type="http://schemas.openxmlformats.org/officeDocument/2006/relationships/image" Target="media/image321.png"/><Relationship Id="rId329" Type="http://schemas.openxmlformats.org/officeDocument/2006/relationships/image" Target="media/image322.png"/><Relationship Id="rId330" Type="http://schemas.openxmlformats.org/officeDocument/2006/relationships/image" Target="media/image323.png"/><Relationship Id="rId331" Type="http://schemas.openxmlformats.org/officeDocument/2006/relationships/image" Target="media/image324.png"/><Relationship Id="rId332" Type="http://schemas.openxmlformats.org/officeDocument/2006/relationships/image" Target="media/image325.png"/><Relationship Id="rId333" Type="http://schemas.openxmlformats.org/officeDocument/2006/relationships/image" Target="media/image326.png"/><Relationship Id="rId334" Type="http://schemas.openxmlformats.org/officeDocument/2006/relationships/image" Target="media/image327.png"/><Relationship Id="rId335" Type="http://schemas.openxmlformats.org/officeDocument/2006/relationships/image" Target="media/image328.png"/><Relationship Id="rId336" Type="http://schemas.openxmlformats.org/officeDocument/2006/relationships/image" Target="media/image329.png"/><Relationship Id="rId337" Type="http://schemas.openxmlformats.org/officeDocument/2006/relationships/image" Target="media/image330.png"/><Relationship Id="rId338" Type="http://schemas.openxmlformats.org/officeDocument/2006/relationships/image" Target="media/image331.png"/><Relationship Id="rId339" Type="http://schemas.openxmlformats.org/officeDocument/2006/relationships/image" Target="media/image332.png"/><Relationship Id="rId340" Type="http://schemas.openxmlformats.org/officeDocument/2006/relationships/image" Target="media/image333.png"/><Relationship Id="rId341" Type="http://schemas.openxmlformats.org/officeDocument/2006/relationships/image" Target="media/image334.png"/><Relationship Id="rId342" Type="http://schemas.openxmlformats.org/officeDocument/2006/relationships/image" Target="media/image335.png"/><Relationship Id="rId343" Type="http://schemas.openxmlformats.org/officeDocument/2006/relationships/image" Target="media/image336.png"/><Relationship Id="rId344" Type="http://schemas.openxmlformats.org/officeDocument/2006/relationships/image" Target="media/image337.png"/><Relationship Id="rId345" Type="http://schemas.openxmlformats.org/officeDocument/2006/relationships/image" Target="media/image338.png"/><Relationship Id="rId346" Type="http://schemas.openxmlformats.org/officeDocument/2006/relationships/image" Target="media/image339.png"/><Relationship Id="rId347" Type="http://schemas.openxmlformats.org/officeDocument/2006/relationships/image" Target="media/image340.png"/><Relationship Id="rId348" Type="http://schemas.openxmlformats.org/officeDocument/2006/relationships/image" Target="media/image341.png"/><Relationship Id="rId349" Type="http://schemas.openxmlformats.org/officeDocument/2006/relationships/image" Target="media/image342.png"/><Relationship Id="rId350" Type="http://schemas.openxmlformats.org/officeDocument/2006/relationships/image" Target="media/image343.png"/><Relationship Id="rId351" Type="http://schemas.openxmlformats.org/officeDocument/2006/relationships/image" Target="media/image344.png"/><Relationship Id="rId352" Type="http://schemas.openxmlformats.org/officeDocument/2006/relationships/image" Target="media/image345.png"/><Relationship Id="rId353" Type="http://schemas.openxmlformats.org/officeDocument/2006/relationships/image" Target="media/image346.png"/><Relationship Id="rId354" Type="http://schemas.openxmlformats.org/officeDocument/2006/relationships/image" Target="media/image347.png"/><Relationship Id="rId355" Type="http://schemas.openxmlformats.org/officeDocument/2006/relationships/image" Target="media/image348.png"/><Relationship Id="rId356" Type="http://schemas.openxmlformats.org/officeDocument/2006/relationships/image" Target="media/image349.png"/><Relationship Id="rId357" Type="http://schemas.openxmlformats.org/officeDocument/2006/relationships/image" Target="media/image350.png"/><Relationship Id="rId358" Type="http://schemas.openxmlformats.org/officeDocument/2006/relationships/image" Target="media/image351.png"/><Relationship Id="rId359" Type="http://schemas.openxmlformats.org/officeDocument/2006/relationships/image" Target="media/image352.png"/><Relationship Id="rId360" Type="http://schemas.openxmlformats.org/officeDocument/2006/relationships/image" Target="media/image353.png"/><Relationship Id="rId361" Type="http://schemas.openxmlformats.org/officeDocument/2006/relationships/image" Target="media/image354.png"/><Relationship Id="rId362" Type="http://schemas.openxmlformats.org/officeDocument/2006/relationships/image" Target="media/image355.png"/><Relationship Id="rId363" Type="http://schemas.openxmlformats.org/officeDocument/2006/relationships/image" Target="media/image356.png"/><Relationship Id="rId364" Type="http://schemas.openxmlformats.org/officeDocument/2006/relationships/image" Target="media/image357.png"/><Relationship Id="rId365" Type="http://schemas.openxmlformats.org/officeDocument/2006/relationships/image" Target="media/image358.png"/><Relationship Id="rId366" Type="http://schemas.openxmlformats.org/officeDocument/2006/relationships/image" Target="media/image359.png"/><Relationship Id="rId367" Type="http://schemas.openxmlformats.org/officeDocument/2006/relationships/image" Target="media/image360.png"/><Relationship Id="rId368" Type="http://schemas.openxmlformats.org/officeDocument/2006/relationships/image" Target="media/image361.png"/><Relationship Id="rId369" Type="http://schemas.openxmlformats.org/officeDocument/2006/relationships/image" Target="media/image362.png"/><Relationship Id="rId370" Type="http://schemas.openxmlformats.org/officeDocument/2006/relationships/image" Target="media/image363.png"/><Relationship Id="rId371" Type="http://schemas.openxmlformats.org/officeDocument/2006/relationships/image" Target="media/image364.png"/><Relationship Id="rId372" Type="http://schemas.openxmlformats.org/officeDocument/2006/relationships/image" Target="media/image365.png"/><Relationship Id="rId373" Type="http://schemas.openxmlformats.org/officeDocument/2006/relationships/image" Target="media/image366.png"/><Relationship Id="rId374" Type="http://schemas.openxmlformats.org/officeDocument/2006/relationships/image" Target="media/image367.png"/><Relationship Id="rId375" Type="http://schemas.openxmlformats.org/officeDocument/2006/relationships/image" Target="media/image368.png"/><Relationship Id="rId376" Type="http://schemas.openxmlformats.org/officeDocument/2006/relationships/image" Target="media/image369.png"/><Relationship Id="rId377" Type="http://schemas.openxmlformats.org/officeDocument/2006/relationships/image" Target="media/image370.png"/><Relationship Id="rId378" Type="http://schemas.openxmlformats.org/officeDocument/2006/relationships/image" Target="media/image371.png"/><Relationship Id="rId379" Type="http://schemas.openxmlformats.org/officeDocument/2006/relationships/image" Target="media/image372.png"/><Relationship Id="rId380" Type="http://schemas.openxmlformats.org/officeDocument/2006/relationships/image" Target="media/image373.png"/><Relationship Id="rId381" Type="http://schemas.openxmlformats.org/officeDocument/2006/relationships/image" Target="media/image374.png"/><Relationship Id="rId382" Type="http://schemas.openxmlformats.org/officeDocument/2006/relationships/image" Target="media/image375.png"/><Relationship Id="rId383" Type="http://schemas.openxmlformats.org/officeDocument/2006/relationships/image" Target="media/image376.png"/><Relationship Id="rId384" Type="http://schemas.openxmlformats.org/officeDocument/2006/relationships/image" Target="media/image377.png"/><Relationship Id="rId385" Type="http://schemas.openxmlformats.org/officeDocument/2006/relationships/image" Target="media/image378.png"/><Relationship Id="rId386" Type="http://schemas.openxmlformats.org/officeDocument/2006/relationships/image" Target="media/image379.png"/><Relationship Id="rId387" Type="http://schemas.openxmlformats.org/officeDocument/2006/relationships/image" Target="media/image380.png"/><Relationship Id="rId388" Type="http://schemas.openxmlformats.org/officeDocument/2006/relationships/image" Target="media/image381.png"/><Relationship Id="rId389" Type="http://schemas.openxmlformats.org/officeDocument/2006/relationships/image" Target="media/image382.png"/><Relationship Id="rId390" Type="http://schemas.openxmlformats.org/officeDocument/2006/relationships/image" Target="media/image383.png"/><Relationship Id="rId391" Type="http://schemas.openxmlformats.org/officeDocument/2006/relationships/image" Target="media/image384.png"/><Relationship Id="rId392" Type="http://schemas.openxmlformats.org/officeDocument/2006/relationships/image" Target="media/image385.png"/><Relationship Id="rId393" Type="http://schemas.openxmlformats.org/officeDocument/2006/relationships/image" Target="media/image386.png"/><Relationship Id="rId394" Type="http://schemas.openxmlformats.org/officeDocument/2006/relationships/image" Target="media/image387.png"/><Relationship Id="rId395" Type="http://schemas.openxmlformats.org/officeDocument/2006/relationships/image" Target="media/image388.png"/><Relationship Id="rId399" Type="http://schemas.openxmlformats.org/officeDocument/2006/relationships/image" Target="media/image389.png"/><Relationship Id="rId400" Type="http://schemas.openxmlformats.org/officeDocument/2006/relationships/image" Target="media/image390.png"/><Relationship Id="rId401" Type="http://schemas.openxmlformats.org/officeDocument/2006/relationships/image" Target="media/image391.png"/><Relationship Id="rId402" Type="http://schemas.openxmlformats.org/officeDocument/2006/relationships/image" Target="media/image392.png"/><Relationship Id="rId403" Type="http://schemas.openxmlformats.org/officeDocument/2006/relationships/image" Target="media/image393.png"/><Relationship Id="rId404" Type="http://schemas.openxmlformats.org/officeDocument/2006/relationships/image" Target="media/image394.png"/><Relationship Id="rId405" Type="http://schemas.openxmlformats.org/officeDocument/2006/relationships/image" Target="media/image395.png"/><Relationship Id="rId406" Type="http://schemas.openxmlformats.org/officeDocument/2006/relationships/image" Target="media/image396.png"/><Relationship Id="rId407" Type="http://schemas.openxmlformats.org/officeDocument/2006/relationships/image" Target="media/image397.png"/><Relationship Id="rId408" Type="http://schemas.openxmlformats.org/officeDocument/2006/relationships/image" Target="media/image398.png"/><Relationship Id="rId409" Type="http://schemas.openxmlformats.org/officeDocument/2006/relationships/image" Target="media/image399.png"/><Relationship Id="rId410" Type="http://schemas.openxmlformats.org/officeDocument/2006/relationships/image" Target="media/image400.png"/><Relationship Id="rId411" Type="http://schemas.openxmlformats.org/officeDocument/2006/relationships/image" Target="media/image401.png"/><Relationship Id="rId412" Type="http://schemas.openxmlformats.org/officeDocument/2006/relationships/image" Target="media/image402.png"/><Relationship Id="rId413" Type="http://schemas.openxmlformats.org/officeDocument/2006/relationships/image" Target="media/image403.png"/><Relationship Id="rId396" Type="http://schemas.openxmlformats.org/officeDocument/2006/relationships/hyperlink" Target="https://www.sec.gov/Archives/edgar/data/56047/000114036115008395/ex3_1.htm" TargetMode="External"/><Relationship Id="rId397" Type="http://schemas.openxmlformats.org/officeDocument/2006/relationships/hyperlink" Target="https://www.sec.gov/Archives/edgar/data/56047/000114036115008395/ex3_2.htm" TargetMode="External"/><Relationship Id="rId398" Type="http://schemas.openxmlformats.org/officeDocument/2006/relationships/hyperlink" Target="https://www.sec.gov/Archives/edgar/data/56047/000114036120006365/ex3_1.htm" TargetMode="External"/></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2021-11-08T15:28:45Z</dcterms:created>
  <dcterms:modified xsi:type="dcterms:W3CDTF">2021-11-08T15:28:45Z</dcterms:modified>
</cp:coreProperties>
</file>