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spacing w:after="0"/>
        <w:rPr>
          <w:sz w:val="24"/>
          <w:szCs w:val="24"/>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 w:lineRule="exact"/>
        <w:rPr>
          <w:sz w:val="24"/>
          <w:szCs w:val="24"/>
          <w:color w:val="auto"/>
        </w:rPr>
      </w:pPr>
    </w:p>
    <w:p>
      <w:pPr>
        <w:spacing w:after="0"/>
        <w:rPr>
          <w:sz w:val="24"/>
          <w:szCs w:val="24"/>
          <w:color w:val="auto"/>
        </w:rPr>
      </w:pPr>
      <w:r>
        <w:rPr>
          <w:rFonts w:ascii="Arial" w:cs="Arial" w:eastAsia="Arial" w:hAnsi="Arial"/>
          <w:sz w:val="18"/>
          <w:szCs w:val="18"/>
          <w:color w:val="auto"/>
        </w:rPr>
        <w:t>Transition report pursuant to Section 13 or 15(d) of the Securities Exchange Act of 1934</w:t>
      </w:r>
    </w:p>
    <w:p>
      <w:pPr>
        <w:spacing w:after="0" w:line="23" w:lineRule="exact"/>
        <w:rPr>
          <w:sz w:val="24"/>
          <w:szCs w:val="24"/>
          <w:color w:val="auto"/>
        </w:rPr>
      </w:pPr>
    </w:p>
    <w:p>
      <w:pPr>
        <w:ind w:left="4340"/>
        <w:spacing w:after="0"/>
        <w:tabs>
          <w:tab w:leader="none" w:pos="67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72"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Commission File Number: 1-7615</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4"/>
          <w:szCs w:val="24"/>
          <w:color w:val="auto"/>
        </w:rPr>
      </w:pPr>
    </w:p>
    <w:tbl>
      <w:tblPr>
        <w:tblLayout w:type="fixed"/>
        <w:tblInd w:w="600" w:type="dxa"/>
        <w:tblCellMar>
          <w:top w:w="0" w:type="dxa"/>
          <w:left w:w="0" w:type="dxa"/>
          <w:bottom w:w="0" w:type="dxa"/>
          <w:right w:w="0" w:type="dxa"/>
        </w:tblCellMar>
      </w:tblPr>
      <w:tr>
        <w:trPr>
          <w:trHeight w:val="220"/>
        </w:trPr>
        <w:tc>
          <w:tcPr>
            <w:tcW w:w="54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Nevada</w:t>
            </w:r>
          </w:p>
        </w:tc>
        <w:tc>
          <w:tcPr>
            <w:tcW w:w="376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74-1884980</w:t>
            </w:r>
          </w:p>
        </w:tc>
      </w:tr>
      <w:tr>
        <w:trPr>
          <w:trHeight w:val="257"/>
        </w:trPr>
        <w:tc>
          <w:tcPr>
            <w:tcW w:w="54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333"/>
        </w:trPr>
        <w:tc>
          <w:tcPr>
            <w:tcW w:w="5440" w:type="dxa"/>
            <w:vAlign w:val="bottom"/>
          </w:tcPr>
          <w:p>
            <w:pPr>
              <w:jc w:val="center"/>
              <w:ind w:right="1010"/>
              <w:spacing w:after="0"/>
              <w:rPr>
                <w:sz w:val="20"/>
                <w:szCs w:val="20"/>
                <w:color w:val="auto"/>
              </w:rPr>
            </w:pPr>
            <w:r>
              <w:rPr>
                <w:rFonts w:ascii="Arial" w:cs="Arial" w:eastAsia="Arial" w:hAnsi="Arial"/>
                <w:sz w:val="18"/>
                <w:szCs w:val="18"/>
                <w:b w:val="1"/>
                <w:bCs w:val="1"/>
                <w:color w:val="auto"/>
                <w:w w:val="91"/>
              </w:rPr>
              <w:t>55 Waugh Drive, Suite 1000</w:t>
            </w:r>
          </w:p>
        </w:tc>
        <w:tc>
          <w:tcPr>
            <w:tcW w:w="3760" w:type="dxa"/>
            <w:vAlign w:val="bottom"/>
          </w:tcPr>
          <w:p>
            <w:pPr>
              <w:spacing w:after="0"/>
              <w:rPr>
                <w:sz w:val="24"/>
                <w:szCs w:val="24"/>
                <w:color w:val="auto"/>
              </w:rPr>
            </w:pPr>
          </w:p>
        </w:tc>
      </w:tr>
      <w:tr>
        <w:trPr>
          <w:trHeight w:val="234"/>
        </w:trPr>
        <w:tc>
          <w:tcPr>
            <w:tcW w:w="544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Houston, TX</w:t>
            </w:r>
          </w:p>
        </w:tc>
        <w:tc>
          <w:tcPr>
            <w:tcW w:w="3760" w:type="dxa"/>
            <w:vAlign w:val="bottom"/>
          </w:tcPr>
          <w:p>
            <w:pPr>
              <w:jc w:val="center"/>
              <w:ind w:left="1030"/>
              <w:spacing w:after="0"/>
              <w:rPr>
                <w:sz w:val="20"/>
                <w:szCs w:val="20"/>
                <w:color w:val="auto"/>
              </w:rPr>
            </w:pPr>
            <w:r>
              <w:rPr>
                <w:rFonts w:ascii="Arial" w:cs="Arial" w:eastAsia="Arial" w:hAnsi="Arial"/>
                <w:sz w:val="18"/>
                <w:szCs w:val="18"/>
                <w:b w:val="1"/>
                <w:bCs w:val="1"/>
                <w:color w:val="auto"/>
                <w:w w:val="87"/>
              </w:rPr>
              <w:t>77007</w:t>
            </w:r>
          </w:p>
        </w:tc>
      </w:tr>
      <w:tr>
        <w:trPr>
          <w:trHeight w:val="243"/>
        </w:trPr>
        <w:tc>
          <w:tcPr>
            <w:tcW w:w="544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8" w:lineRule="exact"/>
        <w:rPr>
          <w:sz w:val="24"/>
          <w:szCs w:val="24"/>
          <w:color w:val="auto"/>
        </w:rPr>
      </w:pPr>
    </w:p>
    <w:tbl>
      <w:tblPr>
        <w:tblLayout w:type="fixed"/>
        <w:tblInd w:w="10" w:type="dxa"/>
        <w:tblCellMar>
          <w:top w:w="0" w:type="dxa"/>
          <w:left w:w="0" w:type="dxa"/>
          <w:bottom w:w="0" w:type="dxa"/>
          <w:right w:w="0" w:type="dxa"/>
        </w:tblCellMar>
      </w:tblPr>
      <w:tr>
        <w:trPr>
          <w:trHeight w:val="273"/>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8"/>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KEX</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67"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184" w:lineRule="exact"/>
        <w:rPr>
          <w:sz w:val="24"/>
          <w:szCs w:val="24"/>
          <w:color w:val="auto"/>
        </w:rPr>
      </w:pPr>
    </w:p>
    <w:p>
      <w:pPr>
        <w:ind w:right="24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No</w:t>
      </w:r>
    </w:p>
    <w:p>
      <w:pPr>
        <w:spacing w:after="0" w:line="1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spacing w:after="0"/>
              <w:rPr>
                <w:sz w:val="20"/>
                <w:szCs w:val="20"/>
                <w:color w:val="auto"/>
              </w:rPr>
            </w:pPr>
          </w:p>
        </w:tc>
        <w:tc>
          <w:tcPr>
            <w:tcW w:w="498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620" w:type="dxa"/>
            <w:vAlign w:val="bottom"/>
          </w:tcPr>
          <w:p>
            <w:pPr>
              <w:spacing w:after="0"/>
              <w:rPr>
                <w:sz w:val="20"/>
                <w:szCs w:val="20"/>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spacing w:after="0"/>
              <w:rPr>
                <w:sz w:val="21"/>
                <w:szCs w:val="21"/>
                <w:color w:val="auto"/>
              </w:rPr>
            </w:pPr>
          </w:p>
        </w:tc>
        <w:tc>
          <w:tcPr>
            <w:tcW w:w="498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spacing w:after="0"/>
              <w:rPr>
                <w:sz w:val="21"/>
                <w:szCs w:val="21"/>
                <w:color w:val="auto"/>
              </w:rPr>
            </w:pPr>
          </w:p>
        </w:tc>
      </w:tr>
      <w:tr>
        <w:trPr>
          <w:trHeight w:val="243"/>
        </w:trPr>
        <w:tc>
          <w:tcPr>
            <w:tcW w:w="21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980" w:type="dxa"/>
            <w:vAlign w:val="bottom"/>
          </w:tcPr>
          <w:p>
            <w:pPr>
              <w:ind w:left="252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spacing w:after="0"/>
              <w:rPr>
                <w:sz w:val="21"/>
                <w:szCs w:val="21"/>
                <w:color w:val="auto"/>
              </w:rPr>
            </w:pPr>
          </w:p>
        </w:tc>
      </w:tr>
    </w:tbl>
    <w:p>
      <w:pPr>
        <w:spacing w:after="0" w:line="8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0" w:lineRule="exact"/>
        <w:rPr>
          <w:sz w:val="24"/>
          <w:szCs w:val="24"/>
          <w:color w:val="auto"/>
        </w:rPr>
      </w:pPr>
    </w:p>
    <w:p>
      <w:pPr>
        <w:spacing w:after="0"/>
        <w:tabs>
          <w:tab w:leader="none" w:pos="8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r>
      <w:r>
        <w:rPr>
          <w:sz w:val="20"/>
          <w:szCs w:val="20"/>
          <w:color w:val="auto"/>
        </w:rPr>
        <w:tab/>
      </w:r>
      <w:r>
        <w:rPr>
          <w:rFonts w:ascii="Arial" w:cs="Arial" w:eastAsia="Arial" w:hAnsi="Arial"/>
          <w:sz w:val="18"/>
          <w:szCs w:val="18"/>
          <w:color w:val="auto"/>
        </w:rPr>
        <w:t>No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August 4, 2023, 59.5 million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8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69"/>
        </w:trPr>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1680" w:type="dxa"/>
            <w:vAlign w:val="bottom"/>
            <w:gridSpan w:val="3"/>
          </w:tcPr>
          <w:p>
            <w:pPr>
              <w:jc w:val="right"/>
              <w:ind w:right="951"/>
              <w:spacing w:after="0"/>
              <w:rPr>
                <w:sz w:val="20"/>
                <w:szCs w:val="20"/>
                <w:color w:val="auto"/>
              </w:rPr>
            </w:pPr>
            <w:r>
              <w:rPr>
                <w:rFonts w:ascii="Arial" w:cs="Arial" w:eastAsia="Arial" w:hAnsi="Arial"/>
                <w:sz w:val="14"/>
                <w:szCs w:val="14"/>
                <w:b w:val="1"/>
                <w:bCs w:val="1"/>
                <w:color w:val="auto"/>
                <w:w w:val="82"/>
              </w:rPr>
              <w:t>thousands)</w:t>
            </w:r>
          </w:p>
        </w:tc>
        <w:tc>
          <w:tcPr>
            <w:tcW w:w="140" w:type="dxa"/>
            <w:vAlign w:val="bottom"/>
          </w:tcPr>
          <w:p>
            <w:pPr>
              <w:spacing w:after="0"/>
              <w:rPr>
                <w:sz w:val="14"/>
                <w:szCs w:val="14"/>
                <w:color w:val="auto"/>
              </w:rPr>
            </w:pPr>
          </w:p>
        </w:tc>
      </w:tr>
      <w:tr>
        <w:trPr>
          <w:trHeight w:val="243"/>
        </w:trPr>
        <w:tc>
          <w:tcPr>
            <w:tcW w:w="804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36,603</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80,577</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Trade – less allowance for doubtful accounts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519,741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483,406</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40,011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114,556</w:t>
            </w: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 net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504,514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461,848</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67,787</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71,372</w:t>
            </w:r>
          </w:p>
        </w:tc>
        <w:tc>
          <w:tcPr>
            <w:tcW w:w="140" w:type="dxa"/>
            <w:vAlign w:val="bottom"/>
          </w:tcPr>
          <w:p>
            <w:pPr>
              <w:spacing w:after="0"/>
              <w:rPr>
                <w:sz w:val="20"/>
                <w:szCs w:val="20"/>
                <w:color w:val="auto"/>
              </w:rPr>
            </w:pPr>
          </w:p>
        </w:tc>
      </w:tr>
      <w:tr>
        <w:trPr>
          <w:trHeight w:val="236"/>
        </w:trPr>
        <w:tc>
          <w:tcPr>
            <w:tcW w:w="80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1,168,656</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1,211,759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121"/>
        </w:trPr>
        <w:tc>
          <w:tcPr>
            <w:tcW w:w="8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4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5,580,411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5,452,143</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20"/>
                <w:szCs w:val="20"/>
                <w:color w:val="auto"/>
              </w:rPr>
            </w:pPr>
          </w:p>
        </w:tc>
        <w:tc>
          <w:tcPr>
            <w:tcW w:w="1420" w:type="dxa"/>
            <w:vAlign w:val="bottom"/>
            <w:gridSpan w:val="2"/>
          </w:tcPr>
          <w:p>
            <w:pPr>
              <w:jc w:val="right"/>
              <w:ind w:right="168"/>
              <w:spacing w:after="0"/>
              <w:rPr>
                <w:sz w:val="20"/>
                <w:szCs w:val="20"/>
                <w:color w:val="auto"/>
              </w:rPr>
            </w:pPr>
            <w:r>
              <w:rPr>
                <w:rFonts w:ascii="Arial" w:cs="Arial" w:eastAsia="Arial" w:hAnsi="Arial"/>
                <w:sz w:val="18"/>
                <w:szCs w:val="18"/>
                <w:color w:val="auto"/>
              </w:rPr>
              <w:t>(1,882,472 )</w:t>
            </w:r>
          </w:p>
        </w:tc>
        <w:tc>
          <w:tcPr>
            <w:tcW w:w="2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(1,818,681 )</w:t>
            </w:r>
          </w:p>
        </w:tc>
      </w:tr>
      <w:tr>
        <w:trPr>
          <w:trHeight w:val="236"/>
        </w:trPr>
        <w:tc>
          <w:tcPr>
            <w:tcW w:w="80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Property and equipment – net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3,697,939</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3,633,462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121"/>
        </w:trPr>
        <w:tc>
          <w:tcPr>
            <w:tcW w:w="8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4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152,504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154,507</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438,748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438,748</w:t>
            </w: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intangibles, net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51,463</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69,544</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64,985</w:t>
            </w:r>
          </w:p>
        </w:tc>
        <w:tc>
          <w:tcPr>
            <w:tcW w:w="140" w:type="dxa"/>
            <w:vAlign w:val="bottom"/>
          </w:tcPr>
          <w:p>
            <w:pPr>
              <w:spacing w:after="0"/>
              <w:rPr>
                <w:sz w:val="20"/>
                <w:szCs w:val="20"/>
                <w:color w:val="auto"/>
              </w:rPr>
            </w:pPr>
          </w:p>
        </w:tc>
      </w:tr>
      <w:tr>
        <w:trPr>
          <w:trHeight w:val="277"/>
        </w:trPr>
        <w:tc>
          <w:tcPr>
            <w:tcW w:w="80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5,574,579</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5,554,924</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108"/>
        </w:trPr>
        <w:tc>
          <w:tcPr>
            <w:tcW w:w="8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43"/>
        </w:trPr>
        <w:tc>
          <w:tcPr>
            <w:tcW w:w="8040" w:type="dxa"/>
            <w:vAlign w:val="bottom"/>
            <w:shd w:val="clear" w:color="auto" w:fill="CFF0FC"/>
          </w:tcPr>
          <w:p>
            <w:pPr>
              <w:ind w:left="198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Bank notes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0"/>
                <w:szCs w:val="20"/>
                <w:color w:val="auto"/>
              </w:rPr>
            </w:pP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279,519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278,081</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205,254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204,752</w:t>
            </w: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36,444</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130,943</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119,305</w:t>
            </w:r>
          </w:p>
        </w:tc>
        <w:tc>
          <w:tcPr>
            <w:tcW w:w="140" w:type="dxa"/>
            <w:vAlign w:val="bottom"/>
          </w:tcPr>
          <w:p>
            <w:pPr>
              <w:spacing w:after="0"/>
              <w:rPr>
                <w:sz w:val="20"/>
                <w:szCs w:val="20"/>
                <w:color w:val="auto"/>
              </w:rPr>
            </w:pPr>
          </w:p>
        </w:tc>
      </w:tr>
      <w:tr>
        <w:trPr>
          <w:trHeight w:val="237"/>
        </w:trPr>
        <w:tc>
          <w:tcPr>
            <w:tcW w:w="80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656,297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642,197</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121"/>
        </w:trPr>
        <w:tc>
          <w:tcPr>
            <w:tcW w:w="8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4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 – less current portion</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990,954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1,076,326</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656,528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625,884</w:t>
            </w: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 less current portion</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142,470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142,140</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15,521</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23,209</w:t>
            </w:r>
          </w:p>
        </w:tc>
        <w:tc>
          <w:tcPr>
            <w:tcW w:w="140" w:type="dxa"/>
            <w:vAlign w:val="bottom"/>
          </w:tcPr>
          <w:p>
            <w:pPr>
              <w:spacing w:after="0"/>
              <w:rPr>
                <w:sz w:val="20"/>
                <w:szCs w:val="20"/>
                <w:color w:val="auto"/>
              </w:rPr>
            </w:pPr>
          </w:p>
        </w:tc>
      </w:tr>
      <w:tr>
        <w:trPr>
          <w:trHeight w:val="237"/>
        </w:trPr>
        <w:tc>
          <w:tcPr>
            <w:tcW w:w="80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1,805,473</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1,867,559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121"/>
        </w:trPr>
        <w:tc>
          <w:tcPr>
            <w:tcW w:w="8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spacing w:after="0"/>
              <w:rPr>
                <w:sz w:val="10"/>
                <w:szCs w:val="10"/>
                <w:color w:val="auto"/>
              </w:rPr>
            </w:pPr>
          </w:p>
        </w:tc>
      </w:tr>
      <w:tr>
        <w:trPr>
          <w:trHeight w:val="24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Contingencies and commitments</w:t>
            </w:r>
          </w:p>
        </w:tc>
        <w:tc>
          <w:tcPr>
            <w:tcW w:w="2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122"/>
        </w:trPr>
        <w:tc>
          <w:tcPr>
            <w:tcW w:w="8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4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Kirby stockholders’ equity:</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5"/>
              </w:rPr>
              <w:t>Common stock, $0.10 par value per share. Authorized 120 million shares, issued 65.5 million shares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857,965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859,345</w:t>
            </w: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income – net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16,853</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2,566,795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2,468,730</w:t>
            </w:r>
          </w:p>
        </w:tc>
        <w:tc>
          <w:tcPr>
            <w:tcW w:w="140" w:type="dxa"/>
            <w:vAlign w:val="bottom"/>
          </w:tcPr>
          <w:p>
            <w:pPr>
              <w:spacing w:after="0"/>
              <w:rPr>
                <w:sz w:val="20"/>
                <w:szCs w:val="20"/>
                <w:color w:val="auto"/>
              </w:rPr>
            </w:pPr>
          </w:p>
        </w:tc>
      </w:tr>
      <w:tr>
        <w:trPr>
          <w:trHeight w:val="243"/>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7"/>
              </w:rPr>
              <w:t>Treasury stock – at cost, 5.9 million shares at June 30, 2023 and 5.6 million at December 31, 2022</w:t>
            </w:r>
          </w:p>
        </w:tc>
        <w:tc>
          <w:tcPr>
            <w:tcW w:w="2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(339,659 )</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(308,598 )</w:t>
            </w:r>
          </w:p>
        </w:tc>
      </w:tr>
      <w:tr>
        <w:trPr>
          <w:trHeight w:val="237"/>
        </w:trPr>
        <w:tc>
          <w:tcPr>
            <w:tcW w:w="80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Kirby stockholders’ equity</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3,110,644</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3,042,877</w:t>
            </w:r>
          </w:p>
        </w:tc>
        <w:tc>
          <w:tcPr>
            <w:tcW w:w="140" w:type="dxa"/>
            <w:vAlign w:val="bottom"/>
            <w:tcBorders>
              <w:top w:val="single" w:sz="8" w:color="CFF0FC"/>
            </w:tcBorders>
          </w:tcPr>
          <w:p>
            <w:pPr>
              <w:spacing w:after="0"/>
              <w:rPr>
                <w:sz w:val="20"/>
                <w:szCs w:val="20"/>
                <w:color w:val="auto"/>
              </w:rPr>
            </w:pPr>
          </w:p>
        </w:tc>
      </w:tr>
      <w:tr>
        <w:trPr>
          <w:trHeight w:val="243"/>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804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3,112,809</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3,045,168</w:t>
            </w:r>
          </w:p>
        </w:tc>
        <w:tc>
          <w:tcPr>
            <w:tcW w:w="140" w:type="dxa"/>
            <w:vAlign w:val="bottom"/>
          </w:tcPr>
          <w:p>
            <w:pPr>
              <w:spacing w:after="0"/>
              <w:rPr>
                <w:sz w:val="20"/>
                <w:szCs w:val="20"/>
                <w:color w:val="auto"/>
              </w:rPr>
            </w:pPr>
          </w:p>
        </w:tc>
      </w:tr>
      <w:tr>
        <w:trPr>
          <w:trHeight w:val="277"/>
        </w:trPr>
        <w:tc>
          <w:tcPr>
            <w:tcW w:w="80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5,574,579</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5,554,924</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-5854700</wp:posOffset>
            </wp:positionV>
            <wp:extent cx="85725"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-5854700</wp:posOffset>
            </wp:positionV>
            <wp:extent cx="85725" cy="85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-5297170</wp:posOffset>
            </wp:positionV>
            <wp:extent cx="85725"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-5297170</wp:posOffset>
            </wp:positionV>
            <wp:extent cx="85725"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-4431030</wp:posOffset>
            </wp:positionV>
            <wp:extent cx="1157605"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7605" cy="10287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-2931160</wp:posOffset>
            </wp:positionV>
            <wp:extent cx="8572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-2931160</wp:posOffset>
            </wp:positionV>
            <wp:extent cx="85725"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-2065655</wp:posOffset>
            </wp:positionV>
            <wp:extent cx="85725"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-2065655</wp:posOffset>
            </wp:positionV>
            <wp:extent cx="8572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-668020</wp:posOffset>
            </wp:positionV>
            <wp:extent cx="8572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-668020</wp:posOffset>
            </wp:positionV>
            <wp:extent cx="857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-351155</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-351155</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EARNINGS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8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7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1"/>
              </w:rPr>
              <w:t>($ in thousands, except per share amounts)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Marine transportation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426,962</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405,655</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839,457</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761,191</w:t>
            </w:r>
          </w:p>
        </w:tc>
        <w:tc>
          <w:tcPr>
            <w:tcW w:w="14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Distribution and services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350,286</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292,309</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688,235</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547,555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47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777,248</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697,964</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1,527,692</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1,308,746</w:t>
            </w:r>
          </w:p>
        </w:tc>
        <w:tc>
          <w:tcPr>
            <w:tcW w:w="140" w:type="dxa"/>
            <w:vAlign w:val="bottom"/>
          </w:tcPr>
          <w:p>
            <w:pPr>
              <w:spacing w:after="0"/>
              <w:rPr>
                <w:sz w:val="20"/>
                <w:szCs w:val="20"/>
                <w:color w:val="auto"/>
              </w:rPr>
            </w:pPr>
          </w:p>
        </w:tc>
      </w:tr>
      <w:tr>
        <w:trPr>
          <w:trHeight w:val="243"/>
        </w:trPr>
        <w:tc>
          <w:tcPr>
            <w:tcW w:w="4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Costs of sales and operating expenses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546,069</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523,862</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1,088,149</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974,480</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82,896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70,575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171,745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146,340</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Taxes, other than on income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9,758</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9,621</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18,944</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19,211</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51,697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50,115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102,806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100,079</w:t>
            </w:r>
          </w:p>
        </w:tc>
        <w:tc>
          <w:tcPr>
            <w:tcW w:w="140" w:type="dxa"/>
            <w:vAlign w:val="bottom"/>
          </w:tcPr>
          <w:p>
            <w:pPr>
              <w:spacing w:after="0"/>
              <w:rPr>
                <w:sz w:val="20"/>
                <w:szCs w:val="20"/>
                <w:color w:val="auto"/>
              </w:rPr>
            </w:pPr>
          </w:p>
        </w:tc>
      </w:tr>
      <w:tr>
        <w:trPr>
          <w:trHeight w:val="24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on disposition of assets</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(472 )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(2,745 )</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(2,702 )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(7,594 )</w:t>
            </w:r>
          </w:p>
        </w:tc>
      </w:tr>
      <w:tr>
        <w:trPr>
          <w:trHeight w:val="237"/>
        </w:trPr>
        <w:tc>
          <w:tcPr>
            <w:tcW w:w="47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689,948</w:t>
            </w: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651,428</w:t>
            </w: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1,378,942</w:t>
            </w: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1,232,516</w:t>
            </w:r>
          </w:p>
        </w:tc>
        <w:tc>
          <w:tcPr>
            <w:tcW w:w="140" w:type="dxa"/>
            <w:vAlign w:val="bottom"/>
            <w:tcBorders>
              <w:top w:val="single" w:sz="8" w:color="CFF0FC"/>
            </w:tcBorders>
          </w:tcPr>
          <w:p>
            <w:pPr>
              <w:spacing w:after="0"/>
              <w:rPr>
                <w:sz w:val="20"/>
                <w:szCs w:val="20"/>
                <w:color w:val="auto"/>
              </w:rPr>
            </w:pPr>
          </w:p>
        </w:tc>
      </w:tr>
      <w:tr>
        <w:trPr>
          <w:trHeight w:val="243"/>
        </w:trPr>
        <w:tc>
          <w:tcPr>
            <w:tcW w:w="4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87,300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46,536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148,750</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76,230</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7,707</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8,048</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(12,286 )</w:t>
            </w:r>
          </w:p>
        </w:tc>
        <w:tc>
          <w:tcPr>
            <w:tcW w:w="1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(10,640 )</w:t>
            </w:r>
          </w:p>
        </w:tc>
        <w:tc>
          <w:tcPr>
            <w:tcW w:w="3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(25,507 )</w:t>
            </w:r>
          </w:p>
        </w:tc>
        <w:tc>
          <w:tcPr>
            <w:tcW w:w="3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(20,843 )</w:t>
            </w:r>
          </w:p>
        </w:tc>
      </w:tr>
      <w:tr>
        <w:trPr>
          <w:trHeight w:val="243"/>
        </w:trPr>
        <w:tc>
          <w:tcPr>
            <w:tcW w:w="47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380"/>
              <w:spacing w:after="0"/>
              <w:rPr>
                <w:sz w:val="20"/>
                <w:szCs w:val="20"/>
                <w:color w:val="auto"/>
              </w:rPr>
            </w:pPr>
            <w:r>
              <w:rPr>
                <w:rFonts w:ascii="Arial" w:cs="Arial" w:eastAsia="Arial" w:hAnsi="Arial"/>
                <w:sz w:val="18"/>
                <w:szCs w:val="18"/>
                <w:color w:val="auto"/>
              </w:rPr>
              <w:t>Earnings before taxes on income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76,278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39,636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130,950</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63,435</w:t>
            </w:r>
          </w:p>
        </w:tc>
        <w:tc>
          <w:tcPr>
            <w:tcW w:w="140" w:type="dxa"/>
            <w:vAlign w:val="bottom"/>
          </w:tcPr>
          <w:p>
            <w:pPr>
              <w:spacing w:after="0"/>
              <w:rPr>
                <w:sz w:val="20"/>
                <w:szCs w:val="20"/>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taxes on income</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(18,960 )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(11,030 )</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(33,011 )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(17,243 )</w:t>
            </w:r>
          </w:p>
        </w:tc>
      </w:tr>
      <w:tr>
        <w:trPr>
          <w:trHeight w:val="243"/>
        </w:trPr>
        <w:tc>
          <w:tcPr>
            <w:tcW w:w="478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r>
      <w:tr>
        <w:trPr>
          <w:trHeight w:val="243"/>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57,318</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28,606</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97,939</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46,192</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Net (earnings) loss attributable to noncontrolling interests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(149 )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(301 )</w:t>
            </w:r>
          </w:p>
        </w:tc>
      </w:tr>
      <w:tr>
        <w:trPr>
          <w:trHeight w:val="243"/>
        </w:trPr>
        <w:tc>
          <w:tcPr>
            <w:tcW w:w="47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380"/>
              <w:spacing w:after="0"/>
              <w:rPr>
                <w:sz w:val="20"/>
                <w:szCs w:val="20"/>
                <w:color w:val="auto"/>
              </w:rPr>
            </w:pPr>
            <w:r>
              <w:rPr>
                <w:rFonts w:ascii="Arial" w:cs="Arial" w:eastAsia="Arial" w:hAnsi="Arial"/>
                <w:sz w:val="18"/>
                <w:szCs w:val="18"/>
                <w:color w:val="auto"/>
              </w:rPr>
              <w:t>Net earnings attributable to Kirby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57,367</w:t>
            </w:r>
          </w:p>
        </w:tc>
        <w:tc>
          <w:tcPr>
            <w:tcW w:w="3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28,457</w:t>
            </w:r>
          </w:p>
        </w:tc>
        <w:tc>
          <w:tcPr>
            <w:tcW w:w="3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98,065</w:t>
            </w:r>
          </w:p>
        </w:tc>
        <w:tc>
          <w:tcPr>
            <w:tcW w:w="3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45,891</w:t>
            </w:r>
          </w:p>
        </w:tc>
        <w:tc>
          <w:tcPr>
            <w:tcW w:w="14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8"/>
                <w:szCs w:val="18"/>
                <w:color w:val="auto"/>
              </w:rPr>
              <w:t>Net earnings per share attributable to Kirby common</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83"/>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4"/>
        </w:trPr>
        <w:tc>
          <w:tcPr>
            <w:tcW w:w="4780" w:type="dxa"/>
            <w:vAlign w:val="bottom"/>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4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-4131310</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-4131310</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-4131310</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-4131310</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-2879725</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-2879725</wp:posOffset>
            </wp:positionV>
            <wp:extent cx="857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-2879725</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-2879725</wp:posOffset>
            </wp:positionV>
            <wp:extent cx="857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-1619885</wp:posOffset>
            </wp:positionV>
            <wp:extent cx="8572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-1619885</wp:posOffset>
            </wp:positionV>
            <wp:extent cx="8572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-1619885</wp:posOffset>
            </wp:positionV>
            <wp:extent cx="8572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-1619885</wp:posOffset>
            </wp:positionV>
            <wp:extent cx="8572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-205105</wp:posOffset>
            </wp:positionV>
            <wp:extent cx="324929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49295" cy="20574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jc w:val="right"/>
              <w:ind w:right="82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27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7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57,318</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28,606</w:t>
            </w: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97,939</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46,192</w:t>
            </w:r>
          </w:p>
        </w:tc>
        <w:tc>
          <w:tcPr>
            <w:tcW w:w="140" w:type="dxa"/>
            <w:vAlign w:val="bottom"/>
            <w:shd w:val="clear" w:color="auto" w:fill="CFF0FC"/>
          </w:tcPr>
          <w:p>
            <w:pPr>
              <w:spacing w:after="0"/>
              <w:rPr>
                <w:sz w:val="20"/>
                <w:szCs w:val="20"/>
                <w:color w:val="auto"/>
              </w:rPr>
            </w:pPr>
          </w:p>
        </w:tc>
      </w:tr>
      <w:tr>
        <w:trPr>
          <w:trHeight w:val="243"/>
        </w:trPr>
        <w:tc>
          <w:tcPr>
            <w:tcW w:w="478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4,131</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4,144</w:t>
            </w:r>
          </w:p>
        </w:tc>
        <w:tc>
          <w:tcPr>
            <w:tcW w:w="140" w:type="dxa"/>
            <w:vAlign w:val="bottom"/>
          </w:tcPr>
          <w:p>
            <w:pPr>
              <w:spacing w:after="0"/>
              <w:rPr>
                <w:sz w:val="20"/>
                <w:szCs w:val="20"/>
                <w:color w:val="auto"/>
              </w:rPr>
            </w:pPr>
          </w:p>
        </w:tc>
      </w:tr>
      <w:tr>
        <w:trPr>
          <w:trHeight w:val="24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(611 )</w:t>
            </w: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(135 )</w:t>
            </w:r>
          </w:p>
        </w:tc>
      </w:tr>
      <w:tr>
        <w:trPr>
          <w:trHeight w:val="237"/>
        </w:trPr>
        <w:tc>
          <w:tcPr>
            <w:tcW w:w="47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other comprehensive income, net of taxes</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3,520</w:t>
            </w:r>
          </w:p>
        </w:tc>
        <w:tc>
          <w:tcPr>
            <w:tcW w:w="32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w:t>
            </w:r>
          </w:p>
        </w:tc>
        <w:tc>
          <w:tcPr>
            <w:tcW w:w="140" w:type="dxa"/>
            <w:vAlign w:val="bottom"/>
            <w:tcBorders>
              <w:top w:val="single" w:sz="8" w:color="CFF0FC"/>
            </w:tcBorders>
          </w:tcPr>
          <w:p>
            <w:pPr>
              <w:spacing w:after="0"/>
              <w:rPr>
                <w:sz w:val="20"/>
                <w:szCs w:val="20"/>
                <w:color w:val="auto"/>
              </w:rPr>
            </w:pPr>
          </w:p>
        </w:tc>
      </w:tr>
      <w:tr>
        <w:trPr>
          <w:trHeight w:val="243"/>
        </w:trPr>
        <w:tc>
          <w:tcPr>
            <w:tcW w:w="4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Total comprehensive income, net of taxes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59,297</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32,126</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100,082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50,201</w:t>
            </w:r>
          </w:p>
        </w:tc>
        <w:tc>
          <w:tcPr>
            <w:tcW w:w="140" w:type="dxa"/>
            <w:vAlign w:val="bottom"/>
          </w:tcPr>
          <w:p>
            <w:pPr>
              <w:spacing w:after="0"/>
              <w:rPr>
                <w:sz w:val="20"/>
                <w:szCs w:val="20"/>
                <w:color w:val="auto"/>
              </w:rPr>
            </w:pPr>
          </w:p>
        </w:tc>
      </w:tr>
      <w:tr>
        <w:trPr>
          <w:trHeight w:val="24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(earnings) loss attributable to noncontrolling interests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(149 )</w:t>
            </w: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(301 )</w:t>
            </w:r>
          </w:p>
        </w:tc>
      </w:tr>
      <w:tr>
        <w:trPr>
          <w:trHeight w:val="243"/>
        </w:trPr>
        <w:tc>
          <w:tcPr>
            <w:tcW w:w="478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r>
      <w:tr>
        <w:trPr>
          <w:trHeight w:val="277"/>
        </w:trPr>
        <w:tc>
          <w:tcPr>
            <w:tcW w:w="4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Comprehensive income attributable to Kirby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59,346</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31,977</w:t>
            </w:r>
          </w:p>
        </w:tc>
        <w:tc>
          <w:tcPr>
            <w:tcW w:w="3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100,208</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19"/>
        </w:trPr>
        <w:tc>
          <w:tcPr>
            <w:tcW w:w="8100" w:type="dxa"/>
            <w:vAlign w:val="bottom"/>
            <w:gridSpan w:val="7"/>
          </w:tcPr>
          <w:p>
            <w:pPr>
              <w:ind w:left="3480"/>
              <w:spacing w:after="0"/>
              <w:rPr>
                <w:sz w:val="20"/>
                <w:szCs w:val="20"/>
                <w:color w:val="auto"/>
              </w:rPr>
            </w:pPr>
            <w:r>
              <w:rPr>
                <w:rFonts w:ascii="Arial" w:cs="Arial" w:eastAsia="Arial" w:hAnsi="Arial"/>
                <w:sz w:val="18"/>
                <w:szCs w:val="18"/>
                <w:color w:val="auto"/>
                <w:w w:val="94"/>
              </w:rPr>
              <w:t>See accompanying notes to condensed financial statements.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-2237105</wp:posOffset>
            </wp:positionV>
            <wp:extent cx="8572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-2237105</wp:posOffset>
            </wp:positionV>
            <wp:extent cx="8572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-2237105</wp:posOffset>
            </wp:positionV>
            <wp:extent cx="85725"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-2237105</wp:posOffset>
            </wp:positionV>
            <wp:extent cx="85725"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-1610995</wp:posOffset>
            </wp:positionV>
            <wp:extent cx="8572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-1610995</wp:posOffset>
            </wp:positionV>
            <wp:extent cx="8572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-1610995</wp:posOffset>
            </wp:positionV>
            <wp:extent cx="8572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-1610995</wp:posOffset>
            </wp:positionV>
            <wp:extent cx="8572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-976630</wp:posOffset>
            </wp:positionV>
            <wp:extent cx="8572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-976630</wp:posOffset>
            </wp:positionV>
            <wp:extent cx="8572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-976630</wp:posOffset>
            </wp:positionV>
            <wp:extent cx="8572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-659765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-642620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-659765</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-642620</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-659765</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-642620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-659765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-642620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jc w:val="right"/>
              <w:ind w:right="73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80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8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5"/>
              </w:rPr>
              <w:t>thousands)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97,939</w:t>
            </w:r>
          </w:p>
        </w:tc>
        <w:tc>
          <w:tcPr>
            <w:tcW w:w="3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46,192</w:t>
            </w: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earnings to net cash provided by operations: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102,806</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100,079</w:t>
            </w: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for deferred income taxes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30,238</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15,335</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8"/>
                <w:szCs w:val="18"/>
                <w:color w:val="auto"/>
              </w:rPr>
              <w:t>Amortization of share-based compensation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8,912</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8,555</w:t>
            </w: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major maintenance costs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14,043</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14,405</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0"/>
                <w:szCs w:val="20"/>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(3,111 )</w:t>
            </w:r>
          </w:p>
        </w:tc>
        <w:tc>
          <w:tcPr>
            <w:tcW w:w="4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(6,412 )</w:t>
            </w:r>
          </w:p>
        </w:tc>
      </w:tr>
      <w:tr>
        <w:trPr>
          <w:trHeight w:val="243"/>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Decrease in cash flows resulting from changes in operating assets and liabilities, net</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(22,878 )</w:t>
            </w:r>
          </w:p>
        </w:tc>
        <w:tc>
          <w:tcPr>
            <w:tcW w:w="4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(82,510 )</w:t>
            </w:r>
          </w:p>
        </w:tc>
      </w:tr>
      <w:tr>
        <w:trPr>
          <w:trHeight w:val="237"/>
        </w:trPr>
        <w:tc>
          <w:tcPr>
            <w:tcW w:w="80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227,949</w:t>
            </w:r>
          </w:p>
        </w:tc>
        <w:tc>
          <w:tcPr>
            <w:tcW w:w="3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95,644</w:t>
            </w:r>
          </w:p>
        </w:tc>
        <w:tc>
          <w:tcPr>
            <w:tcW w:w="140" w:type="dxa"/>
            <w:vAlign w:val="bottom"/>
            <w:tcBorders>
              <w:top w:val="single" w:sz="8" w:color="CFF0FC"/>
            </w:tcBorders>
          </w:tcPr>
          <w:p>
            <w:pPr>
              <w:spacing w:after="0"/>
              <w:rPr>
                <w:sz w:val="20"/>
                <w:szCs w:val="20"/>
                <w:color w:val="auto"/>
              </w:rPr>
            </w:pPr>
          </w:p>
        </w:tc>
      </w:tr>
      <w:tr>
        <w:trPr>
          <w:trHeight w:val="243"/>
        </w:trPr>
        <w:tc>
          <w:tcPr>
            <w:tcW w:w="8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(171,245 )</w:t>
            </w:r>
          </w:p>
        </w:tc>
        <w:tc>
          <w:tcPr>
            <w:tcW w:w="4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(79,059 )</w:t>
            </w: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Acquisitions of businesses</w:t>
            </w:r>
          </w:p>
        </w:tc>
        <w:tc>
          <w:tcPr>
            <w:tcW w:w="320" w:type="dxa"/>
            <w:vAlign w:val="bottom"/>
          </w:tcPr>
          <w:p>
            <w:pPr>
              <w:spacing w:after="0"/>
              <w:rPr>
                <w:sz w:val="20"/>
                <w:szCs w:val="20"/>
                <w:color w:val="auto"/>
              </w:rPr>
            </w:pPr>
          </w:p>
        </w:tc>
        <w:tc>
          <w:tcPr>
            <w:tcW w:w="13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(3,900 )</w:t>
            </w:r>
          </w:p>
        </w:tc>
      </w:tr>
      <w:tr>
        <w:trPr>
          <w:trHeight w:val="243"/>
        </w:trPr>
        <w:tc>
          <w:tcPr>
            <w:tcW w:w="8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disposition of assets</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20,529</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0"/>
                <w:szCs w:val="20"/>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 xml:space="preserve">(150,716 </w:t>
            </w:r>
            <w:r>
              <w:rPr>
                <w:rFonts w:ascii="Arial" w:cs="Arial" w:eastAsia="Arial" w:hAnsi="Arial"/>
                <w:sz w:val="18"/>
                <w:szCs w:val="18"/>
                <w:color w:val="auto"/>
                <w:highlight w:val="white"/>
              </w:rPr>
              <w:t>)</w:t>
            </w:r>
          </w:p>
        </w:tc>
        <w:tc>
          <w:tcPr>
            <w:tcW w:w="4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(59,648 )</w:t>
            </w:r>
          </w:p>
        </w:tc>
      </w:tr>
      <w:tr>
        <w:trPr>
          <w:trHeight w:val="243"/>
        </w:trPr>
        <w:tc>
          <w:tcPr>
            <w:tcW w:w="804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 on bank credit facilities, net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31,155</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Borrowings on long-term debt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240,000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long-term debt</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(350,000 )</w:t>
            </w:r>
          </w:p>
        </w:tc>
        <w:tc>
          <w:tcPr>
            <w:tcW w:w="4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(30,000 )</w:t>
            </w: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Payment of debt issuance costs</w:t>
            </w:r>
          </w:p>
        </w:tc>
        <w:tc>
          <w:tcPr>
            <w:tcW w:w="320" w:type="dxa"/>
            <w:vAlign w:val="bottom"/>
          </w:tcPr>
          <w:p>
            <w:pPr>
              <w:spacing w:after="0"/>
              <w:rPr>
                <w:sz w:val="20"/>
                <w:szCs w:val="20"/>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(1,236 )</w:t>
            </w:r>
          </w:p>
        </w:tc>
        <w:tc>
          <w:tcPr>
            <w:tcW w:w="44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Payments related to tax withholding for share-based compensation</w:t>
            </w:r>
          </w:p>
        </w:tc>
        <w:tc>
          <w:tcPr>
            <w:tcW w:w="320" w:type="dxa"/>
            <w:vAlign w:val="bottom"/>
          </w:tcPr>
          <w:p>
            <w:pPr>
              <w:spacing w:after="0"/>
              <w:rPr>
                <w:sz w:val="20"/>
                <w:szCs w:val="20"/>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(3,595 )</w:t>
            </w:r>
          </w:p>
        </w:tc>
        <w:tc>
          <w:tcPr>
            <w:tcW w:w="4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(3,192 )</w:t>
            </w: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stock purchases</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(37,600 )</w:t>
            </w:r>
          </w:p>
        </w:tc>
        <w:tc>
          <w:tcPr>
            <w:tcW w:w="4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(18,085 )</w:t>
            </w: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Return of investment to noncontrolling interest and other</w:t>
            </w:r>
          </w:p>
        </w:tc>
        <w:tc>
          <w:tcPr>
            <w:tcW w:w="320" w:type="dxa"/>
            <w:vAlign w:val="bottom"/>
          </w:tcPr>
          <w:p>
            <w:pPr>
              <w:spacing w:after="0"/>
              <w:rPr>
                <w:sz w:val="20"/>
                <w:szCs w:val="20"/>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(49 )</w:t>
            </w:r>
          </w:p>
        </w:tc>
        <w:tc>
          <w:tcPr>
            <w:tcW w:w="4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(585 )</w:t>
            </w:r>
          </w:p>
        </w:tc>
      </w:tr>
      <w:tr>
        <w:trPr>
          <w:trHeight w:val="237"/>
        </w:trPr>
        <w:tc>
          <w:tcPr>
            <w:tcW w:w="80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(121,207</w:t>
            </w:r>
          </w:p>
        </w:tc>
        <w:tc>
          <w:tcPr>
            <w:tcW w:w="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(45,705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8040" w:type="dxa"/>
            <w:vAlign w:val="bottom"/>
          </w:tcPr>
          <w:p>
            <w:pPr>
              <w:ind w:left="380"/>
              <w:spacing w:after="0"/>
              <w:rPr>
                <w:sz w:val="20"/>
                <w:szCs w:val="20"/>
                <w:color w:val="auto"/>
              </w:rPr>
            </w:pPr>
            <w:r>
              <w:rPr>
                <w:rFonts w:ascii="Arial" w:cs="Arial" w:eastAsia="Arial" w:hAnsi="Arial"/>
                <w:sz w:val="18"/>
                <w:szCs w:val="18"/>
                <w:color w:val="auto"/>
              </w:rPr>
              <w:t>Decrease in cash and cash equivalents</w:t>
            </w:r>
          </w:p>
        </w:tc>
        <w:tc>
          <w:tcPr>
            <w:tcW w:w="320" w:type="dxa"/>
            <w:vAlign w:val="bottom"/>
          </w:tcPr>
          <w:p>
            <w:pPr>
              <w:spacing w:after="0"/>
              <w:rPr>
                <w:sz w:val="20"/>
                <w:szCs w:val="20"/>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 xml:space="preserve">(43,974 </w:t>
            </w:r>
            <w:r>
              <w:rPr>
                <w:rFonts w:ascii="Arial" w:cs="Arial" w:eastAsia="Arial" w:hAnsi="Arial"/>
                <w:sz w:val="18"/>
                <w:szCs w:val="18"/>
                <w:color w:val="auto"/>
                <w:highlight w:val="white"/>
              </w:rPr>
              <w:t>)</w:t>
            </w:r>
          </w:p>
        </w:tc>
        <w:tc>
          <w:tcPr>
            <w:tcW w:w="4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(9,709 )</w:t>
            </w:r>
          </w:p>
        </w:tc>
      </w:tr>
      <w:tr>
        <w:trPr>
          <w:trHeight w:val="249"/>
        </w:trPr>
        <w:tc>
          <w:tcPr>
            <w:tcW w:w="8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80,577</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34,813</w:t>
            </w:r>
          </w:p>
        </w:tc>
        <w:tc>
          <w:tcPr>
            <w:tcW w:w="140" w:type="dxa"/>
            <w:vAlign w:val="bottom"/>
          </w:tcPr>
          <w:p>
            <w:pPr>
              <w:spacing w:after="0"/>
              <w:rPr>
                <w:sz w:val="20"/>
                <w:szCs w:val="20"/>
                <w:color w:val="auto"/>
              </w:rPr>
            </w:pPr>
          </w:p>
        </w:tc>
      </w:tr>
      <w:tr>
        <w:trPr>
          <w:trHeight w:val="276"/>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36,603</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25,104</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30"/>
        </w:trPr>
        <w:tc>
          <w:tcPr>
            <w:tcW w:w="8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Cash paid (received) during the period: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paid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24,553</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20,161</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8"/>
                <w:szCs w:val="18"/>
                <w:color w:val="auto"/>
              </w:rPr>
              <w:t>Income taxes paid (refunded),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(67,921 )</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cash outflow from operating leases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22,769</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22,287</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Non-cash investing activity: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Capital expenditures included in 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(5,064 )</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(3,655 )</w:t>
            </w:r>
          </w:p>
        </w:tc>
      </w:tr>
      <w:tr>
        <w:trPr>
          <w:trHeight w:val="230"/>
        </w:trPr>
        <w:tc>
          <w:tcPr>
            <w:tcW w:w="8040" w:type="dxa"/>
            <w:vAlign w:val="bottom"/>
          </w:tcPr>
          <w:p>
            <w:pPr>
              <w:ind w:left="380"/>
              <w:spacing w:after="0"/>
              <w:rPr>
                <w:sz w:val="20"/>
                <w:szCs w:val="20"/>
                <w:color w:val="auto"/>
              </w:rPr>
            </w:pPr>
            <w:r>
              <w:rPr>
                <w:rFonts w:ascii="Arial" w:cs="Arial" w:eastAsia="Arial" w:hAnsi="Arial"/>
                <w:sz w:val="18"/>
                <w:szCs w:val="18"/>
                <w:color w:val="auto"/>
              </w:rPr>
              <w:t>Right-of-use assets obtained in exchange for lease obligations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20,838</w:t>
            </w:r>
          </w:p>
        </w:tc>
        <w:tc>
          <w:tcPr>
            <w:tcW w:w="3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10,290</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-4860290</wp:posOffset>
            </wp:positionV>
            <wp:extent cx="8572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-4860290</wp:posOffset>
            </wp:positionV>
            <wp:extent cx="8572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-3917315</wp:posOffset>
            </wp:positionV>
            <wp:extent cx="8572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-2040255</wp:posOffset>
            </wp:positionV>
            <wp:extent cx="85725"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-1405890</wp:posOffset>
            </wp:positionV>
            <wp:extent cx="115760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57605" cy="18034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1440" w:type="dxa"/>
            <w:vAlign w:val="bottom"/>
            <w:gridSpan w:val="4"/>
            <w:vMerge w:val="restart"/>
          </w:tcPr>
          <w:p>
            <w:pPr>
              <w:jc w:val="right"/>
              <w:ind w:right="15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Paid-in-</w:t>
            </w: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940" w:type="dxa"/>
            <w:vAlign w:val="bottom"/>
            <w:gridSpan w:val="5"/>
            <w:vMerge w:val="continue"/>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6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 Net</w:t>
            </w: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76"/>
              </w:rPr>
              <w:t>(in thousands)</w:t>
            </w:r>
          </w:p>
        </w:tc>
        <w:tc>
          <w:tcPr>
            <w:tcW w:w="2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31,</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2,509,4</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(306,74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3,085,14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856,680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(5,504 )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Arial" w:cs="Arial" w:eastAsia="Arial" w:hAnsi="Arial"/>
                <w:sz w:val="18"/>
                <w:szCs w:val="18"/>
                <w:color w:val="auto"/>
              </w:rPr>
              <w:t>Issuance of stock for</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equity awards, net of</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0"/>
              <w:spacing w:after="0"/>
              <w:rPr>
                <w:sz w:val="20"/>
                <w:szCs w:val="20"/>
                <w:color w:val="auto"/>
              </w:rPr>
            </w:pPr>
            <w:r>
              <w:rPr>
                <w:rFonts w:ascii="Arial" w:cs="Arial" w:eastAsia="Arial" w:hAnsi="Arial"/>
                <w:sz w:val="18"/>
                <w:szCs w:val="18"/>
                <w:color w:val="auto"/>
              </w:rPr>
              <w:t>forfeitures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(1,819 )</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withholdings on</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award vesting</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Arial" w:cs="Arial" w:eastAsia="Arial" w:hAnsi="Arial"/>
                <w:sz w:val="18"/>
                <w:szCs w:val="18"/>
                <w:color w:val="auto"/>
              </w:rPr>
              <w:t>Amortization of</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w w:val="93"/>
              </w:rPr>
              <w:t>unearned share-based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stock</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(475 )</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4"/>
              </w:rPr>
              <w:t>(34,416 )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(34,416 )</w:t>
            </w: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Arial" w:cs="Arial" w:eastAsia="Arial" w:hAnsi="Arial"/>
                <w:sz w:val="18"/>
                <w:szCs w:val="18"/>
                <w:color w:val="auto"/>
              </w:rPr>
              <w:t>Excise taxes on</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(276 )</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22"/>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comprehensive</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net of taxes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57,367</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(49 )</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59,297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20"/>
              <w:spacing w:after="0"/>
              <w:rPr>
                <w:sz w:val="20"/>
                <w:szCs w:val="20"/>
                <w:color w:val="auto"/>
              </w:rPr>
            </w:pPr>
            <w:r>
              <w:rPr>
                <w:rFonts w:ascii="Arial" w:cs="Arial" w:eastAsia="Arial" w:hAnsi="Arial"/>
                <w:sz w:val="18"/>
                <w:szCs w:val="18"/>
                <w:color w:val="auto"/>
                <w:w w:val="92"/>
              </w:rPr>
              <w:t>Balance at June 30, 2023</w:t>
            </w: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2,566,7</w:t>
            </w: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(339,65</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3,112,80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65,472</w:t>
            </w:r>
          </w:p>
        </w:tc>
        <w:tc>
          <w:tcPr>
            <w:tcW w:w="2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857,965</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18,996</w:t>
            </w:r>
          </w:p>
        </w:tc>
        <w:tc>
          <w:tcPr>
            <w:tcW w:w="2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(5,946 )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1440" w:type="dxa"/>
            <w:vAlign w:val="bottom"/>
            <w:gridSpan w:val="4"/>
            <w:vMerge w:val="restart"/>
          </w:tcPr>
          <w:p>
            <w:pPr>
              <w:jc w:val="right"/>
              <w:ind w:right="15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Paid-in-</w:t>
            </w: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940" w:type="dxa"/>
            <w:vAlign w:val="bottom"/>
            <w:gridSpan w:val="5"/>
            <w:vMerge w:val="continue"/>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6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 Net</w:t>
            </w: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76"/>
              </w:rPr>
              <w:t>(in thousands)</w:t>
            </w:r>
          </w:p>
        </w:tc>
        <w:tc>
          <w:tcPr>
            <w:tcW w:w="2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2,363,8</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(289,09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2,911,86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
              <w:spacing w:after="0"/>
              <w:rPr>
                <w:sz w:val="20"/>
                <w:szCs w:val="20"/>
                <w:color w:val="auto"/>
              </w:rPr>
            </w:pPr>
            <w:r>
              <w:rPr>
                <w:rFonts w:ascii="Arial" w:cs="Arial" w:eastAsia="Arial" w:hAnsi="Arial"/>
                <w:sz w:val="18"/>
                <w:szCs w:val="18"/>
                <w:color w:val="auto"/>
              </w:rPr>
              <w:t>2022</w:t>
            </w:r>
          </w:p>
        </w:tc>
        <w:tc>
          <w:tcPr>
            <w:tcW w:w="660" w:type="dxa"/>
            <w:vAlign w:val="bottom"/>
          </w:tcPr>
          <w:p>
            <w:pPr>
              <w:jc w:val="right"/>
              <w:spacing w:after="0"/>
              <w:rPr>
                <w:sz w:val="20"/>
                <w:szCs w:val="20"/>
                <w:color w:val="auto"/>
              </w:rPr>
            </w:pPr>
            <w:r>
              <w:rPr>
                <w:rFonts w:ascii="Arial" w:cs="Arial" w:eastAsia="Arial" w:hAnsi="Arial"/>
                <w:sz w:val="18"/>
                <w:szCs w:val="18"/>
                <w:color w:val="auto"/>
              </w:rPr>
              <w:t>65,472</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853,610</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(25,477 )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(5,243 )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2,410</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Stock option exercises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Arial" w:cs="Arial" w:eastAsia="Arial" w:hAnsi="Arial"/>
                <w:sz w:val="18"/>
                <w:szCs w:val="18"/>
                <w:color w:val="auto"/>
              </w:rPr>
              <w:t>Issuance of stock for</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equity awards, net of</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0"/>
              <w:spacing w:after="0"/>
              <w:rPr>
                <w:sz w:val="20"/>
                <w:szCs w:val="20"/>
                <w:color w:val="auto"/>
              </w:rPr>
            </w:pPr>
            <w:r>
              <w:rPr>
                <w:rFonts w:ascii="Arial" w:cs="Arial" w:eastAsia="Arial" w:hAnsi="Arial"/>
                <w:sz w:val="18"/>
                <w:szCs w:val="18"/>
                <w:color w:val="auto"/>
              </w:rPr>
              <w:t>forfeitures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(1,672 )</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withholdings on</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award vesting</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Arial" w:cs="Arial" w:eastAsia="Arial" w:hAnsi="Arial"/>
                <w:sz w:val="18"/>
                <w:szCs w:val="18"/>
                <w:color w:val="auto"/>
              </w:rPr>
              <w:t>Amortization of</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w w:val="93"/>
              </w:rPr>
              <w:t>unearned share-based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stock</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(310 )</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4"/>
              </w:rPr>
              <w:t>(18,085 )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(18,085 )</w:t>
            </w: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Arial" w:cs="Arial" w:eastAsia="Arial" w:hAnsi="Arial"/>
                <w:sz w:val="18"/>
                <w:szCs w:val="18"/>
                <w:color w:val="auto"/>
              </w:rPr>
              <w:t>Total comprehensive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0"/>
              <w:spacing w:after="0"/>
              <w:rPr>
                <w:sz w:val="20"/>
                <w:szCs w:val="20"/>
                <w:color w:val="auto"/>
              </w:rPr>
            </w:pPr>
            <w:r>
              <w:rPr>
                <w:rFonts w:ascii="Arial" w:cs="Arial" w:eastAsia="Arial" w:hAnsi="Arial"/>
                <w:sz w:val="18"/>
                <w:szCs w:val="18"/>
                <w:color w:val="auto"/>
              </w:rPr>
              <w:t>income, net of taxes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28,457</w:t>
            </w:r>
          </w:p>
        </w:tc>
        <w:tc>
          <w:tcPr>
            <w:tcW w:w="26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32,126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Return of investment</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 noncontrolling</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(202 )</w:t>
            </w:r>
          </w:p>
        </w:tc>
        <w:tc>
          <w:tcPr>
            <w:tcW w:w="160" w:type="dxa"/>
            <w:vAlign w:val="bottom"/>
            <w:shd w:val="clear" w:color="auto" w:fill="CFF0FC"/>
          </w:tcPr>
          <w:p>
            <w:pPr>
              <w:spacing w:after="0"/>
              <w:rPr>
                <w:sz w:val="18"/>
                <w:szCs w:val="18"/>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interests</w:t>
            </w:r>
          </w:p>
        </w:tc>
        <w:tc>
          <w:tcPr>
            <w:tcW w:w="6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2"/>
              </w:rPr>
              <w:t>Balance at June 30, 2022</w:t>
            </w: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2,392,3</w:t>
            </w:r>
          </w:p>
        </w:tc>
        <w:tc>
          <w:tcPr>
            <w:tcW w:w="26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(304,31</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2,929,74</w:t>
            </w: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65,472</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854,781</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(21,957 )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(5,501 )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-325120</wp:posOffset>
            </wp:positionV>
            <wp:extent cx="76835"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-325120</wp:posOffset>
            </wp:positionV>
            <wp:extent cx="85725" cy="3257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-325120</wp:posOffset>
            </wp:positionV>
            <wp:extent cx="76835"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-325120</wp:posOffset>
            </wp:positionV>
            <wp:extent cx="85725" cy="3257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-325120</wp:posOffset>
            </wp:positionV>
            <wp:extent cx="76835" cy="3257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-325120</wp:posOffset>
            </wp:positionV>
            <wp:extent cx="76835" cy="325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-325120</wp:posOffset>
            </wp:positionV>
            <wp:extent cx="85725" cy="3257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-325120</wp:posOffset>
            </wp:positionV>
            <wp:extent cx="85725" cy="3257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-325120</wp:posOffset>
            </wp:positionV>
            <wp:extent cx="85725" cy="3257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3257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1440" w:type="dxa"/>
            <w:vAlign w:val="bottom"/>
            <w:gridSpan w:val="4"/>
            <w:vMerge w:val="restart"/>
          </w:tcPr>
          <w:p>
            <w:pPr>
              <w:jc w:val="right"/>
              <w:ind w:right="15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Paid-in-</w:t>
            </w: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940" w:type="dxa"/>
            <w:vAlign w:val="bottom"/>
            <w:gridSpan w:val="5"/>
            <w:vMerge w:val="continue"/>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6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 Net</w:t>
            </w: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76"/>
              </w:rPr>
              <w:t>(in thousands)</w:t>
            </w:r>
          </w:p>
        </w:tc>
        <w:tc>
          <w:tcPr>
            <w:tcW w:w="2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Balance at December 31,</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2,468,7</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(308,59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3,045,16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859,345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(5,565 )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0"/>
              <w:spacing w:after="0"/>
              <w:rPr>
                <w:sz w:val="20"/>
                <w:szCs w:val="20"/>
                <w:color w:val="auto"/>
              </w:rPr>
            </w:pPr>
            <w:r>
              <w:rPr>
                <w:rFonts w:ascii="Arial" w:cs="Arial" w:eastAsia="Arial" w:hAnsi="Arial"/>
                <w:sz w:val="18"/>
                <w:szCs w:val="18"/>
                <w:color w:val="auto"/>
                <w:w w:val="94"/>
              </w:rPr>
              <w:t>Stock option exercises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(217 )</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stock for</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awards, net of</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forfeitures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(10,075 )</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Arial" w:cs="Arial" w:eastAsia="Arial" w:hAnsi="Arial"/>
                <w:sz w:val="18"/>
                <w:szCs w:val="18"/>
                <w:color w:val="auto"/>
              </w:rPr>
              <w:t>Tax withholdings on</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0"/>
              <w:spacing w:after="0"/>
              <w:rPr>
                <w:sz w:val="20"/>
                <w:szCs w:val="20"/>
                <w:color w:val="auto"/>
              </w:rPr>
            </w:pPr>
            <w:r>
              <w:rPr>
                <w:rFonts w:ascii="Arial" w:cs="Arial" w:eastAsia="Arial" w:hAnsi="Arial"/>
                <w:sz w:val="18"/>
                <w:szCs w:val="18"/>
                <w:color w:val="auto"/>
              </w:rPr>
              <w:t>equity award vesting</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(3,595 )</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(3,595 )</w:t>
            </w:r>
          </w:p>
        </w:tc>
        <w:tc>
          <w:tcPr>
            <w:tcW w:w="0" w:type="dxa"/>
            <w:vAlign w:val="bottom"/>
          </w:tcPr>
          <w:p>
            <w:pPr>
              <w:spacing w:after="0"/>
              <w:rPr>
                <w:sz w:val="1"/>
                <w:szCs w:val="1"/>
                <w:color w:val="auto"/>
              </w:rPr>
            </w:pPr>
          </w:p>
        </w:tc>
      </w:tr>
      <w:tr>
        <w:trPr>
          <w:trHeight w:val="222"/>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Amortization of share-</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based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(522 )</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(37,600 )</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(37,600 )</w:t>
            </w:r>
          </w:p>
        </w:tc>
        <w:tc>
          <w:tcPr>
            <w:tcW w:w="0" w:type="dxa"/>
            <w:vAlign w:val="bottom"/>
          </w:tcPr>
          <w:p>
            <w:pPr>
              <w:spacing w:after="0"/>
              <w:rPr>
                <w:sz w:val="1"/>
                <w:szCs w:val="1"/>
                <w:color w:val="auto"/>
              </w:rPr>
            </w:pPr>
          </w:p>
        </w:tc>
      </w:tr>
      <w:tr>
        <w:trPr>
          <w:trHeight w:val="222"/>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Excise taxes on</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stock</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(276 )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Arial" w:cs="Arial" w:eastAsia="Arial" w:hAnsi="Arial"/>
                <w:sz w:val="18"/>
                <w:szCs w:val="18"/>
                <w:color w:val="auto"/>
              </w:rPr>
              <w:t>Total comprehensive</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98,065</w:t>
            </w:r>
          </w:p>
        </w:tc>
        <w:tc>
          <w:tcPr>
            <w:tcW w:w="260" w:type="dxa"/>
            <w:vAlign w:val="bottom"/>
          </w:tcPr>
          <w:p>
            <w:pPr>
              <w:spacing w:after="0"/>
              <w:rPr>
                <w:sz w:val="18"/>
                <w:szCs w:val="18"/>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(126 )</w:t>
            </w: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100,082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0"/>
              <w:spacing w:after="0"/>
              <w:rPr>
                <w:sz w:val="20"/>
                <w:szCs w:val="20"/>
                <w:color w:val="auto"/>
              </w:rPr>
            </w:pPr>
            <w:r>
              <w:rPr>
                <w:rFonts w:ascii="Arial" w:cs="Arial" w:eastAsia="Arial" w:hAnsi="Arial"/>
                <w:sz w:val="18"/>
                <w:szCs w:val="18"/>
                <w:color w:val="auto"/>
              </w:rPr>
              <w:t>income, net of taxes</w:t>
            </w:r>
          </w:p>
        </w:tc>
        <w:tc>
          <w:tcPr>
            <w:tcW w:w="6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Balance at June 30, 2023</w:t>
            </w: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2,566,7</w:t>
            </w:r>
          </w:p>
        </w:tc>
        <w:tc>
          <w:tcPr>
            <w:tcW w:w="26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(339,65</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3,112,80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920" w:type="dxa"/>
            <w:vAlign w:val="bottom"/>
            <w:shd w:val="clear" w:color="auto" w:fill="CFF0FC"/>
          </w:tcPr>
          <w:p>
            <w:pPr>
              <w:spacing w:after="0"/>
              <w:rPr>
                <w:sz w:val="24"/>
                <w:szCs w:val="2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857,965</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18,996</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(5,946 )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92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1440" w:type="dxa"/>
            <w:vAlign w:val="bottom"/>
            <w:gridSpan w:val="4"/>
            <w:vMerge w:val="restart"/>
          </w:tcPr>
          <w:p>
            <w:pPr>
              <w:jc w:val="right"/>
              <w:ind w:right="15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Paid-in-</w:t>
            </w: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940" w:type="dxa"/>
            <w:vAlign w:val="bottom"/>
            <w:gridSpan w:val="5"/>
            <w:vMerge w:val="continue"/>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6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 Net</w:t>
            </w: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76"/>
              </w:rPr>
              <w:t>(in thousands)</w:t>
            </w:r>
          </w:p>
        </w:tc>
        <w:tc>
          <w:tcPr>
            <w:tcW w:w="2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Balance at December 31,</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2,346,4</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(295,20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2,888,78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854,512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(25,966 )</w:t>
            </w: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(5,361 )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0"/>
              <w:spacing w:after="0"/>
              <w:rPr>
                <w:sz w:val="20"/>
                <w:szCs w:val="20"/>
                <w:color w:val="auto"/>
              </w:rPr>
            </w:pPr>
            <w:r>
              <w:rPr>
                <w:rFonts w:ascii="Arial" w:cs="Arial" w:eastAsia="Arial" w:hAnsi="Arial"/>
                <w:sz w:val="18"/>
                <w:szCs w:val="18"/>
                <w:color w:val="auto"/>
                <w:w w:val="94"/>
              </w:rPr>
              <w:t>Stock option exercises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stock for</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awards, net of</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forfeitures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(8,977 )</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Arial" w:cs="Arial" w:eastAsia="Arial" w:hAnsi="Arial"/>
                <w:sz w:val="18"/>
                <w:szCs w:val="18"/>
                <w:color w:val="auto"/>
              </w:rPr>
              <w:t>Tax withholdings on</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0"/>
              <w:spacing w:after="0"/>
              <w:rPr>
                <w:sz w:val="20"/>
                <w:szCs w:val="20"/>
                <w:color w:val="auto"/>
              </w:rPr>
            </w:pPr>
            <w:r>
              <w:rPr>
                <w:rFonts w:ascii="Arial" w:cs="Arial" w:eastAsia="Arial" w:hAnsi="Arial"/>
                <w:sz w:val="18"/>
                <w:szCs w:val="18"/>
                <w:color w:val="auto"/>
              </w:rPr>
              <w:t>equity award vesting</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(3,192 )</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(3,192 )</w:t>
            </w:r>
          </w:p>
        </w:tc>
        <w:tc>
          <w:tcPr>
            <w:tcW w:w="0" w:type="dxa"/>
            <w:vAlign w:val="bottom"/>
          </w:tcPr>
          <w:p>
            <w:pPr>
              <w:spacing w:after="0"/>
              <w:rPr>
                <w:sz w:val="1"/>
                <w:szCs w:val="1"/>
                <w:color w:val="auto"/>
              </w:rPr>
            </w:pPr>
          </w:p>
        </w:tc>
      </w:tr>
      <w:tr>
        <w:trPr>
          <w:trHeight w:val="222"/>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Amortization of share-</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based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(310 )</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(18,085 )</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(18,085 )</w:t>
            </w:r>
          </w:p>
        </w:tc>
        <w:tc>
          <w:tcPr>
            <w:tcW w:w="0" w:type="dxa"/>
            <w:vAlign w:val="bottom"/>
          </w:tcPr>
          <w:p>
            <w:pPr>
              <w:spacing w:after="0"/>
              <w:rPr>
                <w:sz w:val="1"/>
                <w:szCs w:val="1"/>
                <w:color w:val="auto"/>
              </w:rPr>
            </w:pPr>
          </w:p>
        </w:tc>
      </w:tr>
      <w:tr>
        <w:trPr>
          <w:trHeight w:val="222"/>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comprehensive</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net of taxes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45,891</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50,201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Arial" w:cs="Arial" w:eastAsia="Arial" w:hAnsi="Arial"/>
                <w:sz w:val="18"/>
                <w:szCs w:val="18"/>
                <w:color w:val="auto"/>
              </w:rPr>
              <w:t>Return of investment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to noncontrolling</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(402 )</w:t>
            </w:r>
          </w:p>
        </w:tc>
        <w:tc>
          <w:tcPr>
            <w:tcW w:w="160" w:type="dxa"/>
            <w:vAlign w:val="bottom"/>
          </w:tcPr>
          <w:p>
            <w:pPr>
              <w:spacing w:after="0"/>
              <w:rPr>
                <w:sz w:val="18"/>
                <w:szCs w:val="18"/>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(402 )</w:t>
            </w:r>
          </w:p>
        </w:tc>
        <w:tc>
          <w:tcPr>
            <w:tcW w:w="0" w:type="dxa"/>
            <w:vAlign w:val="bottom"/>
          </w:tcPr>
          <w:p>
            <w:pPr>
              <w:spacing w:after="0"/>
              <w:rPr>
                <w:sz w:val="1"/>
                <w:szCs w:val="1"/>
                <w:color w:val="auto"/>
              </w:rPr>
            </w:pPr>
          </w:p>
        </w:tc>
      </w:tr>
      <w:tr>
        <w:trPr>
          <w:trHeight w:val="230"/>
        </w:trPr>
        <w:tc>
          <w:tcPr>
            <w:tcW w:w="192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6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Balance at June 30, 2022</w:t>
            </w: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2,392,3</w:t>
            </w:r>
          </w:p>
        </w:tc>
        <w:tc>
          <w:tcPr>
            <w:tcW w:w="26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(304,31</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2,929,74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2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854,781</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(21,957 )</w:t>
            </w: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(5,501 )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-3540125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-3522345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-3540125</wp:posOffset>
            </wp:positionV>
            <wp:extent cx="85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-3522345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-3540125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-3522345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-3540125</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-3522345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-3540125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-3522345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-3540125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-3522345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-3540125</wp:posOffset>
            </wp:positionV>
            <wp:extent cx="85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-3522345</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-3540125</wp:posOffset>
            </wp:positionV>
            <wp:extent cx="85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-3522345</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-3540125</wp:posOffset>
            </wp:positionV>
            <wp:extent cx="85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-3522345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-24765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-8255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-24765</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-8255</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-8255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hanging="485"/>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Preparation of the Condensed Financial Statements</w:t>
      </w:r>
    </w:p>
    <w:p>
      <w:pPr>
        <w:spacing w:after="0" w:line="189" w:lineRule="exact"/>
        <w:rPr>
          <w:sz w:val="20"/>
          <w:szCs w:val="20"/>
          <w:color w:val="auto"/>
        </w:rPr>
      </w:pPr>
    </w:p>
    <w:p>
      <w:pPr>
        <w:jc w:val="both"/>
        <w:ind w:firstLine="569"/>
        <w:spacing w:after="0" w:line="273" w:lineRule="auto"/>
        <w:rPr>
          <w:sz w:val="20"/>
          <w:szCs w:val="20"/>
          <w:color w:val="auto"/>
        </w:rPr>
      </w:pPr>
      <w:r>
        <w:rPr>
          <w:rFonts w:ascii="Arial" w:cs="Arial" w:eastAsia="Arial" w:hAnsi="Arial"/>
          <w:sz w:val="17"/>
          <w:szCs w:val="17"/>
          <w:color w:val="auto"/>
        </w:rPr>
        <w:t>The condensed financial statements included herein have been prepared by Kirby Corporation and its consolidated subsidiaries (“Kirby” or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2022. Certain reclassifications have been made to reflect the current presentation of financial information.</w:t>
      </w:r>
    </w:p>
    <w:p>
      <w:pPr>
        <w:spacing w:after="0" w:line="147"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89" w:lineRule="exact"/>
        <w:rPr>
          <w:sz w:val="20"/>
          <w:szCs w:val="20"/>
          <w:color w:val="auto"/>
        </w:rPr>
      </w:pPr>
    </w:p>
    <w:p>
      <w:pPr>
        <w:ind w:firstLine="569"/>
        <w:spacing w:after="0" w:line="277" w:lineRule="auto"/>
        <w:rPr>
          <w:sz w:val="20"/>
          <w:szCs w:val="20"/>
          <w:color w:val="auto"/>
        </w:rPr>
      </w:pPr>
      <w:r>
        <w:rPr>
          <w:rFonts w:ascii="Arial" w:cs="Arial" w:eastAsia="Arial" w:hAnsi="Arial"/>
          <w:sz w:val="18"/>
          <w:szCs w:val="18"/>
          <w:color w:val="auto"/>
        </w:rPr>
        <w:t>On March 31, 2022, the Company paid $3.9 million in cash to purchase assets of a gearbox repair company in the distribution and services segment. Assets acquired consisted primarily of property and equipment.</w:t>
      </w:r>
    </w:p>
    <w:p>
      <w:pPr>
        <w:spacing w:after="0" w:line="126"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Company’s revenues by major source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Marine transportation segment: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Inland transportation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351,807</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316,948</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689,695</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594,858</w:t>
            </w:r>
          </w:p>
        </w:tc>
        <w:tc>
          <w:tcPr>
            <w:tcW w:w="14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Coastal transportation</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75,155</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88,707</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149,762</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166,333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7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426,962</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405,655</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839,457</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761,191</w:t>
            </w:r>
          </w:p>
        </w:tc>
        <w:tc>
          <w:tcPr>
            <w:tcW w:w="14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Distribution and services segment: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180,398</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161,621</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369,790</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309,154</w:t>
            </w:r>
          </w:p>
        </w:tc>
        <w:tc>
          <w:tcPr>
            <w:tcW w:w="14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Oil and gas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169,888</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130,688</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318,445</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238,401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7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350,286</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292,309</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688,235</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547,555</w:t>
            </w:r>
          </w:p>
        </w:tc>
        <w:tc>
          <w:tcPr>
            <w:tcW w:w="14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-839470</wp:posOffset>
            </wp:positionV>
            <wp:extent cx="8572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-839470</wp:posOffset>
            </wp:positionV>
            <wp:extent cx="8572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-839470</wp:posOffset>
            </wp:positionV>
            <wp:extent cx="8572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-839470</wp:posOffset>
            </wp:positionV>
            <wp:extent cx="8572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-187960</wp:posOffset>
            </wp:positionV>
            <wp:extent cx="8572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8572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8572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Contract liabilities represent advance consideration received from customers, and are recognized as revenue over time as the related performance obligation is satisfied. Revenues recognized during the six months ended June 30, 2023 and 2022 that were included in the opening contract liability balances were $60.3 million and $46.7 million, respectively. The Company presents all contract liabilities within the deferred revenues financial statement caption on the balance sheets. The Company did not have any contract assets at June 30, 2023 or December 31, 2022. The Company applies the practical expedient that allows non-disclosure of information about remaining performance obligations that have original expected durations of one year or less.</w:t>
      </w:r>
    </w:p>
    <w:p>
      <w:pPr>
        <w:spacing w:after="0" w:line="157"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operations are aggregated into two reportable business segments as follows:</w:t>
      </w:r>
    </w:p>
    <w:p>
      <w:pPr>
        <w:spacing w:after="0" w:line="198"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i w:val="1"/>
          <w:iCs w:val="1"/>
          <w:color w:val="auto"/>
        </w:rPr>
        <w:t xml:space="preserve">Marine Transportation Segment (“KMT”) </w:t>
      </w:r>
      <w:r>
        <w:rPr>
          <w:rFonts w:ascii="Arial" w:cs="Arial" w:eastAsia="Arial" w:hAnsi="Arial"/>
          <w:sz w:val="16"/>
          <w:szCs w:val="16"/>
          <w:color w:val="auto"/>
        </w:rPr>
        <w:t>— Provides marine transportation by United States flagged vessels principally of liquid cargoes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08" w:lineRule="exact"/>
        <w:rPr>
          <w:sz w:val="20"/>
          <w:szCs w:val="20"/>
          <w:color w:val="auto"/>
        </w:rPr>
      </w:pPr>
    </w:p>
    <w:p>
      <w:pPr>
        <w:jc w:val="both"/>
        <w:ind w:firstLine="569"/>
        <w:spacing w:after="0" w:line="296" w:lineRule="auto"/>
        <w:rPr>
          <w:sz w:val="20"/>
          <w:szCs w:val="20"/>
          <w:color w:val="auto"/>
        </w:rPr>
      </w:pPr>
      <w:r>
        <w:rPr>
          <w:rFonts w:ascii="Arial" w:cs="Arial" w:eastAsia="Arial" w:hAnsi="Arial"/>
          <w:sz w:val="16"/>
          <w:szCs w:val="16"/>
          <w:i w:val="1"/>
          <w:iCs w:val="1"/>
          <w:color w:val="auto"/>
        </w:rPr>
        <w:t xml:space="preserve">Distribution and Services Segment (“KDS”) </w:t>
      </w:r>
      <w:r>
        <w:rPr>
          <w:rFonts w:ascii="Arial" w:cs="Arial" w:eastAsia="Arial" w:hAnsi="Arial"/>
          <w:sz w:val="16"/>
          <w:szCs w:val="16"/>
          <w:color w:val="auto"/>
        </w:rPr>
        <w:t>— Provides after-market services and genuine replacement parts for engines, transmissions, reduction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electric power generation equipment, specialized electrical distribution and control equipment, and high capacity energy storage/battery systems for oilfield service and railroad customers.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firstLine="562"/>
        <w:spacing w:after="0" w:line="272"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KDS from KMT of $10.3 million and $19.7 million for the three months and six months ended June 30, 2023, respectively, and $6.3 million and $13.9 million for the three and six months ended June 30, 2022, respectively, as well as the related intersegment profit of $1.0 million and $2.0 million for the three months and six months ended June 30, 2023, respectively, and $0.6 million and $1.4 million for the three and six months ended June 30, 2022, respectively, have been eliminated from the tables below.</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the Company’s revenues and profit or loss by reportable segment and total assets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8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7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Marine transportation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426,962</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405,655</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839,457</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761,191</w:t>
            </w:r>
          </w:p>
        </w:tc>
        <w:tc>
          <w:tcPr>
            <w:tcW w:w="14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Distribution and services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350,286</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292,309</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688,235</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547,555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47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777,248</w:t>
            </w:r>
          </w:p>
        </w:tc>
        <w:tc>
          <w:tcPr>
            <w:tcW w:w="3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697,964</w:t>
            </w:r>
          </w:p>
        </w:tc>
        <w:tc>
          <w:tcPr>
            <w:tcW w:w="3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1,527,692</w:t>
            </w:r>
          </w:p>
        </w:tc>
        <w:tc>
          <w:tcPr>
            <w:tcW w:w="3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1,308,746</w:t>
            </w:r>
          </w:p>
        </w:tc>
        <w:tc>
          <w:tcPr>
            <w:tcW w:w="14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profit: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Marine transportation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64,251</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30,817</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107,287</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47,752</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Distribution and services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29,842</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16,737</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52,634</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27,708</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(17,815 )</w:t>
            </w:r>
          </w:p>
        </w:tc>
        <w:tc>
          <w:tcPr>
            <w:tcW w:w="3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(7,918 )</w:t>
            </w:r>
          </w:p>
        </w:tc>
        <w:tc>
          <w:tcPr>
            <w:tcW w:w="3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(28,971 )</w:t>
            </w:r>
          </w:p>
        </w:tc>
        <w:tc>
          <w:tcPr>
            <w:tcW w:w="3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(12,025 )</w:t>
            </w:r>
          </w:p>
        </w:tc>
      </w:tr>
      <w:tr>
        <w:trPr>
          <w:trHeight w:val="277"/>
        </w:trPr>
        <w:tc>
          <w:tcPr>
            <w:tcW w:w="47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76,278</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39,636</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130,950</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63,435</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-993775</wp:posOffset>
            </wp:positionV>
            <wp:extent cx="8572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-993775</wp:posOffset>
            </wp:positionV>
            <wp:extent cx="8572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-993775</wp:posOffset>
            </wp:positionV>
            <wp:extent cx="8572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-993775</wp:posOffset>
            </wp:positionV>
            <wp:extent cx="8572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857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234" w:lineRule="exact"/>
        <w:rPr>
          <w:sz w:val="20"/>
          <w:szCs w:val="20"/>
          <w:color w:val="auto"/>
        </w:rPr>
      </w:pPr>
    </w:p>
    <w:p>
      <w:pPr>
        <w:jc w:val="center"/>
        <w:ind w:left="8160"/>
        <w:spacing w:after="0"/>
        <w:rPr>
          <w:sz w:val="20"/>
          <w:szCs w:val="20"/>
          <w:color w:val="auto"/>
        </w:rPr>
      </w:pPr>
      <w:r>
        <w:rPr>
          <w:rFonts w:ascii="Arial" w:cs="Arial" w:eastAsia="Arial" w:hAnsi="Arial"/>
          <w:sz w:val="12"/>
          <w:szCs w:val="12"/>
          <w:b w:val="1"/>
          <w:bCs w:val="1"/>
          <w:color w:val="auto"/>
        </w:rPr>
        <w:t>June 30,</w:t>
      </w:r>
    </w:p>
    <w:p>
      <w:pPr>
        <w:spacing w:after="0" w:line="2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400"/>
        <w:spacing w:after="0"/>
        <w:rPr>
          <w:sz w:val="20"/>
          <w:szCs w:val="20"/>
          <w:color w:val="auto"/>
        </w:rPr>
      </w:pPr>
      <w:r>
        <w:rPr>
          <w:rFonts w:ascii="Arial" w:cs="Arial" w:eastAsia="Arial" w:hAnsi="Arial"/>
          <w:sz w:val="12"/>
          <w:szCs w:val="12"/>
          <w:b w:val="1"/>
          <w:bCs w:val="1"/>
          <w:color w:val="auto"/>
        </w:rPr>
        <w:t>December 31,</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2022</w:t>
      </w:r>
    </w:p>
    <w:p>
      <w:pPr>
        <w:spacing w:after="0" w:line="8" w:lineRule="exact"/>
        <w:rPr>
          <w:sz w:val="20"/>
          <w:szCs w:val="20"/>
          <w:color w:val="auto"/>
        </w:rPr>
      </w:pPr>
    </w:p>
    <w:p>
      <w:pPr>
        <w:sectPr>
          <w:pgSz w:w="11900" w:h="16838" w:orient="portrait"/>
          <w:cols w:equalWidth="0" w:num="2">
            <w:col w:w="9280" w:space="720"/>
            <w:col w:w="1240"/>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7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FF0FC"/>
            </w:tcBorders>
            <w:shd w:val="clear" w:color="auto" w:fill="CFF0FC"/>
          </w:tcPr>
          <w:p>
            <w:pPr>
              <w:spacing w:after="0"/>
              <w:rPr>
                <w:sz w:val="20"/>
                <w:szCs w:val="20"/>
                <w:color w:val="auto"/>
              </w:rPr>
            </w:pPr>
          </w:p>
        </w:tc>
        <w:tc>
          <w:tcPr>
            <w:tcW w:w="10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Marine transportation</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4,305,536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4,285,647</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Distribution and services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1,152,632</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1,041,841</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116,411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227,436</w:t>
            </w:r>
          </w:p>
        </w:tc>
        <w:tc>
          <w:tcPr>
            <w:tcW w:w="140" w:type="dxa"/>
            <w:vAlign w:val="bottom"/>
          </w:tcPr>
          <w:p>
            <w:pPr>
              <w:spacing w:after="0"/>
              <w:rPr>
                <w:sz w:val="20"/>
                <w:szCs w:val="20"/>
                <w:color w:val="auto"/>
              </w:rPr>
            </w:pPr>
          </w:p>
        </w:tc>
      </w:tr>
      <w:tr>
        <w:trPr>
          <w:trHeight w:val="277"/>
        </w:trPr>
        <w:tc>
          <w:tcPr>
            <w:tcW w:w="47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gridSpan w:val="2"/>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5,574,579</w:t>
            </w:r>
          </w:p>
        </w:tc>
        <w:tc>
          <w:tcPr>
            <w:tcW w:w="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5,554,924</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378"/>
        </w:trPr>
        <w:tc>
          <w:tcPr>
            <w:tcW w:w="6440" w:type="dxa"/>
            <w:vAlign w:val="bottom"/>
            <w:gridSpan w:val="4"/>
          </w:tcPr>
          <w:p>
            <w:pPr>
              <w:ind w:left="560"/>
              <w:spacing w:after="0"/>
              <w:rPr>
                <w:sz w:val="20"/>
                <w:szCs w:val="20"/>
                <w:color w:val="auto"/>
              </w:rPr>
            </w:pPr>
            <w:r>
              <w:rPr>
                <w:rFonts w:ascii="Arial" w:cs="Arial" w:eastAsia="Arial" w:hAnsi="Arial"/>
                <w:sz w:val="18"/>
                <w:szCs w:val="18"/>
                <w:color w:val="auto"/>
                <w:w w:val="93"/>
              </w:rPr>
              <w:t>The following table presents the details of “Other” segment loss (in thousands):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7"/>
          </w:tcPr>
          <w:p>
            <w:pPr>
              <w:jc w:val="right"/>
              <w:ind w:right="71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7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corporate expenses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(13,873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2,745</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2,702</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7,594</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(12,286 )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(10,640 )</w:t>
            </w: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(25,507 )</w:t>
            </w: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(20,843 )</w:t>
            </w: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7,707</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w:t>
            </w:r>
          </w:p>
        </w:tc>
        <w:tc>
          <w:tcPr>
            <w:tcW w:w="140" w:type="dxa"/>
            <w:vAlign w:val="bottom"/>
          </w:tcPr>
          <w:p>
            <w:pPr>
              <w:spacing w:after="0"/>
              <w:rPr>
                <w:sz w:val="20"/>
                <w:szCs w:val="20"/>
                <w:color w:val="auto"/>
              </w:rPr>
            </w:pPr>
          </w:p>
        </w:tc>
      </w:tr>
      <w:tr>
        <w:trPr>
          <w:trHeight w:val="276"/>
        </w:trPr>
        <w:tc>
          <w:tcPr>
            <w:tcW w:w="47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(17,815</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(28,971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-1473835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-1456690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-1473835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-1456690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85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85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details of “Other” total assets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14"/>
                <w:szCs w:val="14"/>
                <w:color w:val="auto"/>
              </w:rPr>
            </w:pPr>
          </w:p>
        </w:tc>
      </w:tr>
      <w:tr>
        <w:trPr>
          <w:trHeight w:val="185"/>
        </w:trPr>
        <w:tc>
          <w:tcPr>
            <w:tcW w:w="36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corporate assets</w:t>
            </w:r>
          </w:p>
        </w:tc>
        <w:tc>
          <w:tcPr>
            <w:tcW w:w="43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114,299</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225,265</w:t>
            </w:r>
          </w:p>
        </w:tc>
        <w:tc>
          <w:tcPr>
            <w:tcW w:w="140" w:type="dxa"/>
            <w:vAlign w:val="bottom"/>
            <w:shd w:val="clear" w:color="auto" w:fill="CFF0FC"/>
          </w:tcPr>
          <w:p>
            <w:pPr>
              <w:spacing w:after="0"/>
              <w:rPr>
                <w:sz w:val="20"/>
                <w:szCs w:val="20"/>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Investment in affiliates</w:t>
            </w:r>
          </w:p>
        </w:tc>
        <w:tc>
          <w:tcPr>
            <w:tcW w:w="4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40" w:type="dxa"/>
            <w:vAlign w:val="bottom"/>
          </w:tcPr>
          <w:p>
            <w:pPr>
              <w:spacing w:after="0"/>
              <w:rPr>
                <w:sz w:val="20"/>
                <w:szCs w:val="20"/>
                <w:color w:val="auto"/>
              </w:rPr>
            </w:pPr>
          </w:p>
        </w:tc>
      </w:tr>
      <w:tr>
        <w:trPr>
          <w:trHeight w:val="276"/>
        </w:trPr>
        <w:tc>
          <w:tcPr>
            <w:tcW w:w="3680" w:type="dxa"/>
            <w:vAlign w:val="bottom"/>
            <w:tcBorders>
              <w:bottom w:val="single" w:sz="8" w:color="CFF0FC"/>
            </w:tcBorders>
            <w:shd w:val="clear" w:color="auto" w:fill="CFF0FC"/>
          </w:tcPr>
          <w:p>
            <w:pPr>
              <w:spacing w:after="0"/>
              <w:rPr>
                <w:sz w:val="24"/>
                <w:szCs w:val="24"/>
                <w:color w:val="auto"/>
              </w:rPr>
            </w:pPr>
          </w:p>
        </w:tc>
        <w:tc>
          <w:tcPr>
            <w:tcW w:w="43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116,411</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227,436</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567"/>
        </w:trPr>
        <w:tc>
          <w:tcPr>
            <w:tcW w:w="3680" w:type="dxa"/>
            <w:vAlign w:val="bottom"/>
          </w:tcPr>
          <w:p>
            <w:pPr>
              <w:spacing w:after="0"/>
              <w:rPr>
                <w:sz w:val="24"/>
                <w:szCs w:val="24"/>
                <w:color w:val="auto"/>
              </w:rPr>
            </w:pPr>
          </w:p>
        </w:tc>
        <w:tc>
          <w:tcPr>
            <w:tcW w:w="4360" w:type="dxa"/>
            <w:vAlign w:val="bottom"/>
          </w:tcPr>
          <w:p>
            <w:pPr>
              <w:jc w:val="right"/>
              <w:ind w:right="229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-479425</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-462280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-479425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-462280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 w:name="page10"/>
    <w:bookmarkEnd w:id="9"/>
    <w:p>
      <w:pPr>
        <w:ind w:left="480" w:hanging="472"/>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89" w:lineRule="exact"/>
        <w:rPr>
          <w:sz w:val="20"/>
          <w:szCs w:val="20"/>
          <w:color w:val="auto"/>
        </w:rPr>
      </w:pPr>
    </w:p>
    <w:p>
      <w:pPr>
        <w:ind w:right="140" w:firstLine="562"/>
        <w:spacing w:after="0" w:line="277" w:lineRule="auto"/>
        <w:rPr>
          <w:sz w:val="20"/>
          <w:szCs w:val="20"/>
          <w:color w:val="auto"/>
        </w:rPr>
      </w:pPr>
      <w:r>
        <w:rPr>
          <w:rFonts w:ascii="Arial" w:cs="Arial" w:eastAsia="Arial" w:hAnsi="Arial"/>
          <w:sz w:val="18"/>
          <w:szCs w:val="18"/>
          <w:color w:val="auto"/>
        </w:rPr>
        <w:t>The following table presents the carrying value and fair value (determined using inputs characteristic of a Level 2 fair value measurement) of debt outstanding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10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Carrying Value</w:t>
            </w:r>
          </w:p>
        </w:tc>
        <w:tc>
          <w:tcPr>
            <w:tcW w:w="300" w:type="dxa"/>
            <w:vAlign w:val="bottom"/>
          </w:tcPr>
          <w:p>
            <w:pPr>
              <w:spacing w:after="0"/>
              <w:rPr>
                <w:sz w:val="14"/>
                <w:szCs w:val="14"/>
                <w:color w:val="auto"/>
              </w:rPr>
            </w:pPr>
          </w:p>
        </w:tc>
        <w:tc>
          <w:tcPr>
            <w:tcW w:w="1040" w:type="dxa"/>
            <w:vAlign w:val="bottom"/>
          </w:tcPr>
          <w:p>
            <w:pPr>
              <w:jc w:val="right"/>
              <w:ind w:right="272"/>
              <w:spacing w:after="0"/>
              <w:rPr>
                <w:sz w:val="20"/>
                <w:szCs w:val="20"/>
                <w:color w:val="auto"/>
              </w:rPr>
            </w:pPr>
            <w:r>
              <w:rPr>
                <w:rFonts w:ascii="Arial" w:cs="Arial" w:eastAsia="Arial" w:hAnsi="Arial"/>
                <w:sz w:val="14"/>
                <w:szCs w:val="14"/>
                <w:b w:val="1"/>
                <w:bCs w:val="1"/>
                <w:color w:val="auto"/>
                <w:w w:val="98"/>
              </w:rPr>
              <w:t>Fair Value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Carrying Value</w:t>
            </w:r>
          </w:p>
        </w:tc>
        <w:tc>
          <w:tcPr>
            <w:tcW w:w="220" w:type="dxa"/>
            <w:vAlign w:val="bottom"/>
          </w:tcPr>
          <w:p>
            <w:pPr>
              <w:spacing w:after="0"/>
              <w:rPr>
                <w:sz w:val="14"/>
                <w:szCs w:val="14"/>
                <w:color w:val="auto"/>
              </w:rPr>
            </w:pPr>
          </w:p>
        </w:tc>
        <w:tc>
          <w:tcPr>
            <w:tcW w:w="1120" w:type="dxa"/>
            <w:vAlign w:val="bottom"/>
          </w:tcPr>
          <w:p>
            <w:pPr>
              <w:jc w:val="right"/>
              <w:ind w:right="25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Facility due July 29, 2027 (a)</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27,000</w:t>
            </w:r>
          </w:p>
        </w:tc>
        <w:tc>
          <w:tcPr>
            <w:tcW w:w="3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27,000</w:t>
            </w: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Term Loan due July 29, 2027 (a)</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170,000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170,000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170,000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3.29% senior notes due February 27, 2023</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352,275</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4.2% senior notes due March 1, 2028</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465,133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477,660</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3.46% senior notes due January 19, 2033</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48,424</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42,647</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3.51% senior notes due January 19, 2033</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240,000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194,596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line due June 30, 2024</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Bank notes payable</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7,447</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7,447</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140" w:type="dxa"/>
            <w:vAlign w:val="bottom"/>
          </w:tcPr>
          <w:p>
            <w:pPr>
              <w:spacing w:after="0"/>
              <w:rPr>
                <w:sz w:val="20"/>
                <w:szCs w:val="20"/>
                <w:color w:val="auto"/>
              </w:rPr>
            </w:pPr>
          </w:p>
        </w:tc>
      </w:tr>
      <w:tr>
        <w:trPr>
          <w:trHeight w:val="243"/>
        </w:trPr>
        <w:tc>
          <w:tcPr>
            <w:tcW w:w="4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1,004,447</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912,600</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1,083,292</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1,045,874</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Unamortized debt discounts and issuance costs (b)</w:t>
            </w:r>
          </w:p>
        </w:tc>
        <w:tc>
          <w:tcPr>
            <w:tcW w:w="1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(6,046 )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(3,674 )</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77"/>
        </w:trPr>
        <w:tc>
          <w:tcPr>
            <w:tcW w:w="47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998,401</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912,600</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1,079,618</w:t>
            </w:r>
          </w:p>
        </w:tc>
        <w:tc>
          <w:tcPr>
            <w:tcW w:w="3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1,045,874</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ind w:left="940" w:hanging="370"/>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Variable interest rate of 6.6% at June 30, 2023.</w:t>
      </w:r>
    </w:p>
    <w:p>
      <w:pPr>
        <w:spacing w:after="0" w:line="23" w:lineRule="exact"/>
        <w:rPr>
          <w:rFonts w:ascii="Arial" w:cs="Arial" w:eastAsia="Arial" w:hAnsi="Arial"/>
          <w:sz w:val="18"/>
          <w:szCs w:val="18"/>
          <w:color w:val="auto"/>
        </w:rPr>
      </w:pPr>
    </w:p>
    <w:p>
      <w:pPr>
        <w:ind w:left="940" w:hanging="370"/>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$1.8 million attributable to the 2027 Revolving Credit Facility included in other assets at December 31, 2022.</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borrowings and payments under the bank credit facilities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80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Borrowings on bank credit facilities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220,591</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120,634</w:t>
            </w:r>
          </w:p>
        </w:tc>
        <w:tc>
          <w:tcPr>
            <w:tcW w:w="140" w:type="dxa"/>
            <w:vAlign w:val="bottom"/>
            <w:shd w:val="clear" w:color="auto" w:fill="CFF0FC"/>
          </w:tcPr>
          <w:p>
            <w:pPr>
              <w:spacing w:after="0"/>
              <w:rPr>
                <w:sz w:val="20"/>
                <w:szCs w:val="20"/>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Payments on bank credit facilities</w:t>
            </w:r>
          </w:p>
        </w:tc>
        <w:tc>
          <w:tcPr>
            <w:tcW w:w="3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(189,436 )</w:t>
            </w:r>
          </w:p>
        </w:tc>
        <w:tc>
          <w:tcPr>
            <w:tcW w:w="3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(118,362 )</w:t>
            </w:r>
          </w:p>
        </w:tc>
      </w:tr>
      <w:tr>
        <w:trPr>
          <w:trHeight w:val="277"/>
        </w:trPr>
        <w:tc>
          <w:tcPr>
            <w:tcW w:w="80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At the beginning of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w:t>
      </w:r>
    </w:p>
    <w:p>
      <w:pPr>
        <w:spacing w:after="0" w:line="160"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$80.0 million under the 2027 Term Loan prior to scheduled maturities. As a result, no repayments are required until June 30, 2025. Outstanding letters of credit under the 2027 Revolving Credit Facility were $0.1 million and available borrowing capacity was $472.9 million as of June 30, 2023.</w:t>
      </w:r>
    </w:p>
    <w:p>
      <w:pPr>
        <w:spacing w:after="0" w:line="151"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The 2027 Term Loan is repayable in quarterly installments, with no repayments until June 30, 2025,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Secured Overnight Financing Rate (“SOFR”) or a base rate calculated 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ind w:right="20" w:firstLine="569"/>
        <w:spacing w:after="0" w:line="269" w:lineRule="auto"/>
        <w:rPr>
          <w:sz w:val="20"/>
          <w:szCs w:val="20"/>
          <w:color w:val="auto"/>
        </w:rPr>
      </w:pPr>
      <w:r>
        <w:rPr>
          <w:rFonts w:ascii="Arial" w:cs="Arial" w:eastAsia="Arial" w:hAnsi="Arial"/>
          <w:sz w:val="17"/>
          <w:szCs w:val="17"/>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Beginning in 2023, interest payments of $5.3 million will be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3.29% unsecured senior notes due February 27, 2023 (the “2023 Notes”) were repaid using a combination of the proceeds from the issuance of the 2033 Notes and availability under the 2027 Revolving Credit Facility.</w:t>
      </w:r>
    </w:p>
    <w:p>
      <w:pPr>
        <w:spacing w:after="0" w:line="155"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The Company has a $10 million line of credit (“Credit Line”) with Bank of America, N.A. (“Bank of America”) for short-term liquidity needs and letters of credit, with a maturity date of June 30, 2024. Outstanding letters of credit under the $10 million credit line were $3.6 million and available borrowing capacity was $6.4 million as of June 30, 2023.</w:t>
      </w:r>
    </w:p>
    <w:p>
      <w:pPr>
        <w:spacing w:after="0" w:line="180"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20" w:firstLine="562"/>
        <w:spacing w:after="0" w:line="254" w:lineRule="auto"/>
        <w:rPr>
          <w:sz w:val="20"/>
          <w:szCs w:val="20"/>
          <w:color w:val="auto"/>
        </w:rPr>
      </w:pPr>
      <w:r>
        <w:rPr>
          <w:rFonts w:ascii="Arial" w:cs="Arial" w:eastAsia="Arial" w:hAnsi="Arial"/>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54"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Future minimum lease payments under operating leases that have initial noncancelable lease terms in excess of one year were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19,996</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41,227</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33,581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24,604</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24,807</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22,934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21,467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20,827</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19,253</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96,220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218,162</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235,052</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(42,558 )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(56,468 )</w:t>
            </w:r>
          </w:p>
        </w:tc>
        <w:tc>
          <w:tcPr>
            <w:tcW w:w="20" w:type="dxa"/>
            <w:vAlign w:val="bottom"/>
          </w:tcPr>
          <w:p>
            <w:pPr>
              <w:spacing w:after="0"/>
              <w:rPr>
                <w:sz w:val="20"/>
                <w:szCs w:val="20"/>
                <w:color w:val="auto"/>
              </w:rPr>
            </w:pPr>
          </w:p>
        </w:tc>
      </w:tr>
      <w:tr>
        <w:trPr>
          <w:trHeight w:val="276"/>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175,604</w:t>
            </w:r>
          </w:p>
        </w:tc>
        <w:tc>
          <w:tcPr>
            <w:tcW w:w="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178,584</w:t>
            </w:r>
          </w:p>
        </w:tc>
        <w:tc>
          <w:tcPr>
            <w:tcW w:w="14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100" w:type="dxa"/>
            <w:vAlign w:val="bottom"/>
            <w:gridSpan w:val="2"/>
          </w:tcPr>
          <w:p>
            <w:pPr>
              <w:ind w:left="580"/>
              <w:spacing w:after="0"/>
              <w:rPr>
                <w:sz w:val="20"/>
                <w:szCs w:val="20"/>
                <w:color w:val="auto"/>
              </w:rPr>
            </w:pPr>
            <w:r>
              <w:rPr>
                <w:rFonts w:ascii="Arial" w:cs="Arial" w:eastAsia="Arial" w:hAnsi="Arial"/>
                <w:sz w:val="18"/>
                <w:szCs w:val="18"/>
                <w:color w:val="auto"/>
                <w:w w:val="95"/>
              </w:rPr>
              <w:t>The following table summarizes lease costs (in thousands):</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8"/>
          </w:tcPr>
          <w:p>
            <w:pPr>
              <w:ind w:left="4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7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10,653</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10,604</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21,230</w:t>
            </w: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21,454</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9,211</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5,248</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15,430</w:t>
            </w: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10,729</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3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(798 )</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(68 )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(1,641 )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(137 )</w:t>
            </w:r>
          </w:p>
        </w:tc>
        <w:tc>
          <w:tcPr>
            <w:tcW w:w="20" w:type="dxa"/>
            <w:vAlign w:val="bottom"/>
          </w:tcPr>
          <w:p>
            <w:pPr>
              <w:spacing w:after="0"/>
              <w:rPr>
                <w:sz w:val="20"/>
                <w:szCs w:val="20"/>
                <w:color w:val="auto"/>
              </w:rPr>
            </w:pPr>
          </w:p>
        </w:tc>
      </w:tr>
      <w:tr>
        <w:trPr>
          <w:trHeight w:val="277"/>
        </w:trPr>
        <w:tc>
          <w:tcPr>
            <w:tcW w:w="47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19,756</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16,230</w:t>
            </w:r>
          </w:p>
        </w:tc>
        <w:tc>
          <w:tcPr>
            <w:tcW w:w="2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36,467</w:t>
            </w:r>
          </w:p>
        </w:tc>
        <w:tc>
          <w:tcPr>
            <w:tcW w:w="2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32,911</w:t>
            </w:r>
          </w:p>
        </w:tc>
        <w:tc>
          <w:tcPr>
            <w:tcW w:w="14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8040" w:type="dxa"/>
            <w:vAlign w:val="bottom"/>
            <w:gridSpan w:val="7"/>
          </w:tcPr>
          <w:p>
            <w:pPr>
              <w:ind w:left="580"/>
              <w:spacing w:after="0"/>
              <w:rPr>
                <w:sz w:val="20"/>
                <w:szCs w:val="20"/>
                <w:color w:val="auto"/>
              </w:rPr>
            </w:pPr>
            <w:r>
              <w:rPr>
                <w:rFonts w:ascii="Arial" w:cs="Arial" w:eastAsia="Arial" w:hAnsi="Arial"/>
                <w:sz w:val="18"/>
                <w:szCs w:val="18"/>
                <w:color w:val="auto"/>
                <w:w w:val="90"/>
              </w:rPr>
              <w:t>The following table summarizes other supplemental information about the Company’s operating leases: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5"/>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discount rate</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9 years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9 years</w:t>
            </w:r>
          </w:p>
        </w:tc>
        <w:tc>
          <w:tcPr>
            <w:tcW w:w="20" w:type="dxa"/>
            <w:vAlign w:val="bottom"/>
          </w:tcPr>
          <w:p>
            <w:pPr>
              <w:spacing w:after="0"/>
              <w:rPr>
                <w:sz w:val="20"/>
                <w:szCs w:val="20"/>
                <w:color w:val="auto"/>
              </w:rPr>
            </w:pPr>
          </w:p>
        </w:tc>
      </w:tr>
      <w:tr>
        <w:trPr>
          <w:trHeight w:val="796"/>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335"/>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-2905125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-2888615</wp:posOffset>
            </wp:positionV>
            <wp:extent cx="85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-2905125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-2888615</wp:posOffset>
            </wp:positionV>
            <wp:extent cx="85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-1499870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-1482090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-1499870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-1482090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-1499870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-1482090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-1499870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-1482090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11" w:name="page12"/>
    <w:bookmarkEnd w:id="11"/>
    <w:p>
      <w:pPr>
        <w:ind w:left="480" w:hanging="472"/>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 Award Plans</w:t>
      </w:r>
    </w:p>
    <w:p>
      <w:pPr>
        <w:spacing w:after="0" w:line="189"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3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cost</w:t>
            </w: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3,104</w:t>
            </w:r>
          </w:p>
        </w:tc>
        <w:tc>
          <w:tcPr>
            <w:tcW w:w="32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2,590</w:t>
            </w:r>
          </w:p>
        </w:tc>
        <w:tc>
          <w:tcPr>
            <w:tcW w:w="32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ind w:right="68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8,912</w:t>
            </w:r>
          </w:p>
        </w:tc>
        <w:tc>
          <w:tcPr>
            <w:tcW w:w="32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8,555</w:t>
            </w:r>
          </w:p>
        </w:tc>
        <w:tc>
          <w:tcPr>
            <w:tcW w:w="140" w:type="dxa"/>
            <w:vAlign w:val="bottom"/>
            <w:shd w:val="clear" w:color="auto" w:fill="CFF0FC"/>
          </w:tcPr>
          <w:p>
            <w:pPr>
              <w:spacing w:after="0"/>
              <w:rPr>
                <w:sz w:val="20"/>
                <w:szCs w:val="20"/>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754</w:t>
            </w:r>
          </w:p>
        </w:tc>
        <w:tc>
          <w:tcPr>
            <w:tcW w:w="118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743</w:t>
            </w:r>
          </w:p>
        </w:tc>
        <w:tc>
          <w:tcPr>
            <w:tcW w:w="1180" w:type="dxa"/>
            <w:vAlign w:val="bottom"/>
            <w:gridSpan w:val="2"/>
          </w:tcPr>
          <w:p>
            <w:pPr>
              <w:jc w:val="right"/>
              <w:ind w:right="68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2,247</w:t>
            </w:r>
          </w:p>
        </w:tc>
        <w:tc>
          <w:tcPr>
            <w:tcW w:w="12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2,300</w:t>
            </w:r>
          </w:p>
        </w:tc>
        <w:tc>
          <w:tcPr>
            <w:tcW w:w="140" w:type="dxa"/>
            <w:vAlign w:val="bottom"/>
          </w:tcPr>
          <w:p>
            <w:pPr>
              <w:spacing w:after="0"/>
              <w:rPr>
                <w:sz w:val="20"/>
                <w:szCs w:val="20"/>
                <w:color w:val="auto"/>
              </w:rPr>
            </w:pPr>
          </w:p>
        </w:tc>
      </w:tr>
    </w:tbl>
    <w:p>
      <w:pPr>
        <w:spacing w:after="0" w:line="214"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During the six months ended June 30, 2023, the Company granted 182,395 restricted stock units (“RSUs”) to selected officers and other key employees under the employee stock award plan, the majority of which vest ratably over five years and 31,526 shares of restricted stock to nonemployees directors of the Company under the director stock plan, the majority of which vest six months after the date of grant.</w:t>
      </w:r>
    </w:p>
    <w:p>
      <w:pPr>
        <w:spacing w:after="0" w:line="153"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w:t>
      </w:r>
    </w:p>
    <w:p>
      <w:pPr>
        <w:spacing w:after="0" w:line="189"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At December 31, 2022, the Company had a federal income tax receivable of $70.4 million included in Accounts Receivable – Other on the balance sheet. During the first quarter of 2023, the Internal Revenue Service (“IRS”) communicated to the Company that it had completed its examination of the Company’s federal income tax returns for the years 2013 through 2020. In April 2023, the Company received its tax refund of $70.4 million plus accrued interest.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Earnings before taxes on income and details of the provision (benefit) for taxes on income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before taxes on income: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76,162</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39,607</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130,025</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63,261</w:t>
            </w:r>
          </w:p>
        </w:tc>
        <w:tc>
          <w:tcPr>
            <w:tcW w:w="14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47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76,278</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39,636</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130,950</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63,435</w:t>
            </w:r>
          </w:p>
        </w:tc>
        <w:tc>
          <w:tcPr>
            <w:tcW w:w="14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taxes on income: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Federal:</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16,466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8,464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28,199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13,721</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State and local:</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380"/>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1,310</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2,577</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1,298</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Foreign - current</w:t>
            </w: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(15 )</w:t>
            </w:r>
          </w:p>
        </w:tc>
        <w:tc>
          <w:tcPr>
            <w:tcW w:w="3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0"/>
                <w:szCs w:val="20"/>
                <w:color w:val="auto"/>
              </w:rPr>
            </w:pPr>
          </w:p>
        </w:tc>
      </w:tr>
      <w:tr>
        <w:trPr>
          <w:trHeight w:val="276"/>
        </w:trPr>
        <w:tc>
          <w:tcPr>
            <w:tcW w:w="47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11,030</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33,011</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17,243</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567"/>
        </w:trPr>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13"/>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-2065020</wp:posOffset>
            </wp:positionV>
            <wp:extent cx="8572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-2065020</wp:posOffset>
            </wp:positionV>
            <wp:extent cx="85725"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-2065020</wp:posOffset>
            </wp:positionV>
            <wp:extent cx="85725"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-2065020</wp:posOffset>
            </wp:positionV>
            <wp:extent cx="85725"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-479425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-462280</wp:posOffset>
            </wp:positionV>
            <wp:extent cx="85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-479425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-462280</wp:posOffset>
            </wp:positionV>
            <wp:extent cx="85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-479425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-462280</wp:posOffset>
            </wp:positionV>
            <wp:extent cx="85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-479425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-462280</wp:posOffset>
            </wp:positionV>
            <wp:extent cx="85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components of basic and diluted earnings per share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7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attributable to Kirby</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57,367</w:t>
            </w: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28,457</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98,065</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45,891</w:t>
            </w:r>
          </w:p>
        </w:tc>
        <w:tc>
          <w:tcPr>
            <w:tcW w:w="140" w:type="dxa"/>
            <w:vAlign w:val="bottom"/>
            <w:shd w:val="clear" w:color="auto" w:fill="CFF0FC"/>
          </w:tcPr>
          <w:p>
            <w:pPr>
              <w:spacing w:after="0"/>
              <w:rPr>
                <w:sz w:val="20"/>
                <w:szCs w:val="20"/>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Undistributed earnings allocated to restricted shares</w:t>
            </w:r>
          </w:p>
        </w:tc>
        <w:tc>
          <w:tcPr>
            <w:tcW w:w="8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(22 )</w:t>
            </w:r>
          </w:p>
        </w:tc>
        <w:tc>
          <w:tcPr>
            <w:tcW w:w="8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(10 )</w:t>
            </w:r>
          </w:p>
        </w:tc>
        <w:tc>
          <w:tcPr>
            <w:tcW w:w="3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(21 )</w:t>
            </w:r>
          </w:p>
        </w:tc>
        <w:tc>
          <w:tcPr>
            <w:tcW w:w="3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(11 )</w:t>
            </w:r>
          </w:p>
        </w:tc>
      </w:tr>
      <w:tr>
        <w:trPr>
          <w:trHeight w:val="24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Earnings available to Kirby common stockholders – basic</w:t>
            </w:r>
          </w:p>
        </w:tc>
        <w:tc>
          <w:tcPr>
            <w:tcW w:w="8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57,345</w:t>
            </w:r>
          </w:p>
        </w:tc>
        <w:tc>
          <w:tcPr>
            <w:tcW w:w="320" w:type="dxa"/>
            <w:vAlign w:val="bottom"/>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28,447</w:t>
            </w:r>
          </w:p>
        </w:tc>
        <w:tc>
          <w:tcPr>
            <w:tcW w:w="3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98,044</w:t>
            </w:r>
          </w:p>
        </w:tc>
        <w:tc>
          <w:tcPr>
            <w:tcW w:w="3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45,880</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Undistributed earnings allocated to restricted shares</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Undistributed earnings reallocated to restricted shares</w:t>
            </w:r>
          </w:p>
        </w:tc>
        <w:tc>
          <w:tcPr>
            <w:tcW w:w="8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(22 )</w:t>
            </w:r>
          </w:p>
        </w:tc>
        <w:tc>
          <w:tcPr>
            <w:tcW w:w="8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(10 )</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(11 )</w:t>
            </w:r>
          </w:p>
        </w:tc>
      </w:tr>
      <w:tr>
        <w:trPr>
          <w:trHeight w:val="237"/>
        </w:trPr>
        <w:tc>
          <w:tcPr>
            <w:tcW w:w="47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w w:val="97"/>
              </w:rPr>
              <w:t>Earnings available to Kirby common stockholders – diluted</w:t>
            </w: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57,345</w:t>
            </w:r>
          </w:p>
        </w:tc>
        <w:tc>
          <w:tcPr>
            <w:tcW w:w="320" w:type="dxa"/>
            <w:vAlign w:val="bottom"/>
            <w:tcBorders>
              <w:top w:val="single" w:sz="8" w:color="CFF0FC"/>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28,447</w:t>
            </w: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98,044</w:t>
            </w: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45,880</w:t>
            </w:r>
          </w:p>
        </w:tc>
        <w:tc>
          <w:tcPr>
            <w:tcW w:w="140" w:type="dxa"/>
            <w:vAlign w:val="bottom"/>
            <w:tcBorders>
              <w:top w:val="single" w:sz="8" w:color="CFF0FC"/>
            </w:tcBorders>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Shares outstanding:</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stock issued and outstanding</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59,829</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60,222</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59,905</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60,202</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Weighted average unvested restricted stock</w:t>
            </w:r>
          </w:p>
        </w:tc>
        <w:tc>
          <w:tcPr>
            <w:tcW w:w="8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(23 )</w:t>
            </w:r>
          </w:p>
        </w:tc>
        <w:tc>
          <w:tcPr>
            <w:tcW w:w="8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(20 )</w:t>
            </w:r>
          </w:p>
        </w:tc>
        <w:tc>
          <w:tcPr>
            <w:tcW w:w="3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(13 )</w:t>
            </w:r>
          </w:p>
        </w:tc>
        <w:tc>
          <w:tcPr>
            <w:tcW w:w="3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(14 )</w:t>
            </w:r>
          </w:p>
        </w:tc>
      </w:tr>
      <w:tr>
        <w:trPr>
          <w:trHeight w:val="24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Weighted average common stock outstanding – basic</w:t>
            </w:r>
          </w:p>
        </w:tc>
        <w:tc>
          <w:tcPr>
            <w:tcW w:w="8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59,806</w:t>
            </w:r>
          </w:p>
        </w:tc>
        <w:tc>
          <w:tcPr>
            <w:tcW w:w="320" w:type="dxa"/>
            <w:vAlign w:val="bottom"/>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60,202</w:t>
            </w:r>
          </w:p>
        </w:tc>
        <w:tc>
          <w:tcPr>
            <w:tcW w:w="3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59,892</w:t>
            </w:r>
          </w:p>
        </w:tc>
        <w:tc>
          <w:tcPr>
            <w:tcW w:w="3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60,188</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Dilutive effect of stock options and restricted stock units</w:t>
            </w: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20"/>
                <w:szCs w:val="20"/>
                <w:color w:val="auto"/>
              </w:rPr>
            </w:pPr>
          </w:p>
        </w:tc>
      </w:tr>
      <w:tr>
        <w:trPr>
          <w:trHeight w:val="276"/>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Weighted average common stock outstanding – diluted</w:t>
            </w:r>
          </w:p>
        </w:tc>
        <w:tc>
          <w:tcPr>
            <w:tcW w:w="82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60,085</w:t>
            </w:r>
          </w:p>
        </w:tc>
        <w:tc>
          <w:tcPr>
            <w:tcW w:w="3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60,467</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60,179</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60,465</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30"/>
        </w:trPr>
        <w:tc>
          <w:tcPr>
            <w:tcW w:w="4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5"/>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per share attributable to Kirby common</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Basic</w:t>
            </w: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320" w:type="dxa"/>
            <w:vAlign w:val="bottom"/>
          </w:tcPr>
          <w:p>
            <w:pPr>
              <w:spacing w:after="0"/>
              <w:rPr>
                <w:sz w:val="20"/>
                <w:szCs w:val="20"/>
                <w:color w:val="auto"/>
              </w:rPr>
            </w:pPr>
          </w:p>
        </w:tc>
        <w:tc>
          <w:tcPr>
            <w:tcW w:w="82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3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4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0.95</w:t>
            </w:r>
          </w:p>
        </w:tc>
        <w:tc>
          <w:tcPr>
            <w:tcW w:w="3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3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-2116455</wp:posOffset>
            </wp:positionV>
            <wp:extent cx="85725"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-2116455</wp:posOffset>
            </wp:positionV>
            <wp:extent cx="85725"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-2116455</wp:posOffset>
            </wp:positionV>
            <wp:extent cx="8572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-2116455</wp:posOffset>
            </wp:positionV>
            <wp:extent cx="85725"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-830580</wp:posOffset>
            </wp:positionV>
            <wp:extent cx="3249295"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49295" cy="17970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857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Certain outstanding options to purchase approximately 0.3 million and 0.4 million shares of common stock were excluded in the computation of diluted earnings per share as of June 30, 2023 and 2022, respectively, as such stock options would have been antidilutive. Certain outstanding RSUs to convert to 12,000 shares of common stock were also excluded in the computation of diluted earnings per share as of June 30, 2022 as such RSUs would have been antidilutive. There were no antidilutive RSUs as of June 30,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Inventories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7620" w:type="dxa"/>
            <w:vAlign w:val="bottom"/>
          </w:tcPr>
          <w:p>
            <w:pPr>
              <w:ind w:left="140"/>
              <w:spacing w:after="0"/>
              <w:rPr>
                <w:sz w:val="20"/>
                <w:szCs w:val="20"/>
                <w:color w:val="auto"/>
              </w:rPr>
            </w:pPr>
            <w:r>
              <w:rPr>
                <w:rFonts w:ascii="Arial" w:cs="Arial" w:eastAsia="Arial" w:hAnsi="Arial"/>
                <w:sz w:val="18"/>
                <w:szCs w:val="18"/>
                <w:color w:val="auto"/>
              </w:rPr>
              <w:t>The following table presents the details of inventories – net (in thousands):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2"/>
        </w:trPr>
        <w:tc>
          <w:tcPr>
            <w:tcW w:w="4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24"/>
                <w:szCs w:val="24"/>
                <w:color w:val="auto"/>
              </w:rPr>
            </w:pPr>
          </w:p>
        </w:tc>
      </w:tr>
      <w:tr>
        <w:trPr>
          <w:trHeight w:val="185"/>
        </w:trPr>
        <w:tc>
          <w:tcPr>
            <w:tcW w:w="4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8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391,187</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358,702</w:t>
            </w:r>
          </w:p>
        </w:tc>
        <w:tc>
          <w:tcPr>
            <w:tcW w:w="140" w:type="dxa"/>
            <w:vAlign w:val="bottom"/>
            <w:shd w:val="clear" w:color="auto" w:fill="CFF0FC"/>
          </w:tcPr>
          <w:p>
            <w:pPr>
              <w:spacing w:after="0"/>
              <w:rPr>
                <w:sz w:val="20"/>
                <w:szCs w:val="20"/>
                <w:color w:val="auto"/>
              </w:rPr>
            </w:pPr>
          </w:p>
        </w:tc>
      </w:tr>
      <w:tr>
        <w:trPr>
          <w:trHeight w:val="237"/>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113,327</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103,146</w:t>
            </w:r>
          </w:p>
        </w:tc>
        <w:tc>
          <w:tcPr>
            <w:tcW w:w="140" w:type="dxa"/>
            <w:vAlign w:val="bottom"/>
          </w:tcPr>
          <w:p>
            <w:pPr>
              <w:spacing w:after="0"/>
              <w:rPr>
                <w:sz w:val="20"/>
                <w:szCs w:val="20"/>
                <w:color w:val="auto"/>
              </w:rPr>
            </w:pPr>
          </w:p>
        </w:tc>
      </w:tr>
      <w:tr>
        <w:trPr>
          <w:trHeight w:val="277"/>
        </w:trPr>
        <w:tc>
          <w:tcPr>
            <w:tcW w:w="420" w:type="dxa"/>
            <w:vAlign w:val="bottom"/>
            <w:tcBorders>
              <w:bottom w:val="single" w:sz="8" w:color="CFF0FC"/>
            </w:tcBorders>
            <w:shd w:val="clear" w:color="auto" w:fill="CFF0FC"/>
          </w:tcPr>
          <w:p>
            <w:pPr>
              <w:spacing w:after="0"/>
              <w:rPr>
                <w:sz w:val="24"/>
                <w:szCs w:val="24"/>
                <w:color w:val="auto"/>
              </w:rPr>
            </w:pPr>
          </w:p>
        </w:tc>
        <w:tc>
          <w:tcPr>
            <w:tcW w:w="76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504,514</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461,848</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19"/>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9"/>
              </w:rPr>
              <w:t>(11)</w:t>
            </w:r>
          </w:p>
        </w:tc>
        <w:tc>
          <w:tcPr>
            <w:tcW w:w="7620" w:type="dxa"/>
            <w:vAlign w:val="bottom"/>
          </w:tcPr>
          <w:p>
            <w:pPr>
              <w:ind w:left="100"/>
              <w:spacing w:after="0"/>
              <w:rPr>
                <w:sz w:val="20"/>
                <w:szCs w:val="20"/>
                <w:color w:val="auto"/>
              </w:rPr>
            </w:pPr>
            <w:r>
              <w:rPr>
                <w:rFonts w:ascii="Arial" w:cs="Arial" w:eastAsia="Arial" w:hAnsi="Arial"/>
                <w:sz w:val="18"/>
                <w:szCs w:val="18"/>
                <w:b w:val="1"/>
                <w:bCs w:val="1"/>
                <w:color w:val="auto"/>
              </w:rPr>
              <w:t>Retirement Plans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-299720</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-281940</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-299720</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-281940</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43"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46"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2023.</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ind w:firstLine="562"/>
        <w:spacing w:after="0" w:line="257" w:lineRule="auto"/>
        <w:rPr>
          <w:sz w:val="20"/>
          <w:szCs w:val="20"/>
          <w:color w:val="auto"/>
        </w:rPr>
      </w:pPr>
      <w:r>
        <w:rPr>
          <w:rFonts w:ascii="Arial" w:cs="Arial" w:eastAsia="Arial" w:hAnsi="Arial"/>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of $7.7 million to the Higman pension plan during the six months ended June 30, 2023. The Company expects to make additional contributions of $0.4 million during the remainder of 2023.</w:t>
      </w:r>
    </w:p>
    <w:p>
      <w:pPr>
        <w:spacing w:after="0" w:line="161"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The Company sponsors an unfunded defined benefit health care plan that provides limited postretirement medical benefits to employees who meet minimum age and service requirements, and to eligible dependents.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net periodic benefit cost for the Company’s defined benefit plans were as follows (in thousands):</w:t>
      </w:r>
    </w:p>
    <w:p>
      <w:pPr>
        <w:spacing w:after="0" w:line="41"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15240</wp:posOffset>
            </wp:positionV>
            <wp:extent cx="40208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0208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28" w:lineRule="exact"/>
        <w:rPr>
          <w:sz w:val="20"/>
          <w:szCs w:val="20"/>
          <w:color w:val="auto"/>
        </w:rPr>
      </w:pPr>
    </w:p>
    <w:p>
      <w:pPr>
        <w:jc w:val="center"/>
        <w:ind w:left="4660"/>
        <w:spacing w:after="0"/>
        <w:rPr>
          <w:sz w:val="20"/>
          <w:szCs w:val="20"/>
          <w:color w:val="auto"/>
        </w:rPr>
      </w:pPr>
      <w:r>
        <w:rPr>
          <w:rFonts w:ascii="Arial" w:cs="Arial" w:eastAsia="Arial" w:hAnsi="Arial"/>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15240</wp:posOffset>
            </wp:positionV>
            <wp:extent cx="19113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8" w:lineRule="exact"/>
        <w:rPr>
          <w:sz w:val="20"/>
          <w:szCs w:val="20"/>
          <w:color w:val="auto"/>
        </w:rPr>
      </w:pPr>
    </w:p>
    <w:p>
      <w:pPr>
        <w:jc w:val="center"/>
        <w:ind w:left="466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22225</wp:posOffset>
            </wp:positionV>
            <wp:extent cx="19113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 w:lineRule="exact"/>
        <w:rPr>
          <w:sz w:val="20"/>
          <w:szCs w:val="20"/>
          <w:color w:val="auto"/>
        </w:rPr>
      </w:pPr>
    </w:p>
    <w:p>
      <w:pPr>
        <w:ind w:left="5300"/>
        <w:spacing w:after="0"/>
        <w:tabs>
          <w:tab w:leader="none" w:pos="694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15240</wp:posOffset>
            </wp:positionV>
            <wp:extent cx="191198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8" w:lineRule="exact"/>
        <w:rPr>
          <w:sz w:val="20"/>
          <w:szCs w:val="20"/>
          <w:color w:val="auto"/>
        </w:rPr>
      </w:pPr>
    </w:p>
    <w:p>
      <w:pPr>
        <w:jc w:val="center"/>
        <w:ind w:right="66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22225</wp:posOffset>
            </wp:positionV>
            <wp:extent cx="19119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20" w:lineRule="exact"/>
        <w:rPr>
          <w:sz w:val="20"/>
          <w:szCs w:val="20"/>
          <w:color w:val="auto"/>
        </w:rPr>
      </w:pPr>
    </w:p>
    <w:p>
      <w:pPr>
        <w:spacing w:after="0"/>
        <w:tabs>
          <w:tab w:leader="none" w:pos="164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35" w:lineRule="exact"/>
        <w:rPr>
          <w:sz w:val="20"/>
          <w:szCs w:val="20"/>
          <w:color w:val="auto"/>
        </w:rPr>
      </w:pPr>
    </w:p>
    <w:p>
      <w:pPr>
        <w:sectPr>
          <w:pgSz w:w="11900" w:h="16838" w:orient="portrait"/>
          <w:cols w:equalWidth="0" w:num="2">
            <w:col w:w="7900" w:space="720"/>
            <w:col w:w="2620"/>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7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4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956</w:t>
            </w:r>
          </w:p>
        </w:tc>
        <w:tc>
          <w:tcPr>
            <w:tcW w:w="3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1,658</w:t>
            </w:r>
          </w:p>
        </w:tc>
        <w:tc>
          <w:tcPr>
            <w:tcW w:w="32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cost</w:t>
            </w: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4,572</w:t>
            </w:r>
          </w:p>
        </w:tc>
        <w:tc>
          <w:tcPr>
            <w:tcW w:w="3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w:t>
            </w:r>
          </w:p>
        </w:tc>
        <w:tc>
          <w:tcPr>
            <w:tcW w:w="3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4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(5,732 )</w:t>
            </w:r>
          </w:p>
        </w:tc>
        <w:tc>
          <w:tcPr>
            <w:tcW w:w="4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(7,154 )</w:t>
            </w:r>
          </w:p>
        </w:tc>
        <w:tc>
          <w:tcPr>
            <w:tcW w:w="6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Amortization of actuarial loss</w:t>
            </w: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4780" w:type="dxa"/>
            <w:vAlign w:val="bottom"/>
          </w:tcPr>
          <w:p>
            <w:pPr>
              <w:ind w:left="380"/>
              <w:spacing w:after="0"/>
              <w:rPr>
                <w:sz w:val="20"/>
                <w:szCs w:val="20"/>
                <w:color w:val="auto"/>
              </w:rPr>
            </w:pPr>
            <w:r>
              <w:rPr>
                <w:rFonts w:ascii="Arial" w:cs="Arial" w:eastAsia="Arial" w:hAnsi="Arial"/>
                <w:sz w:val="18"/>
                <w:szCs w:val="18"/>
                <w:color w:val="auto"/>
              </w:rPr>
              <w:t>Net periodic benefit cost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(204 )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(1,724 )</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-187960</wp:posOffset>
            </wp:positionV>
            <wp:extent cx="85725"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85725"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85725"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Pension Benefits</w:t>
            </w: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Pension Plans</w:t>
            </w:r>
          </w:p>
        </w:tc>
        <w:tc>
          <w:tcPr>
            <w:tcW w:w="9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SERP</w:t>
            </w: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1,848</w:t>
            </w:r>
          </w:p>
        </w:tc>
        <w:tc>
          <w:tcPr>
            <w:tcW w:w="3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3,269</w:t>
            </w:r>
          </w:p>
        </w:tc>
        <w:tc>
          <w:tcPr>
            <w:tcW w:w="3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9,178</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7,362</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89"/>
              </w:rPr>
              <w:t>21</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79"/>
              </w:rPr>
              <w:t>15</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(11,455 )</w:t>
            </w:r>
          </w:p>
        </w:tc>
        <w:tc>
          <w:tcPr>
            <w:tcW w:w="4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(14,296 )</w:t>
            </w:r>
          </w:p>
        </w:tc>
        <w:tc>
          <w:tcPr>
            <w:tcW w:w="44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Amortization of actuarial loss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9"/>
              </w:rPr>
              <w:t>12</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79"/>
              </w:rPr>
              <w:t>15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4780" w:type="dxa"/>
            <w:vAlign w:val="bottom"/>
          </w:tcPr>
          <w:p>
            <w:pPr>
              <w:ind w:left="380"/>
              <w:spacing w:after="0"/>
              <w:rPr>
                <w:sz w:val="20"/>
                <w:szCs w:val="20"/>
                <w:color w:val="auto"/>
              </w:rPr>
            </w:pPr>
            <w:r>
              <w:rPr>
                <w:rFonts w:ascii="Arial" w:cs="Arial" w:eastAsia="Arial" w:hAnsi="Arial"/>
                <w:sz w:val="18"/>
                <w:szCs w:val="18"/>
                <w:color w:val="auto"/>
              </w:rPr>
              <w:t>Net periodic benefit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 xml:space="preserve">(429 </w:t>
            </w:r>
            <w:r>
              <w:rPr>
                <w:rFonts w:ascii="Arial" w:cs="Arial" w:eastAsia="Arial" w:hAnsi="Arial"/>
                <w:sz w:val="18"/>
                <w:szCs w:val="18"/>
                <w:color w:val="auto"/>
                <w:highlight w:val="white"/>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(3,423 )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89"/>
              </w:rPr>
              <w:t>33</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79"/>
              </w:rPr>
              <w:t>30</w:t>
            </w:r>
          </w:p>
        </w:tc>
        <w:tc>
          <w:tcPr>
            <w:tcW w:w="14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-187960</wp:posOffset>
            </wp:positionV>
            <wp:extent cx="85725"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85725"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net periodic benefit cost for the Company’s postretirement benefit plan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Other Postretirement Benefits</w:t>
            </w:r>
          </w:p>
        </w:tc>
        <w:tc>
          <w:tcPr>
            <w:tcW w:w="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Postretirement Welfare Plan</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tcBorders>
              <w:bottom w:val="single" w:sz="8" w:color="auto"/>
            </w:tcBorders>
            <w:gridSpan w:val="5"/>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960" w:type="dxa"/>
            <w:vAlign w:val="bottom"/>
          </w:tcPr>
          <w:p>
            <w:pPr>
              <w:jc w:val="right"/>
              <w:ind w:right="781"/>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r>
      <w:tr>
        <w:trPr>
          <w:trHeight w:val="24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actuarial gain</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(86 )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(99 )</w:t>
            </w:r>
          </w:p>
        </w:tc>
        <w:tc>
          <w:tcPr>
            <w:tcW w:w="9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(172 )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(197 )</w:t>
            </w:r>
          </w:p>
        </w:tc>
      </w:tr>
      <w:tr>
        <w:trPr>
          <w:trHeight w:val="20"/>
        </w:trPr>
        <w:tc>
          <w:tcPr>
            <w:tcW w:w="47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4780" w:type="dxa"/>
            <w:vAlign w:val="bottom"/>
          </w:tcPr>
          <w:p>
            <w:pPr>
              <w:ind w:left="380"/>
              <w:spacing w:after="0"/>
              <w:rPr>
                <w:sz w:val="20"/>
                <w:szCs w:val="20"/>
                <w:color w:val="auto"/>
              </w:rPr>
            </w:pPr>
            <w:r>
              <w:rPr>
                <w:rFonts w:ascii="Arial" w:cs="Arial" w:eastAsia="Arial" w:hAnsi="Arial"/>
                <w:sz w:val="18"/>
                <w:szCs w:val="18"/>
                <w:color w:val="auto"/>
              </w:rPr>
              <w:t>Net periodic benefit cost</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(81 )</w:t>
            </w:r>
          </w:p>
        </w:tc>
        <w:tc>
          <w:tcPr>
            <w:tcW w:w="960" w:type="dxa"/>
            <w:vAlign w:val="bottom"/>
          </w:tcPr>
          <w:p>
            <w:pPr>
              <w:jc w:val="right"/>
              <w:ind w:right="781"/>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(95 )</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(161 )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(189 )</w:t>
            </w:r>
          </w:p>
        </w:tc>
      </w:tr>
      <w:tr>
        <w:trPr>
          <w:trHeight w:val="20"/>
        </w:trPr>
        <w:tc>
          <w:tcPr>
            <w:tcW w:w="4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-187960</wp:posOffset>
            </wp:positionV>
            <wp:extent cx="8572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8572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85725"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78"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Company’s changes in other comprehensive income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2023</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180" w:type="dxa"/>
            <w:vAlign w:val="bottom"/>
            <w:gridSpan w:val="2"/>
          </w:tcPr>
          <w:p>
            <w:pPr>
              <w:jc w:val="center"/>
              <w:ind w:right="370"/>
              <w:spacing w:after="0" w:line="133" w:lineRule="exact"/>
              <w:rPr>
                <w:sz w:val="20"/>
                <w:szCs w:val="20"/>
                <w:color w:val="auto"/>
              </w:rPr>
            </w:pPr>
            <w:r>
              <w:rPr>
                <w:rFonts w:ascii="Arial" w:cs="Arial" w:eastAsia="Arial" w:hAnsi="Arial"/>
                <w:sz w:val="14"/>
                <w:szCs w:val="14"/>
                <w:b w:val="1"/>
                <w:bCs w:val="1"/>
                <w:color w:val="auto"/>
                <w:w w:val="93"/>
              </w:rPr>
              <w:t>Income Tax</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180" w:type="dxa"/>
            <w:vAlign w:val="bottom"/>
            <w:gridSpan w:val="2"/>
            <w:vMerge w:val="restart"/>
          </w:tcPr>
          <w:p>
            <w:pPr>
              <w:jc w:val="center"/>
              <w:ind w:right="350"/>
              <w:spacing w:after="0"/>
              <w:rPr>
                <w:sz w:val="20"/>
                <w:szCs w:val="20"/>
                <w:color w:val="auto"/>
              </w:rPr>
            </w:pPr>
            <w:r>
              <w:rPr>
                <w:rFonts w:ascii="Arial" w:cs="Arial" w:eastAsia="Arial" w:hAnsi="Arial"/>
                <w:sz w:val="14"/>
                <w:szCs w:val="14"/>
                <w:b w:val="1"/>
                <w:bCs w:val="1"/>
                <w:color w:val="auto"/>
                <w:w w:val="90"/>
              </w:rPr>
              <w:t>Income Tax</w:t>
            </w:r>
          </w:p>
        </w:tc>
        <w:tc>
          <w:tcPr>
            <w:tcW w:w="180" w:type="dxa"/>
            <w:vAlign w:val="bottom"/>
          </w:tcPr>
          <w:p>
            <w:pPr>
              <w:spacing w:after="0"/>
              <w:rPr>
                <w:sz w:val="11"/>
                <w:szCs w:val="11"/>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70"/>
              <w:spacing w:after="0" w:line="149" w:lineRule="exact"/>
              <w:rPr>
                <w:sz w:val="20"/>
                <w:szCs w:val="20"/>
                <w:color w:val="auto"/>
              </w:rPr>
            </w:pPr>
            <w:r>
              <w:rPr>
                <w:rFonts w:ascii="Arial" w:cs="Arial" w:eastAsia="Arial" w:hAnsi="Arial"/>
                <w:sz w:val="14"/>
                <w:szCs w:val="14"/>
                <w:b w:val="1"/>
                <w:bCs w:val="1"/>
                <w:color w:val="auto"/>
                <w:w w:val="92"/>
              </w:rPr>
              <w:t>(Provision)</w:t>
            </w:r>
          </w:p>
        </w:tc>
        <w:tc>
          <w:tcPr>
            <w:tcW w:w="100" w:type="dxa"/>
            <w:vAlign w:val="bottom"/>
          </w:tcPr>
          <w:p>
            <w:pPr>
              <w:spacing w:after="0"/>
              <w:rPr>
                <w:sz w:val="12"/>
                <w:szCs w:val="12"/>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Net Amount</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8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0"/>
              </w:rPr>
              <w:t>Provision</w:t>
            </w:r>
          </w:p>
        </w:tc>
        <w:tc>
          <w:tcPr>
            <w:tcW w:w="180" w:type="dxa"/>
            <w:vAlign w:val="bottom"/>
          </w:tcPr>
          <w:p>
            <w:pPr>
              <w:spacing w:after="0"/>
              <w:rPr>
                <w:sz w:val="16"/>
                <w:szCs w:val="16"/>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Amortization of net actuarial (gain)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(11 )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Actuarial gains</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(446 )</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(1,371 )</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(611 )</w:t>
            </w:r>
          </w:p>
        </w:tc>
        <w:tc>
          <w:tcPr>
            <w:tcW w:w="120" w:type="dxa"/>
            <w:vAlign w:val="bottom"/>
          </w:tcPr>
          <w:p>
            <w:pPr>
              <w:spacing w:after="0"/>
              <w:rPr>
                <w:sz w:val="20"/>
                <w:szCs w:val="20"/>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(611 )</w:t>
            </w:r>
          </w:p>
        </w:tc>
        <w:tc>
          <w:tcPr>
            <w:tcW w:w="0" w:type="dxa"/>
            <w:vAlign w:val="bottom"/>
          </w:tcPr>
          <w:p>
            <w:pPr>
              <w:spacing w:after="0"/>
              <w:rPr>
                <w:sz w:val="1"/>
                <w:szCs w:val="1"/>
                <w:color w:val="auto"/>
              </w:rPr>
            </w:pPr>
          </w:p>
        </w:tc>
      </w:tr>
      <w:tr>
        <w:trPr>
          <w:trHeight w:val="276"/>
        </w:trPr>
        <w:tc>
          <w:tcPr>
            <w:tcW w:w="3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4,902</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38"/>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-462280</wp:posOffset>
            </wp:positionV>
            <wp:extent cx="857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-445135</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-462280</wp:posOffset>
            </wp:positionV>
            <wp:extent cx="85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-445135</wp:posOffset>
            </wp:positionV>
            <wp:extent cx="857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-462280</wp:posOffset>
            </wp:positionV>
            <wp:extent cx="857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-445135</wp:posOffset>
            </wp:positionV>
            <wp:extent cx="857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-462280</wp:posOffset>
            </wp:positionV>
            <wp:extent cx="857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-445135</wp:posOffset>
            </wp:positionV>
            <wp:extent cx="857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-462280</wp:posOffset>
            </wp:positionV>
            <wp:extent cx="768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-445135</wp:posOffset>
            </wp:positionV>
            <wp:extent cx="768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-462280</wp:posOffset>
            </wp:positionV>
            <wp:extent cx="857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-445135</wp:posOffset>
            </wp:positionV>
            <wp:extent cx="857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2023</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180" w:type="dxa"/>
            <w:vAlign w:val="bottom"/>
            <w:gridSpan w:val="2"/>
          </w:tcPr>
          <w:p>
            <w:pPr>
              <w:jc w:val="center"/>
              <w:ind w:right="370"/>
              <w:spacing w:after="0" w:line="133" w:lineRule="exact"/>
              <w:rPr>
                <w:sz w:val="20"/>
                <w:szCs w:val="20"/>
                <w:color w:val="auto"/>
              </w:rPr>
            </w:pPr>
            <w:r>
              <w:rPr>
                <w:rFonts w:ascii="Arial" w:cs="Arial" w:eastAsia="Arial" w:hAnsi="Arial"/>
                <w:sz w:val="14"/>
                <w:szCs w:val="14"/>
                <w:b w:val="1"/>
                <w:bCs w:val="1"/>
                <w:color w:val="auto"/>
                <w:w w:val="93"/>
              </w:rPr>
              <w:t>Income Tax</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180" w:type="dxa"/>
            <w:vAlign w:val="bottom"/>
            <w:gridSpan w:val="2"/>
            <w:vMerge w:val="restart"/>
          </w:tcPr>
          <w:p>
            <w:pPr>
              <w:jc w:val="center"/>
              <w:ind w:right="350"/>
              <w:spacing w:after="0"/>
              <w:rPr>
                <w:sz w:val="20"/>
                <w:szCs w:val="20"/>
                <w:color w:val="auto"/>
              </w:rPr>
            </w:pPr>
            <w:r>
              <w:rPr>
                <w:rFonts w:ascii="Arial" w:cs="Arial" w:eastAsia="Arial" w:hAnsi="Arial"/>
                <w:sz w:val="14"/>
                <w:szCs w:val="14"/>
                <w:b w:val="1"/>
                <w:bCs w:val="1"/>
                <w:color w:val="auto"/>
                <w:w w:val="90"/>
              </w:rPr>
              <w:t>Income Tax</w:t>
            </w:r>
          </w:p>
        </w:tc>
        <w:tc>
          <w:tcPr>
            <w:tcW w:w="180" w:type="dxa"/>
            <w:vAlign w:val="bottom"/>
          </w:tcPr>
          <w:p>
            <w:pPr>
              <w:spacing w:after="0"/>
              <w:rPr>
                <w:sz w:val="11"/>
                <w:szCs w:val="11"/>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70"/>
              <w:spacing w:after="0" w:line="149" w:lineRule="exact"/>
              <w:rPr>
                <w:sz w:val="20"/>
                <w:szCs w:val="20"/>
                <w:color w:val="auto"/>
              </w:rPr>
            </w:pPr>
            <w:r>
              <w:rPr>
                <w:rFonts w:ascii="Arial" w:cs="Arial" w:eastAsia="Arial" w:hAnsi="Arial"/>
                <w:sz w:val="14"/>
                <w:szCs w:val="14"/>
                <w:b w:val="1"/>
                <w:bCs w:val="1"/>
                <w:color w:val="auto"/>
                <w:w w:val="92"/>
              </w:rPr>
              <w:t>(Provision)</w:t>
            </w:r>
          </w:p>
        </w:tc>
        <w:tc>
          <w:tcPr>
            <w:tcW w:w="100" w:type="dxa"/>
            <w:vAlign w:val="bottom"/>
          </w:tcPr>
          <w:p>
            <w:pPr>
              <w:spacing w:after="0"/>
              <w:rPr>
                <w:sz w:val="12"/>
                <w:szCs w:val="12"/>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Net Amount</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8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0"/>
              </w:rPr>
              <w:t>Provision</w:t>
            </w:r>
          </w:p>
        </w:tc>
        <w:tc>
          <w:tcPr>
            <w:tcW w:w="180" w:type="dxa"/>
            <w:vAlign w:val="bottom"/>
          </w:tcPr>
          <w:p>
            <w:pPr>
              <w:spacing w:after="0"/>
              <w:rPr>
                <w:sz w:val="16"/>
                <w:szCs w:val="16"/>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Amortization of net actuarial (gain)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(17 )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Actuarial gains</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(446 )</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(1,371 )</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(135 )</w:t>
            </w:r>
          </w:p>
        </w:tc>
        <w:tc>
          <w:tcPr>
            <w:tcW w:w="120" w:type="dxa"/>
            <w:vAlign w:val="bottom"/>
          </w:tcPr>
          <w:p>
            <w:pPr>
              <w:spacing w:after="0"/>
              <w:rPr>
                <w:sz w:val="20"/>
                <w:szCs w:val="20"/>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7"/>
        </w:trPr>
        <w:tc>
          <w:tcPr>
            <w:tcW w:w="3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5,397</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-25400</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-8255</wp:posOffset>
            </wp:positionV>
            <wp:extent cx="857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-25400</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857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857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857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768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8" w:lineRule="exact"/>
        <w:rPr>
          <w:sz w:val="20"/>
          <w:szCs w:val="20"/>
          <w:color w:val="auto"/>
        </w:rPr>
      </w:pPr>
    </w:p>
    <w:p>
      <w:pPr>
        <w:ind w:left="880" w:hanging="303"/>
        <w:spacing w:after="0"/>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Actuarial gains are amortized into other income (expense). (See Note 11, Retirement Plans)</w:t>
      </w:r>
    </w:p>
    <w:p>
      <w:pPr>
        <w:spacing w:after="0" w:line="194" w:lineRule="exact"/>
        <w:rPr>
          <w:rFonts w:ascii="Arial" w:cs="Arial" w:eastAsia="Arial" w:hAnsi="Arial"/>
          <w:sz w:val="18"/>
          <w:szCs w:val="18"/>
          <w:color w:val="auto"/>
        </w:rPr>
      </w:pPr>
    </w:p>
    <w:p>
      <w:pPr>
        <w:ind w:left="480" w:hanging="472"/>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189"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6"/>
          <w:szCs w:val="16"/>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United States Coast Guard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33"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60"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$24.0 million at June 30, 2023, including $9.4 million in letters of credit and $14.6 million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143"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89"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5" w:name="page16"/>
    <w:bookmarkEnd w:id="15"/>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562"/>
        <w:spacing w:after="0" w:line="217" w:lineRule="exact"/>
        <w:rPr>
          <w:sz w:val="20"/>
          <w:szCs w:val="20"/>
          <w:color w:val="auto"/>
        </w:rPr>
      </w:pPr>
      <w:r>
        <w:rPr>
          <w:rFonts w:ascii="Arial" w:cs="Arial" w:eastAsia="Arial" w:hAnsi="Arial"/>
          <w:sz w:val="17"/>
          <w:szCs w:val="17"/>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2022. Forward-looking statements are based on currently available information and the Company assumes no obligation to update any such statements. For purposes of Management’s Discussion, all net earnings per share attributable to Kirby common stockholders are “diluted earnings per share.”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KDS,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and railroad customers.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key operating results of the Company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777,248</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697,964</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1,527,692</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1,308,746</w:t>
            </w:r>
          </w:p>
        </w:tc>
        <w:tc>
          <w:tcPr>
            <w:tcW w:w="140" w:type="dxa"/>
            <w:vAlign w:val="bottom"/>
            <w:shd w:val="clear" w:color="auto" w:fill="CFF0FC"/>
          </w:tcPr>
          <w:p>
            <w:pPr>
              <w:spacing w:after="0"/>
              <w:rPr>
                <w:sz w:val="20"/>
                <w:szCs w:val="20"/>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Net earnings attributable to Kirby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57,367</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28,457</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98,065</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45,891</w:t>
            </w:r>
          </w:p>
        </w:tc>
        <w:tc>
          <w:tcPr>
            <w:tcW w:w="140" w:type="dxa"/>
            <w:vAlign w:val="bottom"/>
          </w:tcPr>
          <w:p>
            <w:pPr>
              <w:spacing w:after="0"/>
              <w:rPr>
                <w:sz w:val="20"/>
                <w:szCs w:val="20"/>
                <w:color w:val="auto"/>
              </w:rPr>
            </w:pPr>
          </w:p>
        </w:tc>
      </w:tr>
      <w:tr>
        <w:trPr>
          <w:trHeight w:val="221"/>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per share attributable to Kirby common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 diluted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0.95</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227,949</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95,644</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171,245</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79,059</w:t>
            </w:r>
          </w:p>
        </w:tc>
        <w:tc>
          <w:tcPr>
            <w:tcW w:w="140" w:type="dxa"/>
            <w:vAlign w:val="bottom"/>
            <w:shd w:val="clear" w:color="auto" w:fill="CFF0FC"/>
          </w:tcPr>
          <w:p>
            <w:pPr>
              <w:spacing w:after="0"/>
              <w:rPr>
                <w:sz w:val="21"/>
                <w:szCs w:val="21"/>
                <w:color w:val="auto"/>
              </w:rPr>
            </w:pPr>
          </w:p>
        </w:tc>
      </w:tr>
    </w:tbl>
    <w:p>
      <w:pPr>
        <w:spacing w:after="0" w:line="175"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The 2023 first quarter included $3.0 million before taxes, $2.4 million after taxes, or $0.04 per share of costs related to strategic review and shareholder engagement and $2.7 million before taxes, $2.2 million after taxes, or $0.04 per share of other income associated with the interest on the refund from the IRS. The 2022 second quarter included $1.5 million before taxes, $1.3 million after taxes, or $0.02 per share of severance expense.</w:t>
      </w:r>
    </w:p>
    <w:p>
      <w:pPr>
        <w:spacing w:after="0" w:line="125"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Cash provided by operating activities for the 2023 first six months increased in comparison to the 2022 first six months primarily due to higher business activity levels and the receipt of the IRS refund. For the 2023 first six months, capital expenditures of $171.2 million included $128.2 million in KMT and $43.0 million in KDS and corporate, each more fully described under Cash Flow and Capital Expenditures below.</w:t>
      </w:r>
    </w:p>
    <w:p>
      <w:pPr>
        <w:spacing w:after="0" w:line="12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The Company projects that capital expenditures for 2023 will be in the $300 million to $380 million range. Approximately $240 million is primarily for maintenance capital and improvements to existing marine equipment, including ballast water treatment systems on some coastal vessels, and facility improvements. The 2023 construction program also consists of growth capital of up to approximately $40 million for the construction of specialized inland equipment, and of up to approximately $100 million for new electric fracturing equipment.</w:t>
      </w:r>
    </w:p>
    <w:p>
      <w:pPr>
        <w:spacing w:after="0" w:line="160"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The Company’s debt-to-capitalization ratio decreased to 24.3% at June 30, 2023 from 26.2% at December 31, 2022, primarily due an increase in total equity, primarily from net earnings attributable to Kirby of $98.1 million, and a reduction of debt outstanding of $81.2 million, partially offset by treasury stock purchases of $37.6 million. The Company’s debt outstanding as of June 30, 2023 and December 31, 2022 is detailed in Long-Term Financing below.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Marine Transportation</w:t>
      </w:r>
    </w:p>
    <w:p>
      <w:pPr>
        <w:spacing w:after="0" w:line="202"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For both the 2023 second quarter and first six months, KMT generated 55% of the Company’s revenues compared to 58% for both the 2022 second quarter and first six months.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marine transportation fleet:</w:t>
      </w:r>
    </w:p>
    <w:p>
      <w:pPr>
        <w:spacing w:after="0" w:line="257"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2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Inland tank barges:</w:t>
            </w:r>
          </w:p>
        </w:tc>
        <w:tc>
          <w:tcPr>
            <w:tcW w:w="90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8920" w:type="dxa"/>
            <w:vAlign w:val="bottom"/>
            <w:gridSpan w:val="2"/>
          </w:tcPr>
          <w:p>
            <w:pPr>
              <w:ind w:left="200"/>
              <w:spacing w:after="0"/>
              <w:rPr>
                <w:sz w:val="20"/>
                <w:szCs w:val="20"/>
                <w:color w:val="auto"/>
              </w:rPr>
            </w:pPr>
            <w:r>
              <w:rPr>
                <w:rFonts w:ascii="Arial" w:cs="Arial" w:eastAsia="Arial" w:hAnsi="Arial"/>
                <w:sz w:val="18"/>
                <w:szCs w:val="18"/>
                <w:color w:val="auto"/>
              </w:rPr>
              <w:t>Owned</w:t>
            </w:r>
          </w:p>
        </w:tc>
        <w:tc>
          <w:tcPr>
            <w:tcW w:w="480" w:type="dxa"/>
            <w:vAlign w:val="bottom"/>
          </w:tcPr>
          <w:p>
            <w:pPr>
              <w:jc w:val="right"/>
              <w:spacing w:after="0"/>
              <w:rPr>
                <w:sz w:val="20"/>
                <w:szCs w:val="20"/>
                <w:color w:val="auto"/>
              </w:rPr>
            </w:pPr>
            <w:r>
              <w:rPr>
                <w:rFonts w:ascii="Arial" w:cs="Arial" w:eastAsia="Arial" w:hAnsi="Arial"/>
                <w:sz w:val="18"/>
                <w:szCs w:val="18"/>
                <w:color w:val="auto"/>
              </w:rPr>
              <w:t>1,007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990</w:t>
            </w:r>
          </w:p>
        </w:tc>
        <w:tc>
          <w:tcPr>
            <w:tcW w:w="140" w:type="dxa"/>
            <w:vAlign w:val="bottom"/>
          </w:tcPr>
          <w:p>
            <w:pPr>
              <w:spacing w:after="0"/>
              <w:rPr>
                <w:sz w:val="20"/>
                <w:szCs w:val="20"/>
                <w:color w:val="auto"/>
              </w:rPr>
            </w:pPr>
          </w:p>
        </w:tc>
      </w:tr>
      <w:tr>
        <w:trPr>
          <w:trHeight w:val="243"/>
        </w:trPr>
        <w:tc>
          <w:tcPr>
            <w:tcW w:w="8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Leased</w:t>
            </w:r>
          </w:p>
        </w:tc>
        <w:tc>
          <w:tcPr>
            <w:tcW w:w="9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8020" w:type="dxa"/>
            <w:vAlign w:val="bottom"/>
          </w:tcPr>
          <w:p>
            <w:pPr>
              <w:ind w:left="20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3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0"/>
                <w:szCs w:val="20"/>
                <w:color w:val="auto"/>
              </w:rPr>
            </w:pPr>
          </w:p>
        </w:tc>
      </w:tr>
      <w:tr>
        <w:trPr>
          <w:trHeight w:val="20"/>
        </w:trPr>
        <w:tc>
          <w:tcPr>
            <w:tcW w:w="89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8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Barrel capacity (in millions)</w:t>
            </w:r>
          </w:p>
        </w:tc>
        <w:tc>
          <w:tcPr>
            <w:tcW w:w="9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320" w:type="dxa"/>
            <w:vAlign w:val="bottom"/>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FF0FC"/>
          </w:tcPr>
          <w:p>
            <w:pPr>
              <w:spacing w:after="0"/>
              <w:rPr>
                <w:sz w:val="19"/>
                <w:szCs w:val="19"/>
                <w:color w:val="auto"/>
              </w:rPr>
            </w:pPr>
          </w:p>
        </w:tc>
      </w:tr>
      <w:tr>
        <w:trPr>
          <w:trHeight w:val="243"/>
        </w:trPr>
        <w:tc>
          <w:tcPr>
            <w:tcW w:w="892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89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Active inland towboats (quarter average):</w:t>
            </w:r>
          </w:p>
        </w:tc>
        <w:tc>
          <w:tcPr>
            <w:tcW w:w="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920" w:type="dxa"/>
            <w:vAlign w:val="bottom"/>
            <w:gridSpan w:val="2"/>
          </w:tcPr>
          <w:p>
            <w:pPr>
              <w:ind w:left="200"/>
              <w:spacing w:after="0"/>
              <w:rPr>
                <w:sz w:val="20"/>
                <w:szCs w:val="20"/>
                <w:color w:val="auto"/>
              </w:rPr>
            </w:pPr>
            <w:r>
              <w:rPr>
                <w:rFonts w:ascii="Arial" w:cs="Arial" w:eastAsia="Arial" w:hAnsi="Arial"/>
                <w:sz w:val="18"/>
                <w:szCs w:val="18"/>
                <w:color w:val="auto"/>
              </w:rPr>
              <w:t>Owned</w:t>
            </w:r>
          </w:p>
        </w:tc>
        <w:tc>
          <w:tcPr>
            <w:tcW w:w="480" w:type="dxa"/>
            <w:vAlign w:val="bottom"/>
          </w:tcPr>
          <w:p>
            <w:pPr>
              <w:jc w:val="right"/>
              <w:spacing w:after="0"/>
              <w:rPr>
                <w:sz w:val="20"/>
                <w:szCs w:val="20"/>
                <w:color w:val="auto"/>
              </w:rPr>
            </w:pPr>
            <w:r>
              <w:rPr>
                <w:rFonts w:ascii="Arial" w:cs="Arial" w:eastAsia="Arial" w:hAnsi="Arial"/>
                <w:sz w:val="18"/>
                <w:szCs w:val="18"/>
                <w:color w:val="auto"/>
              </w:rPr>
              <w:t>215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0"/>
                <w:szCs w:val="20"/>
                <w:color w:val="auto"/>
              </w:rPr>
            </w:pPr>
          </w:p>
        </w:tc>
      </w:tr>
      <w:tr>
        <w:trPr>
          <w:trHeight w:val="243"/>
        </w:trPr>
        <w:tc>
          <w:tcPr>
            <w:tcW w:w="8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Chartered</w:t>
            </w:r>
          </w:p>
        </w:tc>
        <w:tc>
          <w:tcPr>
            <w:tcW w:w="9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8020" w:type="dxa"/>
            <w:vAlign w:val="bottom"/>
          </w:tcPr>
          <w:p>
            <w:pPr>
              <w:ind w:left="20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20"/>
                <w:szCs w:val="20"/>
                <w:color w:val="auto"/>
              </w:rPr>
            </w:pPr>
          </w:p>
        </w:tc>
      </w:tr>
      <w:tr>
        <w:trPr>
          <w:trHeight w:val="20"/>
        </w:trPr>
        <w:tc>
          <w:tcPr>
            <w:tcW w:w="8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8920" w:type="dxa"/>
            <w:vAlign w:val="bottom"/>
            <w:gridSpan w:val="2"/>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Coastal tank barges:</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9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Owned</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21"/>
                <w:szCs w:val="21"/>
                <w:color w:val="auto"/>
              </w:rPr>
            </w:pPr>
          </w:p>
        </w:tc>
      </w:tr>
      <w:tr>
        <w:trPr>
          <w:trHeight w:val="237"/>
        </w:trPr>
        <w:tc>
          <w:tcPr>
            <w:tcW w:w="8920" w:type="dxa"/>
            <w:vAlign w:val="bottom"/>
            <w:gridSpan w:val="2"/>
          </w:tcPr>
          <w:p>
            <w:pPr>
              <w:ind w:left="200"/>
              <w:spacing w:after="0"/>
              <w:rPr>
                <w:sz w:val="20"/>
                <w:szCs w:val="20"/>
                <w:color w:val="auto"/>
              </w:rPr>
            </w:pPr>
            <w:r>
              <w:rPr>
                <w:rFonts w:ascii="Arial" w:cs="Arial" w:eastAsia="Arial" w:hAnsi="Arial"/>
                <w:sz w:val="18"/>
                <w:szCs w:val="18"/>
                <w:color w:val="auto"/>
              </w:rPr>
              <w:t>Leased</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r>
      <w:tr>
        <w:trPr>
          <w:trHeight w:val="277"/>
        </w:trPr>
        <w:tc>
          <w:tcPr>
            <w:tcW w:w="8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8920" w:type="dxa"/>
            <w:vAlign w:val="bottom"/>
            <w:gridSpan w:val="2"/>
          </w:tcPr>
          <w:p>
            <w:pPr>
              <w:ind w:left="200"/>
              <w:spacing w:after="0"/>
              <w:rPr>
                <w:sz w:val="20"/>
                <w:szCs w:val="20"/>
                <w:color w:val="auto"/>
              </w:rPr>
            </w:pPr>
            <w:r>
              <w:rPr>
                <w:rFonts w:ascii="Arial" w:cs="Arial" w:eastAsia="Arial" w:hAnsi="Arial"/>
                <w:sz w:val="18"/>
                <w:szCs w:val="18"/>
                <w:color w:val="auto"/>
              </w:rPr>
              <w:t>Barrel capacity (in millions)</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r>
      <w:tr>
        <w:trPr>
          <w:trHeight w:val="249"/>
        </w:trPr>
        <w:tc>
          <w:tcPr>
            <w:tcW w:w="8920" w:type="dxa"/>
            <w:vAlign w:val="bottom"/>
            <w:gridSpan w:val="2"/>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Coastal tugboats:</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9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Owned</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21"/>
                <w:szCs w:val="21"/>
                <w:color w:val="auto"/>
              </w:rPr>
            </w:pPr>
          </w:p>
        </w:tc>
      </w:tr>
      <w:tr>
        <w:trPr>
          <w:trHeight w:val="237"/>
        </w:trPr>
        <w:tc>
          <w:tcPr>
            <w:tcW w:w="8920" w:type="dxa"/>
            <w:vAlign w:val="bottom"/>
            <w:gridSpan w:val="2"/>
          </w:tcPr>
          <w:p>
            <w:pPr>
              <w:ind w:left="200"/>
              <w:spacing w:after="0"/>
              <w:rPr>
                <w:sz w:val="20"/>
                <w:szCs w:val="20"/>
                <w:color w:val="auto"/>
              </w:rPr>
            </w:pPr>
            <w:r>
              <w:rPr>
                <w:rFonts w:ascii="Arial" w:cs="Arial" w:eastAsia="Arial" w:hAnsi="Arial"/>
                <w:sz w:val="18"/>
                <w:szCs w:val="18"/>
                <w:color w:val="auto"/>
              </w:rPr>
              <w:t>Chartered</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r>
      <w:tr>
        <w:trPr>
          <w:trHeight w:val="276"/>
        </w:trPr>
        <w:tc>
          <w:tcPr>
            <w:tcW w:w="8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30"/>
        </w:trPr>
        <w:tc>
          <w:tcPr>
            <w:tcW w:w="89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7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89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Offshore dry-bulk cargo barges (owned)</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1"/>
                <w:szCs w:val="21"/>
                <w:color w:val="auto"/>
              </w:rPr>
            </w:pPr>
          </w:p>
        </w:tc>
      </w:tr>
      <w:tr>
        <w:trPr>
          <w:trHeight w:val="230"/>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Offshore tugboats and docking tugboat (owned and chartered)</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-3368675</wp:posOffset>
            </wp:positionV>
            <wp:extent cx="85725"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-3368675</wp:posOffset>
            </wp:positionV>
            <wp:extent cx="85725"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-2408555</wp:posOffset>
            </wp:positionV>
            <wp:extent cx="85725"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-2408555</wp:posOffset>
            </wp:positionV>
            <wp:extent cx="85725"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-1440180</wp:posOffset>
            </wp:positionV>
            <wp:extent cx="1165860" cy="179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65860"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-480060</wp:posOffset>
            </wp:positionV>
            <wp:extent cx="1165860" cy="1803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65860" cy="180340"/>
                    </a:xfrm>
                    <a:prstGeom prst="rect">
                      <a:avLst/>
                    </a:prstGeom>
                    <a:noFill/>
                  </pic:spPr>
                </pic:pic>
              </a:graphicData>
            </a:graphic>
          </wp:anchor>
        </w:drawing>
      </w:r>
    </w:p>
    <w:p>
      <w:pPr>
        <w:spacing w:after="0" w:line="154" w:lineRule="exact"/>
        <w:rPr>
          <w:sz w:val="20"/>
          <w:szCs w:val="20"/>
          <w:color w:val="auto"/>
        </w:rPr>
      </w:pPr>
    </w:p>
    <w:p>
      <w:pPr>
        <w:jc w:val="both"/>
        <w:ind w:firstLine="569"/>
        <w:spacing w:after="0" w:line="311" w:lineRule="auto"/>
        <w:rPr>
          <w:sz w:val="20"/>
          <w:szCs w:val="20"/>
          <w:color w:val="auto"/>
        </w:rPr>
      </w:pPr>
      <w:r>
        <w:rPr>
          <w:rFonts w:ascii="Arial" w:cs="Arial" w:eastAsia="Arial" w:hAnsi="Arial"/>
          <w:sz w:val="16"/>
          <w:szCs w:val="16"/>
          <w:color w:val="auto"/>
        </w:rPr>
        <w:t>The Company also owns shifting operations and fleeting facilities for dry cargo barges and tank barges on the Houston Ship Channel and in Freeport and Port Arthur, Texas, and Lake Charles, Louisiana and a shipyard for building towboats and performing routine maintenance near the Houston Ship Channel. Further, the Company owns a two-thirds interest in Osprey Line, L.L.C., which transports project cargoes and cargo containers by barge.</w:t>
      </w:r>
    </w:p>
    <w:p>
      <w:pPr>
        <w:spacing w:after="0" w:line="12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During the 2023 first six months, the Company brought back into service 18 inland tank barges, purchased a newly constructed inland specialty tank barge, and retired 11 inland tank barges. The net result was an increase of eight inland tank barges and approximately 0.2 million barrels of capacity during the 2023 first six months.</w:t>
      </w:r>
    </w:p>
    <w:p>
      <w:pPr>
        <w:spacing w:after="0" w:line="143"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6"/>
          <w:szCs w:val="16"/>
          <w:color w:val="auto"/>
        </w:rPr>
        <w:t>KMT revenues for the 2023 second quarter and first six months increased 5% and 10%, respectively, and operating income increased 108% and 125%, respectively, compared to the 2022 second quarter and first six months. The increases for the 2023 second quarter and first six months were primarily due to higher term and spot pricing and increased tank barge utilization in the inland and coastal markets. The 2023 and 2022 first quarters were impacted by poor operating conditions including seasonal wind and fog along the Gulf Coast, flooding on the Mississippi River, and various lock closures along the Gulf Intracoastal Waterway resulting in higher delay days. Also, the 2022 first quarter was impacted by the COVID-19 Omicron variant as increased cases among the Company’s mariners led to crewing challenges, lost revenue and increased operating costs. For both the 2023 second quarter and first six months, the inland tank barge fleet contributed 82% and the coastal fleet contributed 18% of KMT revenues. For both the 2022 second quarter and first six months, the inland tank barge fleet contributed 78% and the coastal fleet contributed 22% of KMT revenues.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jc w:val="both"/>
        <w:ind w:firstLine="569"/>
        <w:spacing w:after="0" w:line="279" w:lineRule="auto"/>
        <w:rPr>
          <w:sz w:val="20"/>
          <w:szCs w:val="20"/>
          <w:color w:val="auto"/>
        </w:rPr>
      </w:pPr>
      <w:r>
        <w:rPr>
          <w:rFonts w:ascii="Arial" w:cs="Arial" w:eastAsia="Arial" w:hAnsi="Arial"/>
          <w:sz w:val="17"/>
          <w:szCs w:val="17"/>
          <w:color w:val="auto"/>
        </w:rPr>
        <w:t>Inland tank barge utilization levels averaged in the low to mid-90% range during the 2023 first quarter and the low 90% range during the 2023 second quarter compared to the mid-80% range during the 2022 first quarter and the low 90% range during the 2022 second quarter. The 2023 first six months reflected increasing activity levels as a result of higher refinery and petrochemical plant utilization while the 2022 first six months were impacted by the COVID-19 Omicron variant as increased cases among the Company’s mariners led to crewing challenges.</w:t>
      </w:r>
    </w:p>
    <w:p>
      <w:pPr>
        <w:spacing w:after="0" w:line="144"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Coastal tank barge utilization levels averaged in the mid to high-90% range during both the 2023 first and second quarters compared to the low-90% range during both the 2022 first and second quarters. The increase in coastal tank barge utilization during 2023 was primarily due to continued improvements in market and customer demand.</w:t>
      </w:r>
    </w:p>
    <w:p>
      <w:pPr>
        <w:spacing w:after="0" w:line="143"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During both the 2023 second quarter and first six months, approximately 55% of KMT inland revenues were under term contracts and 45% were spot contract revenues. During both the 2022 second quarter and first six months, approximately 60% of KMT inland revenues were under term contracts and 40% were spot contract revenues. Inland time charters during the 2023 second quarter and first six months represented approximately 62% and 61%, respectively, of inland revenues under term contracts compared with 57% in both the 2022 second quarter and first six months. During the 2023 second quarter and first six months, approximately 85% and 80%, respectively, of KMT coastal revenues were under term contracts. During the 2023 second quarter and first six months, approximately 15% and 20%, respectively, of KMT coastal revenues were under spot contracts. During both the 2022 second quarter and first six months, approximately 80% of the coastal revenues were under term contracts and 20% were spot contract revenues. Coastal time charters represented approximately 90% of coastal revenues under term contracts during both the 2023 and 2022 second quarters and first six months. Term contracts have contract terms of 12 months or longer, while spot contracts have contract terms of less than 12 months.</w:t>
      </w:r>
    </w:p>
    <w:p>
      <w:pPr>
        <w:spacing w:after="0" w:line="126"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2023 compared to contracts renewed during the corresponding quarter of 2022:</w:t>
      </w:r>
    </w:p>
    <w:p>
      <w:pPr>
        <w:spacing w:after="0" w:line="202"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Pr>
          <w:p>
            <w:pPr>
              <w:spacing w:after="0"/>
              <w:rPr>
                <w:sz w:val="14"/>
                <w:szCs w:val="14"/>
                <w:color w:val="auto"/>
              </w:rPr>
            </w:pPr>
          </w:p>
        </w:tc>
        <w:tc>
          <w:tcPr>
            <w:tcW w:w="17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Borders>
              <w:top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June 30, 2023</w:t>
            </w: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Inland market:</w:t>
            </w:r>
          </w:p>
        </w:tc>
        <w:tc>
          <w:tcPr>
            <w:tcW w:w="1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r>
      <w:tr>
        <w:trPr>
          <w:trHeight w:val="237"/>
        </w:trPr>
        <w:tc>
          <w:tcPr>
            <w:tcW w:w="7600" w:type="dxa"/>
            <w:vAlign w:val="bottom"/>
          </w:tcPr>
          <w:p>
            <w:pPr>
              <w:jc w:val="center"/>
              <w:ind w:right="6090"/>
              <w:spacing w:after="0"/>
              <w:rPr>
                <w:sz w:val="20"/>
                <w:szCs w:val="20"/>
                <w:color w:val="auto"/>
              </w:rPr>
            </w:pPr>
            <w:r>
              <w:rPr>
                <w:rFonts w:ascii="Arial" w:cs="Arial" w:eastAsia="Arial" w:hAnsi="Arial"/>
                <w:sz w:val="18"/>
                <w:szCs w:val="18"/>
                <w:color w:val="auto"/>
                <w:w w:val="88"/>
              </w:rPr>
              <w:t>Term increase</w:t>
            </w:r>
          </w:p>
        </w:tc>
        <w:tc>
          <w:tcPr>
            <w:tcW w:w="1700" w:type="dxa"/>
            <w:vAlign w:val="bottom"/>
          </w:tcPr>
          <w:p>
            <w:pPr>
              <w:ind w:left="860"/>
              <w:spacing w:after="0"/>
              <w:rPr>
                <w:sz w:val="20"/>
                <w:szCs w:val="20"/>
                <w:color w:val="auto"/>
              </w:rPr>
            </w:pPr>
            <w:r>
              <w:rPr>
                <w:rFonts w:ascii="Arial" w:cs="Arial" w:eastAsia="Arial" w:hAnsi="Arial"/>
                <w:sz w:val="18"/>
                <w:szCs w:val="18"/>
                <w:color w:val="auto"/>
                <w:w w:val="89"/>
              </w:rPr>
              <w:t>10% – 12%</w:t>
            </w:r>
          </w:p>
        </w:tc>
        <w:tc>
          <w:tcPr>
            <w:tcW w:w="220" w:type="dxa"/>
            <w:vAlign w:val="bottom"/>
          </w:tcPr>
          <w:p>
            <w:pPr>
              <w:spacing w:after="0"/>
              <w:rPr>
                <w:sz w:val="20"/>
                <w:szCs w:val="20"/>
                <w:color w:val="auto"/>
              </w:rPr>
            </w:pPr>
          </w:p>
        </w:tc>
        <w:tc>
          <w:tcPr>
            <w:tcW w:w="1720" w:type="dxa"/>
            <w:vAlign w:val="bottom"/>
          </w:tcPr>
          <w:p>
            <w:pPr>
              <w:ind w:left="860"/>
              <w:spacing w:after="0"/>
              <w:rPr>
                <w:sz w:val="20"/>
                <w:szCs w:val="20"/>
                <w:color w:val="auto"/>
              </w:rPr>
            </w:pPr>
            <w:r>
              <w:rPr>
                <w:rFonts w:ascii="Arial" w:cs="Arial" w:eastAsia="Arial" w:hAnsi="Arial"/>
                <w:sz w:val="18"/>
                <w:szCs w:val="18"/>
                <w:color w:val="auto"/>
                <w:w w:val="91"/>
              </w:rPr>
              <w:t>10% – 12%</w:t>
            </w:r>
          </w:p>
        </w:tc>
      </w:tr>
      <w:tr>
        <w:trPr>
          <w:trHeight w:val="249"/>
        </w:trPr>
        <w:tc>
          <w:tcPr>
            <w:tcW w:w="7600" w:type="dxa"/>
            <w:vAlign w:val="bottom"/>
            <w:shd w:val="clear" w:color="auto" w:fill="CFF0FC"/>
          </w:tcPr>
          <w:p>
            <w:pPr>
              <w:jc w:val="center"/>
              <w:ind w:right="6150"/>
              <w:spacing w:after="0"/>
              <w:rPr>
                <w:sz w:val="20"/>
                <w:szCs w:val="20"/>
                <w:color w:val="auto"/>
              </w:rPr>
            </w:pPr>
            <w:r>
              <w:rPr>
                <w:rFonts w:ascii="Arial" w:cs="Arial" w:eastAsia="Arial" w:hAnsi="Arial"/>
                <w:sz w:val="18"/>
                <w:szCs w:val="18"/>
                <w:color w:val="auto"/>
                <w:w w:val="87"/>
              </w:rPr>
              <w:t>Spot increase</w:t>
            </w:r>
          </w:p>
        </w:tc>
        <w:tc>
          <w:tcPr>
            <w:tcW w:w="170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9"/>
              </w:rPr>
              <w:t>23% – 26%</w:t>
            </w:r>
          </w:p>
        </w:tc>
        <w:tc>
          <w:tcPr>
            <w:tcW w:w="220" w:type="dxa"/>
            <w:vAlign w:val="bottom"/>
            <w:shd w:val="clear" w:color="auto" w:fill="CFF0FC"/>
          </w:tcPr>
          <w:p>
            <w:pPr>
              <w:spacing w:after="0"/>
              <w:rPr>
                <w:sz w:val="21"/>
                <w:szCs w:val="21"/>
                <w:color w:val="auto"/>
              </w:rPr>
            </w:pPr>
          </w:p>
        </w:tc>
        <w:tc>
          <w:tcPr>
            <w:tcW w:w="172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1"/>
              </w:rPr>
              <w:t>26% – 29%</w:t>
            </w:r>
          </w:p>
        </w:tc>
      </w:tr>
      <w:tr>
        <w:trPr>
          <w:trHeight w:val="237"/>
        </w:trPr>
        <w:tc>
          <w:tcPr>
            <w:tcW w:w="7600" w:type="dxa"/>
            <w:vAlign w:val="bottom"/>
          </w:tcPr>
          <w:p>
            <w:pPr>
              <w:jc w:val="center"/>
              <w:ind w:right="6090"/>
              <w:spacing w:after="0"/>
              <w:rPr>
                <w:sz w:val="20"/>
                <w:szCs w:val="20"/>
                <w:color w:val="auto"/>
              </w:rPr>
            </w:pPr>
            <w:r>
              <w:rPr>
                <w:rFonts w:ascii="Arial" w:cs="Arial" w:eastAsia="Arial" w:hAnsi="Arial"/>
                <w:sz w:val="18"/>
                <w:szCs w:val="18"/>
                <w:color w:val="auto"/>
                <w:w w:val="90"/>
              </w:rPr>
              <w:t>Coastal market (a):</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9"/>
        </w:trPr>
        <w:tc>
          <w:tcPr>
            <w:tcW w:w="7600" w:type="dxa"/>
            <w:vAlign w:val="bottom"/>
            <w:shd w:val="clear" w:color="auto" w:fill="CFF0FC"/>
          </w:tcPr>
          <w:p>
            <w:pPr>
              <w:jc w:val="center"/>
              <w:ind w:right="6090"/>
              <w:spacing w:after="0"/>
              <w:rPr>
                <w:sz w:val="20"/>
                <w:szCs w:val="20"/>
                <w:color w:val="auto"/>
              </w:rPr>
            </w:pPr>
            <w:r>
              <w:rPr>
                <w:rFonts w:ascii="Arial" w:cs="Arial" w:eastAsia="Arial" w:hAnsi="Arial"/>
                <w:sz w:val="18"/>
                <w:szCs w:val="18"/>
                <w:color w:val="auto"/>
                <w:w w:val="88"/>
              </w:rPr>
              <w:t>Term increase</w:t>
            </w:r>
          </w:p>
        </w:tc>
        <w:tc>
          <w:tcPr>
            <w:tcW w:w="170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9"/>
              </w:rPr>
              <w:t>10% – 12%</w:t>
            </w:r>
          </w:p>
        </w:tc>
        <w:tc>
          <w:tcPr>
            <w:tcW w:w="220" w:type="dxa"/>
            <w:vAlign w:val="bottom"/>
            <w:shd w:val="clear" w:color="auto" w:fill="CFF0FC"/>
          </w:tcPr>
          <w:p>
            <w:pPr>
              <w:spacing w:after="0"/>
              <w:rPr>
                <w:sz w:val="21"/>
                <w:szCs w:val="21"/>
                <w:color w:val="auto"/>
              </w:rPr>
            </w:pPr>
          </w:p>
        </w:tc>
        <w:tc>
          <w:tcPr>
            <w:tcW w:w="172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1"/>
              </w:rPr>
              <w:t>16% – 18%</w:t>
            </w:r>
          </w:p>
        </w:tc>
      </w:tr>
      <w:tr>
        <w:trPr>
          <w:trHeight w:val="230"/>
        </w:trPr>
        <w:tc>
          <w:tcPr>
            <w:tcW w:w="7600" w:type="dxa"/>
            <w:vAlign w:val="bottom"/>
          </w:tcPr>
          <w:p>
            <w:pPr>
              <w:jc w:val="center"/>
              <w:ind w:right="6150"/>
              <w:spacing w:after="0"/>
              <w:rPr>
                <w:sz w:val="20"/>
                <w:szCs w:val="20"/>
                <w:color w:val="auto"/>
              </w:rPr>
            </w:pPr>
            <w:r>
              <w:rPr>
                <w:rFonts w:ascii="Arial" w:cs="Arial" w:eastAsia="Arial" w:hAnsi="Arial"/>
                <w:sz w:val="18"/>
                <w:szCs w:val="18"/>
                <w:color w:val="auto"/>
                <w:w w:val="87"/>
              </w:rPr>
              <w:t>Spot increase</w:t>
            </w:r>
          </w:p>
        </w:tc>
        <w:tc>
          <w:tcPr>
            <w:tcW w:w="1700" w:type="dxa"/>
            <w:vAlign w:val="bottom"/>
          </w:tcPr>
          <w:p>
            <w:pPr>
              <w:ind w:left="860"/>
              <w:spacing w:after="0"/>
              <w:rPr>
                <w:sz w:val="20"/>
                <w:szCs w:val="20"/>
                <w:color w:val="auto"/>
              </w:rPr>
            </w:pPr>
            <w:r>
              <w:rPr>
                <w:rFonts w:ascii="Arial" w:cs="Arial" w:eastAsia="Arial" w:hAnsi="Arial"/>
                <w:sz w:val="18"/>
                <w:szCs w:val="18"/>
                <w:color w:val="auto"/>
                <w:w w:val="89"/>
              </w:rPr>
              <w:t>20% – 23%</w:t>
            </w:r>
          </w:p>
        </w:tc>
        <w:tc>
          <w:tcPr>
            <w:tcW w:w="220" w:type="dxa"/>
            <w:vAlign w:val="bottom"/>
          </w:tcPr>
          <w:p>
            <w:pPr>
              <w:spacing w:after="0"/>
              <w:rPr>
                <w:sz w:val="20"/>
                <w:szCs w:val="20"/>
                <w:color w:val="auto"/>
              </w:rPr>
            </w:pPr>
          </w:p>
        </w:tc>
        <w:tc>
          <w:tcPr>
            <w:tcW w:w="1720" w:type="dxa"/>
            <w:vAlign w:val="bottom"/>
          </w:tcPr>
          <w:p>
            <w:pPr>
              <w:ind w:left="860"/>
              <w:spacing w:after="0"/>
              <w:rPr>
                <w:sz w:val="20"/>
                <w:szCs w:val="20"/>
                <w:color w:val="auto"/>
              </w:rPr>
            </w:pPr>
            <w:r>
              <w:rPr>
                <w:rFonts w:ascii="Arial" w:cs="Arial" w:eastAsia="Arial" w:hAnsi="Arial"/>
                <w:sz w:val="18"/>
                <w:szCs w:val="18"/>
                <w:color w:val="auto"/>
                <w:w w:val="91"/>
              </w:rPr>
              <w:t>25% – 28%</w:t>
            </w:r>
          </w:p>
        </w:tc>
      </w:tr>
    </w:tbl>
    <w:p>
      <w:pPr>
        <w:spacing w:after="0" w:line="187" w:lineRule="exact"/>
        <w:rPr>
          <w:sz w:val="20"/>
          <w:szCs w:val="20"/>
          <w:color w:val="auto"/>
        </w:rPr>
      </w:pPr>
    </w:p>
    <w:p>
      <w:pPr>
        <w:ind w:left="940" w:hanging="370"/>
        <w:spacing w:after="0" w:line="277"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w:t>
      </w:r>
    </w:p>
    <w:p>
      <w:pPr>
        <w:spacing w:after="0" w:line="13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Effective January 1, 2023, annual escalators for labor and the producer price index on a number of inland multi-year contracts resulted in rate increases on those contracts of approximately 9%, excluding fuel.</w:t>
      </w:r>
    </w:p>
    <w:p>
      <w:pPr>
        <w:spacing w:after="0" w:line="13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KMT operating margin was 15.0% and 12.8% for the 2023 second quarter and first six months, respectively, compared to 7.6% and 6.3% for the 2022 second quarter and first six months,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189"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KDS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manufactures and remanufactures oilfield service equipment, including pressure pumping units, and manufactures cementing and pumping equipment as well as coil tubing and well intervention equipment, electric power generation equipment, specialized electric distribution and control equipment, and high capacity energy storage/battery systems for oilfield service and railroad customers.</w:t>
      </w:r>
    </w:p>
    <w:p>
      <w:pPr>
        <w:spacing w:after="0" w:line="154"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For both the 2023 second quarter and first six months, KDS generated 45% of the Company’s revenues, of which 80% and 78%, respectively, were generated from service and parts and 20% and 22%, respectively, from manufacturing. The results of KDS are largely influenced by the economic cycles of the oil and gas, marine, power generation, on-highway, and other related industrial markets.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jc w:val="both"/>
        <w:ind w:firstLine="569"/>
        <w:spacing w:after="0" w:line="273" w:lineRule="auto"/>
        <w:rPr>
          <w:sz w:val="20"/>
          <w:szCs w:val="20"/>
          <w:color w:val="auto"/>
        </w:rPr>
      </w:pPr>
      <w:r>
        <w:rPr>
          <w:rFonts w:ascii="Arial" w:cs="Arial" w:eastAsia="Arial" w:hAnsi="Arial"/>
          <w:sz w:val="17"/>
          <w:szCs w:val="17"/>
          <w:color w:val="auto"/>
        </w:rPr>
        <w:t>KDS revenues for the 2023 second quarter and first six months increased 20% and 26%, respectively, and operating income increased 78% and 90%, respectively, compared with the 2022 second quarter and first six months. In the commercial and industrial market, the increases for the 2023 second quarter and first six months were primarily attributable to strong economic activity across the United States which resulted in higher business levels in the marine and on-highway businesses. Increased product sales in Thermo King also contributed favorably to the 2023 second quarter and first six months results. These increases were partially offset by continuing supply chain constraints and delays. For the 2023 second quarter and first six months, the commercial and industrial market contributed 52% and 54%, respectively, of KDS revenues.</w:t>
      </w:r>
    </w:p>
    <w:p>
      <w:pPr>
        <w:spacing w:after="0" w:line="151"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In the oil and gas market, revenues and operating income improved compared to the 2022 second quarter and first six months due to higher oilfield activity which resulted in increased demand for new transmissions and parts in the distribution business. Although the manufacturing business was impacted by ongoing supply chain delays, the business continued to experience increased orders and deliveries of new environmentally friendly pressure pumping equipment and power generation equipment for electric fracturing. For the 2023 second quarter and first six months, the oil and gas market contributed 48% and 46%, respectively, of KDS revenues.</w:t>
      </w:r>
    </w:p>
    <w:p>
      <w:pPr>
        <w:spacing w:after="0" w:line="147"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KDS operating margin was 8.5% and 7.6%, respectively, for the 2023 second quarter and first six months compared to 5.7% and 5.1%, respectively, for the 2022 second quarter and first six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7"/>
          <w:szCs w:val="17"/>
          <w:color w:val="auto"/>
        </w:rPr>
        <w:t>Refinery and petrochemical utilization levels remain at high levels. This is favorable for the Company’s barge utilization, which is strong in both inland and coastal markets, and for pricing, which continues to increase. Demand for the Company’s products and services continues to grow despite ongoing supply chain constraints and delays which could impact the Company’s KDS product deliveries. Overall, the Company expects both KMT and KDS to deliver improved financial results in the coming quarters. The Company continues to closely monitor the ever-changing economic landscape related to the impact of higher interest rates, and possible recessionary headwinds as it continues to move through 2023.</w:t>
      </w:r>
    </w:p>
    <w:p>
      <w:pPr>
        <w:spacing w:after="0" w:line="190"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In the inland marine transportation market, the Company anticipates continued gradual upward movement in pricing and margins in the second half of 2023 as steady demand and a limited availability of equipment is expected to keep the market tight. As a result, the Company expects further pricing improvements in the spot market, which currently represents approximately 45% of inland revenues. Term contracts are also expected to continue to reset higher to reflect improved market conditions. These price increases are also critical in helping address the impact of persistent inflationary pressures in some areas of the Company’s business. In coastal marine, revenues and operating margins are being impacted this year by an approximate doubling of planned shipyard maintenance days with ballast water treatment installations on certain vessels. The Company expects modestly improved customer demand through the balance of the year with barge utilization in the low to mid-90% range. Rates are expected to continue slowly improving as the industry is approaching supply and demand balance across the fleet.</w:t>
      </w:r>
    </w:p>
    <w:p>
      <w:pPr>
        <w:spacing w:after="0" w:line="192" w:lineRule="exact"/>
        <w:rPr>
          <w:sz w:val="20"/>
          <w:szCs w:val="20"/>
          <w:color w:val="auto"/>
        </w:rPr>
      </w:pPr>
    </w:p>
    <w:p>
      <w:pPr>
        <w:jc w:val="both"/>
        <w:ind w:firstLine="569"/>
        <w:spacing w:after="0" w:line="254" w:lineRule="auto"/>
        <w:rPr>
          <w:sz w:val="20"/>
          <w:szCs w:val="20"/>
          <w:color w:val="auto"/>
        </w:rPr>
      </w:pPr>
      <w:r>
        <w:rPr>
          <w:rFonts w:ascii="Arial" w:cs="Arial" w:eastAsia="Arial" w:hAnsi="Arial"/>
          <w:sz w:val="18"/>
          <w:szCs w:val="18"/>
          <w:color w:val="auto"/>
        </w:rPr>
        <w:t>KDS results are largely influenced by the cycles of the oil and gas, marine, power generation, on-highway and other related industrial markets. Favorable oilfield fundamentals and steady demand in commercial and industrial are expected to continue throughout 2023 and into 2024. In the oil and gas market, despite the near-term headwinds of lower commodity prices and flat to declining rig counts, the Company expects strong demand for manufacturing as well as for OEM products, parts, and services. Within manufacturing, the Company expects demand for environmentally friendly pressure pumping and electric fracturing power generation equipment to remain strong, with new orders and increased deliveries of new equipment during the year. Supply chain issues and long lead times are expected to persist in the near-term, contributing to some volatility as deliveries of new products shift between quarters and into 2024. In commercial and industrial, steady markets are expected to help drive full year revenue growth, with increased activity in power generation, marine repair, and on-highway.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firstLine="569"/>
        <w:spacing w:after="0" w:line="311" w:lineRule="auto"/>
        <w:rPr>
          <w:sz w:val="20"/>
          <w:szCs w:val="20"/>
          <w:color w:val="auto"/>
        </w:rPr>
      </w:pPr>
      <w:r>
        <w:rPr>
          <w:rFonts w:ascii="Arial" w:cs="Arial" w:eastAsia="Arial" w:hAnsi="Arial"/>
          <w:sz w:val="16"/>
          <w:szCs w:val="16"/>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 Financing of the equipment acquisition was through borrowings under the Company’s revolving credit facility.</w:t>
      </w:r>
    </w:p>
    <w:p>
      <w:pPr>
        <w:spacing w:after="0" w:line="108"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On March 31, 2022, the Company paid $3.9 million in cash to purchase assets of a gearbox repair company in KDS. Financing of the purchases was through cash provided by operating activities.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Company’s KMT and KDS revenues and the percentage of each to total revenues (dollars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w w:val="92"/>
              </w:rPr>
              <w:t>Three Months Ended June 30,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98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10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20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3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Marine</w:t>
            </w: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transportation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426,962</w:t>
            </w:r>
          </w:p>
        </w:tc>
        <w:tc>
          <w:tcPr>
            <w:tcW w:w="128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55 %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405,655</w:t>
            </w:r>
          </w:p>
        </w:tc>
        <w:tc>
          <w:tcPr>
            <w:tcW w:w="140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58 %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839,457</w:t>
            </w:r>
          </w:p>
        </w:tc>
        <w:tc>
          <w:tcPr>
            <w:tcW w:w="150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55 %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761,191</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58 %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20"/>
              <w:spacing w:after="0"/>
              <w:rPr>
                <w:sz w:val="20"/>
                <w:szCs w:val="20"/>
                <w:color w:val="auto"/>
              </w:rPr>
            </w:pPr>
            <w:r>
              <w:rPr>
                <w:rFonts w:ascii="Arial" w:cs="Arial" w:eastAsia="Arial" w:hAnsi="Arial"/>
                <w:sz w:val="18"/>
                <w:szCs w:val="18"/>
                <w:color w:val="auto"/>
              </w:rPr>
              <w:t>Distribution and</w:t>
            </w:r>
          </w:p>
        </w:tc>
        <w:tc>
          <w:tcPr>
            <w:tcW w:w="2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350,286</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292,309</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688,235</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547,555</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777,248</w:t>
            </w:r>
          </w:p>
        </w:tc>
        <w:tc>
          <w:tcPr>
            <w:tcW w:w="26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697,964</w:t>
            </w:r>
          </w:p>
        </w:tc>
        <w:tc>
          <w:tcPr>
            <w:tcW w:w="26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1,527,692</w:t>
            </w:r>
          </w:p>
        </w:tc>
        <w:tc>
          <w:tcPr>
            <w:tcW w:w="2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1,308,746</w:t>
            </w:r>
          </w:p>
        </w:tc>
        <w:tc>
          <w:tcPr>
            <w:tcW w:w="28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-24765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-7620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-24765</wp:posOffset>
            </wp:positionV>
            <wp:extent cx="857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857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-24765</wp:posOffset>
            </wp:positionV>
            <wp:extent cx="85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-7620</wp:posOffset>
            </wp:positionV>
            <wp:extent cx="857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857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KMT revenues, costs and expenses, operating income, and operating margin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4"/>
              </w:rPr>
              <w:t>Three Months Ended June 30,</w:t>
            </w:r>
          </w:p>
        </w:tc>
        <w:tc>
          <w:tcPr>
            <w:tcW w:w="9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7"/>
              </w:rPr>
              <w:t>Six Months Ended June 30,</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7"/>
              </w:rPr>
              <w:t>% Change</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Marine transportation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426,962</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405,655</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5 %</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839,457</w:t>
            </w:r>
          </w:p>
        </w:tc>
        <w:tc>
          <w:tcPr>
            <w:tcW w:w="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761,191</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0"/>
                <w:szCs w:val="20"/>
                <w:color w:val="auto"/>
              </w:rPr>
            </w:pPr>
          </w:p>
        </w:tc>
      </w:tr>
      <w:tr>
        <w:trPr>
          <w:trHeight w:val="237"/>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w w:val="96"/>
              </w:rPr>
              <w:t>Costs of sales and operating expenses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275,618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294,343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557,641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548,702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68,592</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60,630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7,990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15,269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15,810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20"/>
                <w:szCs w:val="20"/>
                <w:color w:val="auto"/>
              </w:rPr>
            </w:pPr>
          </w:p>
        </w:tc>
      </w:tr>
      <w:tr>
        <w:trPr>
          <w:trHeight w:val="249"/>
        </w:trPr>
        <w:tc>
          <w:tcPr>
            <w:tcW w:w="3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45,526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44,211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90,668</w:t>
            </w: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88,297</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362,711</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374,838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(3 )</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732,170</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713,439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6"/>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64,251</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30,817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108 %</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107,287</w:t>
            </w:r>
          </w:p>
        </w:tc>
        <w:tc>
          <w:tcPr>
            <w:tcW w:w="2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47,752</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125 %</w:t>
            </w:r>
          </w:p>
        </w:tc>
        <w:tc>
          <w:tcPr>
            <w:tcW w:w="20" w:type="dxa"/>
            <w:vAlign w:val="bottom"/>
          </w:tcPr>
          <w:p>
            <w:pPr>
              <w:spacing w:after="0"/>
              <w:rPr>
                <w:sz w:val="24"/>
                <w:szCs w:val="24"/>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15.0 </w:t>
            </w:r>
            <w:r>
              <w:rPr>
                <w:rFonts w:ascii="Arial" w:cs="Arial" w:eastAsia="Arial" w:hAnsi="Arial"/>
                <w:sz w:val="18"/>
                <w:szCs w:val="18"/>
                <w:color w:val="auto"/>
                <w:highlight w:val="white"/>
              </w:rPr>
              <w:t>%</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color w:val="auto"/>
                <w:highlight w:val="white"/>
              </w:rPr>
              <w: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color w:val="auto"/>
                <w:highlight w:val="white"/>
              </w:rPr>
              <w:t>%</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color w:val="auto"/>
                <w:highlight w:val="white"/>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-1465580</wp:posOffset>
            </wp:positionV>
            <wp:extent cx="85725" cy="1631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-1465580</wp:posOffset>
            </wp:positionV>
            <wp:extent cx="85725" cy="163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-1465580</wp:posOffset>
            </wp:positionV>
            <wp:extent cx="76835" cy="1631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-1465580</wp:posOffset>
            </wp:positionV>
            <wp:extent cx="85725" cy="163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-530860</wp:posOffset>
            </wp:positionV>
            <wp:extent cx="85725" cy="1714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-530860</wp:posOffset>
            </wp:positionV>
            <wp:extent cx="85725"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-530860</wp:posOffset>
            </wp:positionV>
            <wp:extent cx="76835"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-530860</wp:posOffset>
            </wp:positionV>
            <wp:extent cx="85725"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-205105</wp:posOffset>
            </wp:positionV>
            <wp:extent cx="857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-205105</wp:posOffset>
            </wp:positionV>
            <wp:extent cx="857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-205105</wp:posOffset>
            </wp:positionV>
            <wp:extent cx="76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-205105</wp:posOffset>
            </wp:positionV>
            <wp:extent cx="857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198" w:lineRule="exact"/>
        <w:rPr>
          <w:sz w:val="20"/>
          <w:szCs w:val="20"/>
          <w:color w:val="auto"/>
        </w:rPr>
      </w:pPr>
    </w:p>
    <w:p>
      <w:pPr>
        <w:jc w:val="both"/>
        <w:ind w:right="40" w:firstLine="562"/>
        <w:spacing w:after="0" w:line="277" w:lineRule="auto"/>
        <w:rPr>
          <w:sz w:val="20"/>
          <w:szCs w:val="20"/>
          <w:color w:val="auto"/>
        </w:rPr>
      </w:pPr>
      <w:r>
        <w:rPr>
          <w:rFonts w:ascii="Arial" w:cs="Arial" w:eastAsia="Arial" w:hAnsi="Arial"/>
          <w:sz w:val="18"/>
          <w:szCs w:val="18"/>
          <w:color w:val="auto"/>
        </w:rPr>
        <w:t>The following table shows the marine transportation markets serviced by the Company, KMT revenue distribution, products moved and the drivers of the demand for the products the Company transports: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8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2023 Second Quarter</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2023 Six Months</w:t>
            </w:r>
          </w:p>
        </w:tc>
        <w:tc>
          <w:tcPr>
            <w:tcW w:w="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2"/>
                <w:szCs w:val="12"/>
                <w:color w:val="auto"/>
              </w:rPr>
            </w:pPr>
          </w:p>
        </w:tc>
        <w:tc>
          <w:tcPr>
            <w:tcW w:w="35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Products Moved</w:t>
            </w:r>
          </w:p>
        </w:tc>
        <w:tc>
          <w:tcPr>
            <w:tcW w:w="160" w:type="dxa"/>
            <w:vAlign w:val="bottom"/>
          </w:tcPr>
          <w:p>
            <w:pPr>
              <w:spacing w:after="0"/>
              <w:rPr>
                <w:sz w:val="12"/>
                <w:szCs w:val="12"/>
                <w:color w:val="auto"/>
              </w:rPr>
            </w:pPr>
          </w:p>
        </w:tc>
        <w:tc>
          <w:tcPr>
            <w:tcW w:w="22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Drivers</w:t>
            </w:r>
          </w:p>
        </w:tc>
        <w:tc>
          <w:tcPr>
            <w:tcW w:w="0" w:type="dxa"/>
            <w:vAlign w:val="bottom"/>
          </w:tcPr>
          <w:p>
            <w:pPr>
              <w:spacing w:after="0"/>
              <w:rPr>
                <w:sz w:val="1"/>
                <w:szCs w:val="1"/>
                <w:color w:val="auto"/>
              </w:rPr>
            </w:pPr>
          </w:p>
        </w:tc>
      </w:tr>
      <w:tr>
        <w:trPr>
          <w:trHeight w:val="185"/>
        </w:trPr>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Serviced</w:t>
            </w:r>
          </w:p>
        </w:tc>
        <w:tc>
          <w:tcPr>
            <w:tcW w:w="18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6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80" w:type="dxa"/>
            <w:vAlign w:val="bottom"/>
          </w:tcPr>
          <w:p>
            <w:pPr>
              <w:spacing w:after="0"/>
              <w:rPr>
                <w:sz w:val="16"/>
                <w:szCs w:val="16"/>
                <w:color w:val="auto"/>
              </w:rPr>
            </w:pPr>
          </w:p>
        </w:tc>
        <w:tc>
          <w:tcPr>
            <w:tcW w:w="35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Petrochemicals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51%</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51%</w:t>
            </w:r>
          </w:p>
        </w:tc>
        <w:tc>
          <w:tcPr>
            <w:tcW w:w="18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Benzene, Styrene, Methanol, Acrylonitrile,</w:t>
            </w:r>
          </w:p>
        </w:tc>
        <w:tc>
          <w:tcPr>
            <w:tcW w:w="160" w:type="dxa"/>
            <w:vAlign w:val="bottom"/>
            <w:shd w:val="clear" w:color="auto" w:fill="CFF0FC"/>
          </w:tcPr>
          <w:p>
            <w:pPr>
              <w:spacing w:after="0"/>
              <w:rPr>
                <w:sz w:val="18"/>
                <w:szCs w:val="18"/>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non-durables –</w:t>
            </w:r>
          </w:p>
        </w:tc>
        <w:tc>
          <w:tcPr>
            <w:tcW w:w="0" w:type="dxa"/>
            <w:vAlign w:val="bottom"/>
          </w:tcPr>
          <w:p>
            <w:pPr>
              <w:spacing w:after="0"/>
              <w:rPr>
                <w:sz w:val="1"/>
                <w:szCs w:val="1"/>
                <w:color w:val="auto"/>
              </w:rPr>
            </w:pPr>
          </w:p>
        </w:tc>
      </w:tr>
      <w:tr>
        <w:trPr>
          <w:trHeight w:val="216"/>
        </w:trPr>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Xylene, Naphtha, Caustic Soda, Butadiene,</w:t>
            </w:r>
          </w:p>
        </w:tc>
        <w:tc>
          <w:tcPr>
            <w:tcW w:w="160" w:type="dxa"/>
            <w:vAlign w:val="bottom"/>
            <w:shd w:val="clear" w:color="auto" w:fill="CFF0FC"/>
          </w:tcPr>
          <w:p>
            <w:pPr>
              <w:spacing w:after="0"/>
              <w:rPr>
                <w:sz w:val="18"/>
                <w:szCs w:val="18"/>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70%, Consumer durables –</w:t>
            </w:r>
          </w:p>
        </w:tc>
        <w:tc>
          <w:tcPr>
            <w:tcW w:w="0" w:type="dxa"/>
            <w:vAlign w:val="bottom"/>
          </w:tcPr>
          <w:p>
            <w:pPr>
              <w:spacing w:after="0"/>
              <w:rPr>
                <w:sz w:val="1"/>
                <w:szCs w:val="1"/>
                <w:color w:val="auto"/>
              </w:rPr>
            </w:pPr>
          </w:p>
        </w:tc>
      </w:tr>
      <w:tr>
        <w:trPr>
          <w:trHeight w:val="244"/>
        </w:trPr>
        <w:tc>
          <w:tcPr>
            <w:tcW w:w="1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Propylene</w:t>
            </w:r>
          </w:p>
        </w:tc>
        <w:tc>
          <w:tcPr>
            <w:tcW w:w="24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8"/>
                <w:szCs w:val="18"/>
                <w:color w:val="auto"/>
              </w:rPr>
              <w:t>Black Oil</w:t>
            </w:r>
          </w:p>
        </w:tc>
        <w:tc>
          <w:tcPr>
            <w:tcW w:w="15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26%</w:t>
            </w:r>
          </w:p>
        </w:tc>
        <w:tc>
          <w:tcPr>
            <w:tcW w:w="156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26%</w:t>
            </w:r>
          </w:p>
        </w:tc>
        <w:tc>
          <w:tcPr>
            <w:tcW w:w="1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8"/>
              </w:rPr>
              <w:t>Residual Fuel Oil, Coker Feedstock, Vacuum</w:t>
            </w:r>
          </w:p>
        </w:tc>
        <w:tc>
          <w:tcPr>
            <w:tcW w:w="16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Fuel for Power Plants and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Gas Oil, Asphalt, Carbon Black Feedstock,</w:t>
            </w:r>
          </w:p>
        </w:tc>
        <w:tc>
          <w:tcPr>
            <w:tcW w:w="16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Ships, Feedstock for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Crude Oil, Natural Gas Condensate, Ship</w:t>
            </w:r>
          </w:p>
        </w:tc>
        <w:tc>
          <w:tcPr>
            <w:tcW w:w="16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w w:val="92"/>
              </w:rPr>
              <w:t>Refineries, Road Construction</w:t>
            </w: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Bunkers</w:t>
            </w: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Refined Petroleum</w:t>
            </w:r>
          </w:p>
        </w:tc>
        <w:tc>
          <w:tcPr>
            <w:tcW w:w="158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8"/>
              </w:rPr>
              <w:t>20%</w:t>
            </w:r>
          </w:p>
        </w:tc>
        <w:tc>
          <w:tcPr>
            <w:tcW w:w="15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8"/>
              </w:rPr>
              <w:t>20%</w:t>
            </w:r>
          </w:p>
        </w:tc>
        <w:tc>
          <w:tcPr>
            <w:tcW w:w="180" w:type="dxa"/>
            <w:vAlign w:val="bottom"/>
            <w:shd w:val="clear" w:color="auto" w:fill="CFF0FC"/>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Gasoline, No. 2 Oil, Jet Fuel, Heating Oil,</w:t>
            </w:r>
          </w:p>
        </w:tc>
        <w:tc>
          <w:tcPr>
            <w:tcW w:w="160" w:type="dxa"/>
            <w:vAlign w:val="bottom"/>
            <w:shd w:val="clear" w:color="auto" w:fill="CFF0FC"/>
          </w:tcPr>
          <w:p>
            <w:pPr>
              <w:spacing w:after="0"/>
              <w:rPr>
                <w:sz w:val="19"/>
                <w:szCs w:val="19"/>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Usage, Air Travel,</w:t>
            </w:r>
          </w:p>
        </w:tc>
        <w:tc>
          <w:tcPr>
            <w:tcW w:w="0" w:type="dxa"/>
            <w:vAlign w:val="bottom"/>
          </w:tcPr>
          <w:p>
            <w:pPr>
              <w:spacing w:after="0"/>
              <w:rPr>
                <w:sz w:val="1"/>
                <w:szCs w:val="1"/>
                <w:color w:val="auto"/>
              </w:rPr>
            </w:pPr>
          </w:p>
        </w:tc>
      </w:tr>
      <w:tr>
        <w:trPr>
          <w:trHeight w:val="216"/>
        </w:trPr>
        <w:tc>
          <w:tcPr>
            <w:tcW w:w="1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Diesel Fuel, Ethanol</w:t>
            </w:r>
          </w:p>
        </w:tc>
        <w:tc>
          <w:tcPr>
            <w:tcW w:w="160" w:type="dxa"/>
            <w:vAlign w:val="bottom"/>
            <w:shd w:val="clear" w:color="auto" w:fill="CFF0FC"/>
          </w:tcPr>
          <w:p>
            <w:pPr>
              <w:spacing w:after="0"/>
              <w:rPr>
                <w:sz w:val="18"/>
                <w:szCs w:val="18"/>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Weather Conditions, Refinery</w:t>
            </w:r>
          </w:p>
        </w:tc>
        <w:tc>
          <w:tcPr>
            <w:tcW w:w="0" w:type="dxa"/>
            <w:vAlign w:val="bottom"/>
          </w:tcPr>
          <w:p>
            <w:pPr>
              <w:spacing w:after="0"/>
              <w:rPr>
                <w:sz w:val="1"/>
                <w:szCs w:val="1"/>
                <w:color w:val="auto"/>
              </w:rPr>
            </w:pPr>
          </w:p>
        </w:tc>
      </w:tr>
      <w:tr>
        <w:trPr>
          <w:trHeight w:val="244"/>
        </w:trPr>
        <w:tc>
          <w:tcPr>
            <w:tcW w:w="1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Utilization</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8"/>
                <w:szCs w:val="18"/>
                <w:color w:val="auto"/>
                <w:w w:val="99"/>
              </w:rPr>
              <w:t>Agricultural Chemicals</w:t>
            </w:r>
          </w:p>
        </w:tc>
        <w:tc>
          <w:tcPr>
            <w:tcW w:w="15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w:t>
            </w:r>
          </w:p>
        </w:tc>
        <w:tc>
          <w:tcPr>
            <w:tcW w:w="156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3%</w:t>
            </w:r>
          </w:p>
        </w:tc>
        <w:tc>
          <w:tcPr>
            <w:tcW w:w="1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5"/>
              </w:rPr>
              <w:t>Anhydrous Ammonia, Nitrogen – Based Liquid</w:t>
            </w:r>
          </w:p>
        </w:tc>
        <w:tc>
          <w:tcPr>
            <w:tcW w:w="16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Corn, Cotton and Wheat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Fertilizer, Industrial Ammonia</w:t>
            </w:r>
          </w:p>
        </w:tc>
        <w:tc>
          <w:tcPr>
            <w:tcW w:w="16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Production, Chemical</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Feedstock Usage</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40" w:firstLine="569"/>
        <w:spacing w:after="0" w:line="254" w:lineRule="auto"/>
        <w:rPr>
          <w:sz w:val="20"/>
          <w:szCs w:val="20"/>
          <w:color w:val="auto"/>
        </w:rPr>
      </w:pPr>
      <w:r>
        <w:rPr>
          <w:rFonts w:ascii="Arial" w:cs="Arial" w:eastAsia="Arial" w:hAnsi="Arial"/>
          <w:sz w:val="18"/>
          <w:szCs w:val="18"/>
          <w:color w:val="auto"/>
        </w:rPr>
        <w:t>KMT revenues for the 2023 second quarter and first six months increased 5% and 10%, respectively, and operating income increased 108% and 125%, respectively, compared to the 2022 second quarter and first six months. The increases for the 2023 second quarter and first six months were primarily due to higher term and spot pricing and increased tank barge utilization in the inland and coastal markets. The 2023 and 2022 first quarters were impacted by poor operating conditions including seasonal wind and fog along the Gulf Coast, flooding on the Mississippi River, and various lock closures along the Gulf Intracoastal Waterway resulting in higher delay days. Also, the 2022 first quarter was impacted by the COVID-19 Omicron variant as increased cases among the Company’s mariners led to crewing challenges, lost revenue and increased operating costs. For both the 2023 second quarter and first six months,</w:t>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13" w:right="29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the inland tank barge fleet contributed 82% and the coastal fleet contributed 18% of KMT revenues. For both the 2022 second quarter and first six months, the inland tank barge fleet contributed 78% and the coastal fleet contributed 22% of KMT revenues.</w:t>
      </w:r>
    </w:p>
    <w:p>
      <w:pPr>
        <w:spacing w:after="0" w:line="143" w:lineRule="exact"/>
        <w:rPr>
          <w:sz w:val="20"/>
          <w:szCs w:val="20"/>
          <w:color w:val="auto"/>
        </w:rPr>
      </w:pPr>
    </w:p>
    <w:p>
      <w:pPr>
        <w:jc w:val="both"/>
        <w:ind w:firstLine="569"/>
        <w:spacing w:after="0" w:line="279" w:lineRule="auto"/>
        <w:rPr>
          <w:sz w:val="20"/>
          <w:szCs w:val="20"/>
          <w:color w:val="auto"/>
        </w:rPr>
      </w:pPr>
      <w:r>
        <w:rPr>
          <w:rFonts w:ascii="Arial" w:cs="Arial" w:eastAsia="Arial" w:hAnsi="Arial"/>
          <w:sz w:val="17"/>
          <w:szCs w:val="17"/>
          <w:color w:val="auto"/>
        </w:rPr>
        <w:t>Inland tank barge utilization levels averaged in the low to mid-90% range during the 2023 first quarter and the low 90% range during the 2023 second quarter compared to the mid-80% range during the 2022 first quarter and the low 90% range during the 2022 second quarter. The 2023 first six months reflected increasing activity levels as a result of higher refinery and petrochemical plant utilization while the 2022 first six months were impacted by the COVID-19 Omicron variant as increased cases among the Company’s mariners led to crewing challenges.</w:t>
      </w:r>
    </w:p>
    <w:p>
      <w:pPr>
        <w:spacing w:after="0" w:line="131"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Coastal tank barge utilization levels averaged in the mid to high-90% range during both the 2023 first and second quarters compared to the low-90% range during both the 2022 first and second quarters. The increase in coastal tank barge utilization during 2023 was primarily due to continued improvements in market and customer demand.</w:t>
      </w:r>
    </w:p>
    <w:p>
      <w:pPr>
        <w:spacing w:after="0" w:line="143"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The petrochemical market, which is the Company’s largest market, contributed 51% of KMT revenues for both the 2023 second quarter and first six months, reflecting increased rates, volumes and utilization from Gulf Coast petrochemical plants as a result of improved economic conditions as compared to the 2022 first six months.</w:t>
      </w:r>
    </w:p>
    <w:p>
      <w:pPr>
        <w:spacing w:after="0" w:line="157"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The black oil market, which contributed 26% of KMT revenues for both the 2023 second quarter and first six months, reflected improved demand as refinery utilization and production levels of refined petroleum products and fuel oils increased. During the 2023 first six months, the Company transported crude oil and natural gas condensate produced from the Permian Basin and the Eagle Ford shale formation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121"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The refined petroleum products market, which contributed 20% of KMT revenues for both the 2023 second quarter and first six months, reflected increased volumes in the inland market with improved refinery utilization and product levels.</w:t>
      </w:r>
    </w:p>
    <w:p>
      <w:pPr>
        <w:spacing w:after="0" w:line="13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The agricultural chemical market, which contributed 3% of KMT revenues for both the 2023 second quarter and first six months, reflected improved demand for transportation of both domestically produced and imported products.</w:t>
      </w:r>
    </w:p>
    <w:p>
      <w:pPr>
        <w:spacing w:after="0" w:line="143"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7"/>
          <w:szCs w:val="17"/>
          <w:color w:val="auto"/>
        </w:rPr>
        <w:t>For the 2023 second quarter, inland operations incurred 2,317 delay days, 16% fewer than the 2,762 delay days that occurred during the 2022 second quarter. For the 2023 first six months, inland operations incurred 6,442 delay days, 9% more than the 5,899 delays days that occurred during the 2022 first six months. Delay days measure the lost time incurred by a tow (towboat and one or more tank barges) during transit when the tow is stopped due to weather, lock conditions, or other navigational factors. Delay days reflected poor operating conditions due to heavy wind and fog along the Gulf Coast and lock delays on the Mississippi and Illinois rivers during the 2023 and 2022 first quarters.</w:t>
      </w:r>
    </w:p>
    <w:p>
      <w:pPr>
        <w:spacing w:after="0" w:line="136"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During both the 2023 second quarter and first six months, approximately 55% of KMT inland revenues were under term contracts and 45% were spot contract revenues. During both the 2022 second quarter and first six months, approximately 60% of KMT inland revenues were under term contracts and 40% were spot contract revenues. Inland time charters during the 2023 second quarter and first six months represented approximately 62% and 61%, respectively, of inland revenues under term contracts compared with 57% in both the 2022 second quarter and first six months. During the 2023 second quarter and first six months, approximately 85% and 80%, respectively, of KMT coastal revenues were under term contracts. During the 2023 second quarter and first six months, approximately 15% and 20%, respectively, of KMT coastal revenues were under spot contracts. During both the 2022 second quarter and first six months, approximately 80% of the coastal revenues were under term contracts and 20% were spot contract revenues. Coastal time charters represented approximately 90% of coastal revenues under term contracts during both the 2023 and 2022 second quarters and first six months. Term contracts have contract terms of 12 months or longer, while spot contracts have contract terms of less than 12 months.</w:t>
      </w:r>
    </w:p>
    <w:p>
      <w:pPr>
        <w:spacing w:after="0" w:line="126"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2023 compared to contracts renewed during the corresponding quarter of 2022:</w:t>
      </w:r>
    </w:p>
    <w:p>
      <w:pPr>
        <w:spacing w:after="0" w:line="202"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Borders>
              <w:top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June 30, 2023</w:t>
            </w:r>
          </w:p>
        </w:tc>
      </w:tr>
      <w:tr>
        <w:trPr>
          <w:trHeight w:val="236"/>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Inland market:</w:t>
            </w:r>
          </w:p>
        </w:tc>
        <w:tc>
          <w:tcPr>
            <w:tcW w:w="414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r>
      <w:tr>
        <w:trPr>
          <w:trHeight w:val="237"/>
        </w:trPr>
        <w:tc>
          <w:tcPr>
            <w:tcW w:w="3460" w:type="dxa"/>
            <w:vAlign w:val="bottom"/>
          </w:tcPr>
          <w:p>
            <w:pPr>
              <w:jc w:val="center"/>
              <w:ind w:right="1950"/>
              <w:spacing w:after="0"/>
              <w:rPr>
                <w:sz w:val="20"/>
                <w:szCs w:val="20"/>
                <w:color w:val="auto"/>
              </w:rPr>
            </w:pPr>
            <w:r>
              <w:rPr>
                <w:rFonts w:ascii="Arial" w:cs="Arial" w:eastAsia="Arial" w:hAnsi="Arial"/>
                <w:sz w:val="18"/>
                <w:szCs w:val="18"/>
                <w:color w:val="auto"/>
                <w:w w:val="88"/>
              </w:rPr>
              <w:t>Term increase</w:t>
            </w:r>
          </w:p>
        </w:tc>
        <w:tc>
          <w:tcPr>
            <w:tcW w:w="4140" w:type="dxa"/>
            <w:vAlign w:val="bottom"/>
          </w:tcPr>
          <w:p>
            <w:pPr>
              <w:spacing w:after="0"/>
              <w:rPr>
                <w:sz w:val="20"/>
                <w:szCs w:val="20"/>
                <w:color w:val="auto"/>
              </w:rPr>
            </w:pPr>
          </w:p>
        </w:tc>
        <w:tc>
          <w:tcPr>
            <w:tcW w:w="1700" w:type="dxa"/>
            <w:vAlign w:val="bottom"/>
          </w:tcPr>
          <w:p>
            <w:pPr>
              <w:ind w:left="860"/>
              <w:spacing w:after="0"/>
              <w:rPr>
                <w:sz w:val="20"/>
                <w:szCs w:val="20"/>
                <w:color w:val="auto"/>
              </w:rPr>
            </w:pPr>
            <w:r>
              <w:rPr>
                <w:rFonts w:ascii="Arial" w:cs="Arial" w:eastAsia="Arial" w:hAnsi="Arial"/>
                <w:sz w:val="18"/>
                <w:szCs w:val="18"/>
                <w:color w:val="auto"/>
                <w:w w:val="89"/>
              </w:rPr>
              <w:t>10% – 12%</w:t>
            </w:r>
          </w:p>
        </w:tc>
        <w:tc>
          <w:tcPr>
            <w:tcW w:w="220" w:type="dxa"/>
            <w:vAlign w:val="bottom"/>
          </w:tcPr>
          <w:p>
            <w:pPr>
              <w:spacing w:after="0"/>
              <w:rPr>
                <w:sz w:val="20"/>
                <w:szCs w:val="20"/>
                <w:color w:val="auto"/>
              </w:rPr>
            </w:pPr>
          </w:p>
        </w:tc>
        <w:tc>
          <w:tcPr>
            <w:tcW w:w="1720" w:type="dxa"/>
            <w:vAlign w:val="bottom"/>
          </w:tcPr>
          <w:p>
            <w:pPr>
              <w:ind w:left="860"/>
              <w:spacing w:after="0"/>
              <w:rPr>
                <w:sz w:val="20"/>
                <w:szCs w:val="20"/>
                <w:color w:val="auto"/>
              </w:rPr>
            </w:pPr>
            <w:r>
              <w:rPr>
                <w:rFonts w:ascii="Arial" w:cs="Arial" w:eastAsia="Arial" w:hAnsi="Arial"/>
                <w:sz w:val="18"/>
                <w:szCs w:val="18"/>
                <w:color w:val="auto"/>
                <w:w w:val="91"/>
              </w:rPr>
              <w:t>10% – 12%</w:t>
            </w:r>
          </w:p>
        </w:tc>
      </w:tr>
      <w:tr>
        <w:trPr>
          <w:trHeight w:val="249"/>
        </w:trPr>
        <w:tc>
          <w:tcPr>
            <w:tcW w:w="3460" w:type="dxa"/>
            <w:vAlign w:val="bottom"/>
            <w:shd w:val="clear" w:color="auto" w:fill="CFF0FC"/>
          </w:tcPr>
          <w:p>
            <w:pPr>
              <w:jc w:val="center"/>
              <w:ind w:right="2010"/>
              <w:spacing w:after="0"/>
              <w:rPr>
                <w:sz w:val="20"/>
                <w:szCs w:val="20"/>
                <w:color w:val="auto"/>
              </w:rPr>
            </w:pPr>
            <w:r>
              <w:rPr>
                <w:rFonts w:ascii="Arial" w:cs="Arial" w:eastAsia="Arial" w:hAnsi="Arial"/>
                <w:sz w:val="18"/>
                <w:szCs w:val="18"/>
                <w:color w:val="auto"/>
                <w:w w:val="87"/>
              </w:rPr>
              <w:t>Spot increase</w:t>
            </w:r>
          </w:p>
        </w:tc>
        <w:tc>
          <w:tcPr>
            <w:tcW w:w="4140" w:type="dxa"/>
            <w:vAlign w:val="bottom"/>
            <w:shd w:val="clear" w:color="auto" w:fill="CFF0FC"/>
          </w:tcPr>
          <w:p>
            <w:pPr>
              <w:spacing w:after="0"/>
              <w:rPr>
                <w:sz w:val="21"/>
                <w:szCs w:val="21"/>
                <w:color w:val="auto"/>
              </w:rPr>
            </w:pPr>
          </w:p>
        </w:tc>
        <w:tc>
          <w:tcPr>
            <w:tcW w:w="170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9"/>
              </w:rPr>
              <w:t>23% – 26%</w:t>
            </w:r>
          </w:p>
        </w:tc>
        <w:tc>
          <w:tcPr>
            <w:tcW w:w="220" w:type="dxa"/>
            <w:vAlign w:val="bottom"/>
            <w:shd w:val="clear" w:color="auto" w:fill="CFF0FC"/>
          </w:tcPr>
          <w:p>
            <w:pPr>
              <w:spacing w:after="0"/>
              <w:rPr>
                <w:sz w:val="21"/>
                <w:szCs w:val="21"/>
                <w:color w:val="auto"/>
              </w:rPr>
            </w:pPr>
          </w:p>
        </w:tc>
        <w:tc>
          <w:tcPr>
            <w:tcW w:w="172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1"/>
              </w:rPr>
              <w:t>26% – 29%</w:t>
            </w:r>
          </w:p>
        </w:tc>
      </w:tr>
      <w:tr>
        <w:trPr>
          <w:trHeight w:val="237"/>
        </w:trPr>
        <w:tc>
          <w:tcPr>
            <w:tcW w:w="3460" w:type="dxa"/>
            <w:vAlign w:val="bottom"/>
          </w:tcPr>
          <w:p>
            <w:pPr>
              <w:jc w:val="center"/>
              <w:ind w:right="1950"/>
              <w:spacing w:after="0"/>
              <w:rPr>
                <w:sz w:val="20"/>
                <w:szCs w:val="20"/>
                <w:color w:val="auto"/>
              </w:rPr>
            </w:pPr>
            <w:r>
              <w:rPr>
                <w:rFonts w:ascii="Arial" w:cs="Arial" w:eastAsia="Arial" w:hAnsi="Arial"/>
                <w:sz w:val="18"/>
                <w:szCs w:val="18"/>
                <w:color w:val="auto"/>
                <w:w w:val="90"/>
              </w:rPr>
              <w:t>Coastal market (a):</w:t>
            </w:r>
          </w:p>
        </w:tc>
        <w:tc>
          <w:tcPr>
            <w:tcW w:w="4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9"/>
        </w:trPr>
        <w:tc>
          <w:tcPr>
            <w:tcW w:w="3460" w:type="dxa"/>
            <w:vAlign w:val="bottom"/>
            <w:shd w:val="clear" w:color="auto" w:fill="CFF0FC"/>
          </w:tcPr>
          <w:p>
            <w:pPr>
              <w:jc w:val="center"/>
              <w:ind w:right="1950"/>
              <w:spacing w:after="0"/>
              <w:rPr>
                <w:sz w:val="20"/>
                <w:szCs w:val="20"/>
                <w:color w:val="auto"/>
              </w:rPr>
            </w:pPr>
            <w:r>
              <w:rPr>
                <w:rFonts w:ascii="Arial" w:cs="Arial" w:eastAsia="Arial" w:hAnsi="Arial"/>
                <w:sz w:val="18"/>
                <w:szCs w:val="18"/>
                <w:color w:val="auto"/>
                <w:w w:val="88"/>
              </w:rPr>
              <w:t>Term increase</w:t>
            </w:r>
          </w:p>
        </w:tc>
        <w:tc>
          <w:tcPr>
            <w:tcW w:w="4140" w:type="dxa"/>
            <w:vAlign w:val="bottom"/>
            <w:shd w:val="clear" w:color="auto" w:fill="CFF0FC"/>
          </w:tcPr>
          <w:p>
            <w:pPr>
              <w:spacing w:after="0"/>
              <w:rPr>
                <w:sz w:val="21"/>
                <w:szCs w:val="21"/>
                <w:color w:val="auto"/>
              </w:rPr>
            </w:pPr>
          </w:p>
        </w:tc>
        <w:tc>
          <w:tcPr>
            <w:tcW w:w="170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9"/>
              </w:rPr>
              <w:t>10% – 12%</w:t>
            </w:r>
          </w:p>
        </w:tc>
        <w:tc>
          <w:tcPr>
            <w:tcW w:w="220" w:type="dxa"/>
            <w:vAlign w:val="bottom"/>
            <w:shd w:val="clear" w:color="auto" w:fill="CFF0FC"/>
          </w:tcPr>
          <w:p>
            <w:pPr>
              <w:spacing w:after="0"/>
              <w:rPr>
                <w:sz w:val="21"/>
                <w:szCs w:val="21"/>
                <w:color w:val="auto"/>
              </w:rPr>
            </w:pPr>
          </w:p>
        </w:tc>
        <w:tc>
          <w:tcPr>
            <w:tcW w:w="172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1"/>
              </w:rPr>
              <w:t>16% – 18%</w:t>
            </w:r>
          </w:p>
        </w:tc>
      </w:tr>
      <w:tr>
        <w:trPr>
          <w:trHeight w:val="230"/>
        </w:trPr>
        <w:tc>
          <w:tcPr>
            <w:tcW w:w="3460" w:type="dxa"/>
            <w:vAlign w:val="bottom"/>
          </w:tcPr>
          <w:p>
            <w:pPr>
              <w:jc w:val="center"/>
              <w:ind w:right="2010"/>
              <w:spacing w:after="0"/>
              <w:rPr>
                <w:sz w:val="20"/>
                <w:szCs w:val="20"/>
                <w:color w:val="auto"/>
              </w:rPr>
            </w:pPr>
            <w:r>
              <w:rPr>
                <w:rFonts w:ascii="Arial" w:cs="Arial" w:eastAsia="Arial" w:hAnsi="Arial"/>
                <w:sz w:val="18"/>
                <w:szCs w:val="18"/>
                <w:color w:val="auto"/>
                <w:w w:val="87"/>
              </w:rPr>
              <w:t>Spot increase</w:t>
            </w:r>
          </w:p>
        </w:tc>
        <w:tc>
          <w:tcPr>
            <w:tcW w:w="4140" w:type="dxa"/>
            <w:vAlign w:val="bottom"/>
          </w:tcPr>
          <w:p>
            <w:pPr>
              <w:spacing w:after="0"/>
              <w:rPr>
                <w:sz w:val="20"/>
                <w:szCs w:val="20"/>
                <w:color w:val="auto"/>
              </w:rPr>
            </w:pPr>
          </w:p>
        </w:tc>
        <w:tc>
          <w:tcPr>
            <w:tcW w:w="1700" w:type="dxa"/>
            <w:vAlign w:val="bottom"/>
          </w:tcPr>
          <w:p>
            <w:pPr>
              <w:ind w:left="860"/>
              <w:spacing w:after="0"/>
              <w:rPr>
                <w:sz w:val="20"/>
                <w:szCs w:val="20"/>
                <w:color w:val="auto"/>
              </w:rPr>
            </w:pPr>
            <w:r>
              <w:rPr>
                <w:rFonts w:ascii="Arial" w:cs="Arial" w:eastAsia="Arial" w:hAnsi="Arial"/>
                <w:sz w:val="18"/>
                <w:szCs w:val="18"/>
                <w:color w:val="auto"/>
                <w:w w:val="89"/>
              </w:rPr>
              <w:t>20% – 23%</w:t>
            </w:r>
          </w:p>
        </w:tc>
        <w:tc>
          <w:tcPr>
            <w:tcW w:w="220" w:type="dxa"/>
            <w:vAlign w:val="bottom"/>
          </w:tcPr>
          <w:p>
            <w:pPr>
              <w:spacing w:after="0"/>
              <w:rPr>
                <w:sz w:val="20"/>
                <w:szCs w:val="20"/>
                <w:color w:val="auto"/>
              </w:rPr>
            </w:pPr>
          </w:p>
        </w:tc>
        <w:tc>
          <w:tcPr>
            <w:tcW w:w="1720" w:type="dxa"/>
            <w:vAlign w:val="bottom"/>
          </w:tcPr>
          <w:p>
            <w:pPr>
              <w:ind w:left="860"/>
              <w:spacing w:after="0"/>
              <w:rPr>
                <w:sz w:val="20"/>
                <w:szCs w:val="20"/>
                <w:color w:val="auto"/>
              </w:rPr>
            </w:pPr>
            <w:r>
              <w:rPr>
                <w:rFonts w:ascii="Arial" w:cs="Arial" w:eastAsia="Arial" w:hAnsi="Arial"/>
                <w:sz w:val="18"/>
                <w:szCs w:val="18"/>
                <w:color w:val="auto"/>
                <w:w w:val="91"/>
              </w:rPr>
              <w:t>25% – 28%</w:t>
            </w:r>
          </w:p>
        </w:tc>
      </w:tr>
      <w:tr>
        <w:trPr>
          <w:trHeight w:val="593"/>
        </w:trPr>
        <w:tc>
          <w:tcPr>
            <w:tcW w:w="3460" w:type="dxa"/>
            <w:vAlign w:val="bottom"/>
          </w:tcPr>
          <w:p>
            <w:pPr>
              <w:spacing w:after="0"/>
              <w:rPr>
                <w:sz w:val="24"/>
                <w:szCs w:val="24"/>
                <w:color w:val="auto"/>
              </w:rPr>
            </w:pPr>
          </w:p>
        </w:tc>
        <w:tc>
          <w:tcPr>
            <w:tcW w:w="4140" w:type="dxa"/>
            <w:vAlign w:val="bottom"/>
          </w:tcPr>
          <w:p>
            <w:pPr>
              <w:jc w:val="right"/>
              <w:ind w:right="1790"/>
              <w:spacing w:after="0"/>
              <w:rPr>
                <w:sz w:val="20"/>
                <w:szCs w:val="20"/>
                <w:color w:val="auto"/>
              </w:rPr>
            </w:pPr>
            <w:r>
              <w:rPr>
                <w:rFonts w:ascii="Arial" w:cs="Arial" w:eastAsia="Arial" w:hAnsi="Arial"/>
                <w:sz w:val="18"/>
                <w:szCs w:val="18"/>
                <w:color w:val="auto"/>
              </w:rPr>
              <w:t>21</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ind w:left="940" w:hanging="370"/>
        <w:spacing w:after="0" w:line="277"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w:t>
      </w:r>
    </w:p>
    <w:p>
      <w:pPr>
        <w:spacing w:after="0" w:line="143"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Effective January 1, 2023, annual escalators for labor and the producer price index on a number of inland multi-year contracts resulted in rate increases on those contracts of approximately 9%, excluding fuel.</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185"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7"/>
          <w:szCs w:val="17"/>
          <w:color w:val="auto"/>
        </w:rPr>
        <w:t>Costs and expenses for the 2023 second quarter and first six months decreased 3% and increased 3%, respectively, compared to the 2022 second quarter and first six months. Costs of sales and operating expenses for the 2023 second quarter and first six months decreased 6% and increased 2%, respectively, compared with the 2022 second quarter and first six months. The decrease during the 2023 second quarter primarily reflected lower fuel costs, while the increase during the 2023 first six months primarily reflected improved business activity levels and inflationary cost pressures. The 2022 first quarter was negatively impacted by incremental costs associated with the COVID-19 Omicron variant.</w:t>
      </w:r>
    </w:p>
    <w:p>
      <w:pPr>
        <w:spacing w:after="0" w:line="149"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The inland marine transportation fleet operated an average of 281 towboats during the 2023 second quarter, of which an average of 66 were chartered, compared to 270 during the 2022 second quarter, of which an average of 59 were chartered. The increase was primarily due to increasing business activity levels during the 2023 second quarter. The Company charters in or releases chartered towboats in an effort to balance horsepower needs with current requirements, taking into account variability in demand or anticipated demand, addition or removal of tank barges from the fleet, chartered towboat availability, and weather or water conditions. The Company has historically used chartered towboats for approximately one-fourth of its horsepower requirements.</w:t>
      </w:r>
    </w:p>
    <w:p>
      <w:pPr>
        <w:spacing w:after="0" w:line="152" w:lineRule="exact"/>
        <w:rPr>
          <w:sz w:val="20"/>
          <w:szCs w:val="20"/>
          <w:color w:val="auto"/>
        </w:rPr>
      </w:pPr>
    </w:p>
    <w:p>
      <w:pPr>
        <w:jc w:val="both"/>
        <w:ind w:firstLine="569"/>
        <w:spacing w:after="0" w:line="272" w:lineRule="auto"/>
        <w:rPr>
          <w:sz w:val="20"/>
          <w:szCs w:val="20"/>
          <w:color w:val="auto"/>
        </w:rPr>
      </w:pPr>
      <w:r>
        <w:rPr>
          <w:rFonts w:ascii="Arial" w:cs="Arial" w:eastAsia="Arial" w:hAnsi="Arial"/>
          <w:sz w:val="17"/>
          <w:szCs w:val="17"/>
          <w:color w:val="auto"/>
        </w:rPr>
        <w:t>During the 2023 second quarter, inland operations consumed 12.2 million gallons of diesel fuel compared to 12.6 million gallons consumed during the 2022 second quarter. The average price per gallon of diesel fuel consumed during the 2023 second quarter was $2.87 per gallon compared with $3.98 per gallon for the 2022 second quarter. During the 2023 first six months, inland operations consumed 24.4 million gallons of diesel fuel compared to 24.2 million gallons consumed during the 2022 first six months. The average price per gallon of diesel fuel consumed during the 2023 first six months was $3.09 per gallon compared with $3.27 per gallon for the 2022 first six months.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37"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Selling, general and administrative expenses for the 2023 second quarter and first six months increased 19% and 13%, respectively, compared to the 2022 second quarter and first six months due to higher business activity levels and inflationary cost pressures. The increase for the 2023 second quarter and first six months was also due to salary and wage increases which went into effect July 1, 2022 and increased incentive compensation accruals.</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w:t>
      </w:r>
    </w:p>
    <w:p>
      <w:pPr>
        <w:spacing w:after="0" w:line="185"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KMT operating income for the 2023 second quarter and first six months increased 108% and 125%, respectively, compared with the 2022 second quarter and first six months. The 2023 second quarter operating margin was 15.0% compared with 7.6% for the 2022 second quarter. The 2023 first six months operating margin was 12.8% compared with 6.3% for the 2022 first six months. The increases in operating income and operating margin were primarily due to higher term and spot contract pricing and increased barge utilization in the inland and coastal markets, each as a result of improving business activity levels. The 2022 first quarter was negatively impacted by the COVID-19 Omicron variant as increased cases among the Company’s mariners led to crewing challenges, lost revenue and increased operating costs.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Distribution and Services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KDS revenues, costs and expenses, operating income, and operating margin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4"/>
              </w:rPr>
              <w:t>Three Months Ended June 30,</w:t>
            </w:r>
          </w:p>
        </w:tc>
        <w:tc>
          <w:tcPr>
            <w:tcW w:w="9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7"/>
              </w:rPr>
              <w:t>Six Months Ended June 30,</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7"/>
              </w:rPr>
              <w:t>% Change</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Distribution and services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350,286</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292,309</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20 %</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688,235</w:t>
            </w:r>
          </w:p>
        </w:tc>
        <w:tc>
          <w:tcPr>
            <w:tcW w:w="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547,555</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20"/>
                <w:szCs w:val="20"/>
                <w:color w:val="auto"/>
              </w:rPr>
            </w:pPr>
          </w:p>
        </w:tc>
      </w:tr>
      <w:tr>
        <w:trPr>
          <w:trHeight w:val="237"/>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w w:val="96"/>
              </w:rPr>
              <w:t>Costs of sales and operating expenses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268,657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229,196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528,521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425,715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45,686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94,883</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4,394</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8,639</w:t>
            </w: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8,239</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320,444</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275,572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635,601</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519,847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7"/>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29,842</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78 %</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52,634</w:t>
            </w:r>
          </w:p>
        </w:tc>
        <w:tc>
          <w:tcPr>
            <w:tcW w:w="2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27,708</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90 %</w:t>
            </w:r>
          </w:p>
        </w:tc>
        <w:tc>
          <w:tcPr>
            <w:tcW w:w="20" w:type="dxa"/>
            <w:vAlign w:val="bottom"/>
          </w:tcPr>
          <w:p>
            <w:pPr>
              <w:spacing w:after="0"/>
              <w:rPr>
                <w:sz w:val="24"/>
                <w:szCs w:val="24"/>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color w:val="auto"/>
                <w:highlight w:val="white"/>
              </w:rPr>
              <w:t>%</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color w:val="auto"/>
                <w:highlight w:val="white"/>
              </w:rPr>
              <w: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color w:val="auto"/>
                <w:highlight w:val="white"/>
              </w:rPr>
              <w:t>%</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color w:val="auto"/>
                <w:highlight w:val="white"/>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-1464945</wp:posOffset>
            </wp:positionV>
            <wp:extent cx="85725" cy="1631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-1464945</wp:posOffset>
            </wp:positionV>
            <wp:extent cx="85725" cy="1631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-1464945</wp:posOffset>
            </wp:positionV>
            <wp:extent cx="76835" cy="1631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-1464945</wp:posOffset>
            </wp:positionV>
            <wp:extent cx="85725" cy="1631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-530860</wp:posOffset>
            </wp:positionV>
            <wp:extent cx="85725"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-530860</wp:posOffset>
            </wp:positionV>
            <wp:extent cx="85725"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-530860</wp:posOffset>
            </wp:positionV>
            <wp:extent cx="76835"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-530860</wp:posOffset>
            </wp:positionV>
            <wp:extent cx="85725"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-205105</wp:posOffset>
            </wp:positionV>
            <wp:extent cx="857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-205105</wp:posOffset>
            </wp:positionV>
            <wp:extent cx="85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-205105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-205105</wp:posOffset>
            </wp:positionV>
            <wp:extent cx="857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markets serviced by KDS, the revenue distribution, and the customers for each market: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2023 Second Quarter</w:t>
            </w:r>
          </w:p>
        </w:tc>
        <w:tc>
          <w:tcPr>
            <w:tcW w:w="2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2023 Six Months</w:t>
            </w:r>
          </w:p>
        </w:tc>
        <w:tc>
          <w:tcPr>
            <w:tcW w:w="1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Markets Serviced</w:t>
            </w:r>
          </w:p>
        </w:tc>
        <w:tc>
          <w:tcPr>
            <w:tcW w:w="2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2"/>
                <w:szCs w:val="12"/>
                <w:color w:val="auto"/>
              </w:rPr>
            </w:pPr>
          </w:p>
        </w:tc>
        <w:tc>
          <w:tcPr>
            <w:tcW w:w="450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Customers</w:t>
            </w:r>
          </w:p>
        </w:tc>
        <w:tc>
          <w:tcPr>
            <w:tcW w:w="0" w:type="dxa"/>
            <w:vAlign w:val="bottom"/>
          </w:tcPr>
          <w:p>
            <w:pPr>
              <w:spacing w:after="0"/>
              <w:rPr>
                <w:sz w:val="1"/>
                <w:szCs w:val="1"/>
                <w:color w:val="auto"/>
              </w:rPr>
            </w:pPr>
          </w:p>
        </w:tc>
      </w:tr>
      <w:tr>
        <w:trPr>
          <w:trHeight w:val="185"/>
        </w:trPr>
        <w:tc>
          <w:tcPr>
            <w:tcW w:w="30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2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80" w:type="dxa"/>
            <w:vAlign w:val="bottom"/>
          </w:tcPr>
          <w:p>
            <w:pPr>
              <w:spacing w:after="0"/>
              <w:rPr>
                <w:sz w:val="16"/>
                <w:szCs w:val="16"/>
                <w:color w:val="auto"/>
              </w:rPr>
            </w:pPr>
          </w:p>
        </w:tc>
        <w:tc>
          <w:tcPr>
            <w:tcW w:w="4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52%</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54%</w:t>
            </w:r>
          </w:p>
        </w:tc>
        <w:tc>
          <w:tcPr>
            <w:tcW w:w="180" w:type="dxa"/>
            <w:vAlign w:val="bottom"/>
            <w:shd w:val="clear" w:color="auto" w:fill="CFF0FC"/>
          </w:tcPr>
          <w:p>
            <w:pPr>
              <w:spacing w:after="0"/>
              <w:rPr>
                <w:sz w:val="18"/>
                <w:szCs w:val="18"/>
                <w:color w:val="auto"/>
              </w:rPr>
            </w:pPr>
          </w:p>
        </w:tc>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Inland River Carriers — Dry and Liquid, Offshore Towing —</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Dry and Liquid, Offshore Oilfield Services — Drilling Rigs</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&amp; Supply Boats, Harbor Towing, Dredging, Great Lakes Ore</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Carriers, Pleasure Crafts, On and Off-Highway</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Transportation, Power Generation, Standby Power</w:t>
            </w:r>
          </w:p>
        </w:tc>
        <w:tc>
          <w:tcPr>
            <w:tcW w:w="0" w:type="dxa"/>
            <w:vAlign w:val="bottom"/>
          </w:tcPr>
          <w:p>
            <w:pPr>
              <w:spacing w:after="0"/>
              <w:rPr>
                <w:sz w:val="1"/>
                <w:szCs w:val="1"/>
                <w:color w:val="auto"/>
              </w:rPr>
            </w:pPr>
          </w:p>
        </w:tc>
      </w:tr>
      <w:tr>
        <w:trPr>
          <w:trHeight w:val="244"/>
        </w:trPr>
        <w:tc>
          <w:tcPr>
            <w:tcW w:w="3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Generation, Pumping Stations, Mining</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Oil and Gas</w:t>
            </w:r>
          </w:p>
        </w:tc>
        <w:tc>
          <w:tcPr>
            <w:tcW w:w="174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48%</w:t>
            </w:r>
          </w:p>
        </w:tc>
        <w:tc>
          <w:tcPr>
            <w:tcW w:w="178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46%</w:t>
            </w:r>
          </w:p>
        </w:tc>
        <w:tc>
          <w:tcPr>
            <w:tcW w:w="18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Oilfield Services, Oil and Gas Operators and Producers</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569"/>
        <w:spacing w:after="0" w:line="255" w:lineRule="auto"/>
        <w:rPr>
          <w:sz w:val="20"/>
          <w:szCs w:val="20"/>
          <w:color w:val="auto"/>
        </w:rPr>
      </w:pPr>
      <w:r>
        <w:rPr>
          <w:rFonts w:ascii="Arial" w:cs="Arial" w:eastAsia="Arial" w:hAnsi="Arial"/>
          <w:sz w:val="18"/>
          <w:szCs w:val="18"/>
          <w:color w:val="auto"/>
        </w:rPr>
        <w:t>KDS revenues for the 2023 second quarter and first six months increased 20% and 26%, respectively, compared to the 2022 second quarter and first six months. In the commercial and industrial market, the increase for the 2023 second quarter and first six months was primarily attributable to strong economic activity across the United States which resulted in higher business levels in the marine and on-highway businesses. Increased product sales in Thermo King also contributed favorably to the 2023 second quarter and first six months results. These increases were partially offset by continuing supply chain constraints and delays. For the 2023 second quarter and first six months, the commercial and industrial market contributed 52% and 54%, respectively, of KDS revenues.</w:t>
      </w:r>
    </w:p>
    <w:p>
      <w:pPr>
        <w:spacing w:after="0" w:line="152" w:lineRule="exact"/>
        <w:rPr>
          <w:sz w:val="20"/>
          <w:szCs w:val="20"/>
          <w:color w:val="auto"/>
        </w:rPr>
      </w:pPr>
    </w:p>
    <w:p>
      <w:pPr>
        <w:jc w:val="both"/>
        <w:ind w:right="20" w:firstLine="562"/>
        <w:spacing w:after="0" w:line="257" w:lineRule="auto"/>
        <w:rPr>
          <w:sz w:val="20"/>
          <w:szCs w:val="20"/>
          <w:color w:val="auto"/>
        </w:rPr>
      </w:pPr>
      <w:r>
        <w:rPr>
          <w:rFonts w:ascii="Arial" w:cs="Arial" w:eastAsia="Arial" w:hAnsi="Arial"/>
          <w:sz w:val="18"/>
          <w:szCs w:val="18"/>
          <w:color w:val="auto"/>
        </w:rPr>
        <w:t>In the oil and gas market, revenues improved compared to the 2022 second quarter and first six months due to higher oilfield activity which resulted in increased demand for new transmissions and parts in the distribution business. Although the manufacturing business was impacted by ongoing supply chain delays, the business continued to experience increased orders and deliveries of new environmentally friendly pressure pumping equipment and power generation equipment for electric fracturing. For the 2023 second quarter and first six months, the oil and gas market contributed 48% and 46%, respectively, of KDS revenues.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198" w:lineRule="exact"/>
        <w:rPr>
          <w:sz w:val="20"/>
          <w:szCs w:val="20"/>
          <w:color w:val="auto"/>
        </w:rPr>
      </w:pPr>
    </w:p>
    <w:p>
      <w:pPr>
        <w:jc w:val="both"/>
        <w:ind w:right="20" w:firstLine="569"/>
        <w:spacing w:after="0" w:line="279" w:lineRule="auto"/>
        <w:rPr>
          <w:sz w:val="20"/>
          <w:szCs w:val="20"/>
          <w:color w:val="auto"/>
        </w:rPr>
      </w:pPr>
      <w:r>
        <w:rPr>
          <w:rFonts w:ascii="Arial" w:cs="Arial" w:eastAsia="Arial" w:hAnsi="Arial"/>
          <w:sz w:val="17"/>
          <w:szCs w:val="17"/>
          <w:color w:val="auto"/>
        </w:rPr>
        <w:t>Costs and expenses for the 2023 second quarter and first six months increased 16% and 22%, respectively, compared with the 2022 second quarter and first six months. Costs of sales and operating expenses for the 2023 second quarter and first six months increased 17% and 24%, respectively, compared with the 2022 second quarter and first six months, reflecting higher demand in the marine and on-highway businesses in commercial and industrial markets as well as increased demand in the oil and gas market as a result of higher oilfield activity levels.</w:t>
      </w:r>
    </w:p>
    <w:p>
      <w:pPr>
        <w:spacing w:after="0" w:line="131"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Selling, general and administrative expenses for the 2023 second quarter and first six months increased 12% and 15%, respectively, compared to the 2022 second quarter and first six months, primarily due to continued inflationary cost pressures, higher business activity and annual compensation increases which went into effect July 1, 2022.</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23" w:name="page24"/>
    <w:bookmarkEnd w:id="23"/>
    <w:p>
      <w:pPr>
        <w:ind w:left="580"/>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w:t>
      </w:r>
    </w:p>
    <w:p>
      <w:pPr>
        <w:spacing w:after="0" w:line="198" w:lineRule="exact"/>
        <w:rPr>
          <w:sz w:val="20"/>
          <w:szCs w:val="20"/>
          <w:color w:val="auto"/>
        </w:rPr>
      </w:pPr>
    </w:p>
    <w:p>
      <w:pPr>
        <w:jc w:val="both"/>
        <w:ind w:right="80" w:firstLine="569"/>
        <w:spacing w:after="0" w:line="259" w:lineRule="auto"/>
        <w:rPr>
          <w:sz w:val="20"/>
          <w:szCs w:val="20"/>
          <w:color w:val="auto"/>
        </w:rPr>
      </w:pPr>
      <w:r>
        <w:rPr>
          <w:rFonts w:ascii="Arial" w:cs="Arial" w:eastAsia="Arial" w:hAnsi="Arial"/>
          <w:sz w:val="18"/>
          <w:szCs w:val="18"/>
          <w:color w:val="auto"/>
        </w:rPr>
        <w:t>KDS operating income for the 2023 second quarter and first six months increased 78% and 90%, respectively, compared with the 2022 second quarter and first six months. The 2023 second quarter operating margin was 8.5% compared to 5.7% for the 2022 second quarter. The 2023 first six months operating margin was 7.6% compared to 5.1% for the 2022 first six months. The results reflect increased business levels in both the commercial and industrial and oil and gas markets.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Expenses</w:t>
      </w:r>
    </w:p>
    <w:p>
      <w:pPr>
        <w:spacing w:after="0" w:line="189" w:lineRule="exact"/>
        <w:rPr>
          <w:sz w:val="20"/>
          <w:szCs w:val="20"/>
          <w:color w:val="auto"/>
        </w:rPr>
      </w:pPr>
    </w:p>
    <w:p>
      <w:pPr>
        <w:jc w:val="both"/>
        <w:ind w:right="80" w:firstLine="569"/>
        <w:spacing w:after="0" w:line="342" w:lineRule="auto"/>
        <w:rPr>
          <w:sz w:val="20"/>
          <w:szCs w:val="20"/>
          <w:color w:val="auto"/>
        </w:rPr>
      </w:pPr>
      <w:r>
        <w:rPr>
          <w:rFonts w:ascii="Arial" w:cs="Arial" w:eastAsia="Arial" w:hAnsi="Arial"/>
          <w:sz w:val="16"/>
          <w:szCs w:val="16"/>
          <w:color w:val="auto"/>
        </w:rPr>
        <w:t>General corporate expenses for the 2023 second quarter and first six months increased compared to the 2022 second quarter and first six months primarily due to higher legal and insurance costs. The 2023 first quarter also included costs related to strategic review and shareholder engagement.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w:t>
      </w:r>
    </w:p>
    <w:p>
      <w:pPr>
        <w:spacing w:after="0" w:line="189" w:lineRule="exact"/>
        <w:rPr>
          <w:sz w:val="20"/>
          <w:szCs w:val="20"/>
          <w:color w:val="auto"/>
        </w:rPr>
      </w:pPr>
    </w:p>
    <w:p>
      <w:pPr>
        <w:jc w:val="both"/>
        <w:ind w:right="80" w:firstLine="562"/>
        <w:spacing w:after="0" w:line="263" w:lineRule="auto"/>
        <w:rPr>
          <w:sz w:val="20"/>
          <w:szCs w:val="20"/>
          <w:color w:val="auto"/>
        </w:rPr>
      </w:pPr>
      <w:r>
        <w:rPr>
          <w:rFonts w:ascii="Arial" w:cs="Arial" w:eastAsia="Arial" w:hAnsi="Arial"/>
          <w:sz w:val="18"/>
          <w:szCs w:val="18"/>
          <w:color w:val="auto"/>
        </w:rPr>
        <w:t>The Company reported a net gain on disposition of assets of $0.5 million for the 2023 second quarter and $2.7 million for the 2022 second quarter. The Company reported a net gain on disposition of assets of $2.7 million for the 2023 first six months and $7.6 million for the 2022 first six months. The net gains were primarily from sales of marine transportation equipment.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other income, noncontrolling interests, and interest expense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3"/>
              </w:rPr>
              <w:t>Three Months Ended June 30,</w:t>
            </w:r>
          </w:p>
        </w:tc>
        <w:tc>
          <w:tcPr>
            <w:tcW w:w="9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1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 Change</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3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1,264</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3,740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8,048</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42"/>
        </w:trPr>
        <w:tc>
          <w:tcPr>
            <w:tcW w:w="27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(149 )</w:t>
            </w:r>
          </w:p>
        </w:tc>
        <w:tc>
          <w:tcPr>
            <w:tcW w:w="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1"/>
                <w:szCs w:val="21"/>
                <w:color w:val="auto"/>
              </w:rPr>
            </w:pP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(301 )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(142 )%</w:t>
            </w:r>
          </w:p>
        </w:tc>
      </w:tr>
      <w:tr>
        <w:trPr>
          <w:trHeight w:val="257"/>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(12,286 )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(10,640 )</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15 %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(25,507 )</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(20,843 )</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w:t>
      </w:r>
    </w:p>
    <w:p>
      <w:pPr>
        <w:spacing w:after="0" w:line="185" w:lineRule="exact"/>
        <w:rPr>
          <w:sz w:val="20"/>
          <w:szCs w:val="20"/>
          <w:color w:val="auto"/>
        </w:rPr>
      </w:pPr>
    </w:p>
    <w:p>
      <w:pPr>
        <w:jc w:val="both"/>
        <w:ind w:right="80" w:firstLine="562"/>
        <w:spacing w:after="0" w:line="286" w:lineRule="auto"/>
        <w:rPr>
          <w:sz w:val="20"/>
          <w:szCs w:val="20"/>
          <w:color w:val="auto"/>
        </w:rPr>
      </w:pPr>
      <w:r>
        <w:rPr>
          <w:rFonts w:ascii="Arial" w:cs="Arial" w:eastAsia="Arial" w:hAnsi="Arial"/>
          <w:sz w:val="17"/>
          <w:szCs w:val="17"/>
          <w:color w:val="auto"/>
        </w:rPr>
        <w:t>Other income for the 2023 and 2022 second quarters include income of $1.2 million and $3.5 million, respectively, and the 2023 and 2022 first six months includes income of $2.4 million and $6.9 million, respectively, for all components of net benefit costs except the service cost component related to the Company’s defined benefit plans. The 2023 first quarter also includes interest income associated with the IRS refund.</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average debt and average interest rate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84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8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debt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1,024,071</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1,149,355</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1,112,956</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1,163,759</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Average interest rate</w:t>
            </w:r>
          </w:p>
        </w:tc>
        <w:tc>
          <w:tcPr>
            <w:tcW w:w="3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4.7 %</w:t>
            </w:r>
          </w:p>
        </w:tc>
        <w:tc>
          <w:tcPr>
            <w:tcW w:w="3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3.7 %</w:t>
            </w:r>
          </w:p>
        </w:tc>
        <w:tc>
          <w:tcPr>
            <w:tcW w:w="3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4.6 %</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20"/>
                <w:szCs w:val="20"/>
                <w:color w:val="auto"/>
              </w:rPr>
            </w:pPr>
          </w:p>
        </w:tc>
      </w:tr>
    </w:tbl>
    <w:p>
      <w:pPr>
        <w:spacing w:after="0" w:line="174" w:lineRule="exact"/>
        <w:rPr>
          <w:sz w:val="20"/>
          <w:szCs w:val="20"/>
          <w:color w:val="auto"/>
        </w:rPr>
      </w:pPr>
    </w:p>
    <w:p>
      <w:pPr>
        <w:jc w:val="both"/>
        <w:ind w:right="80" w:firstLine="569"/>
        <w:spacing w:after="0" w:line="263" w:lineRule="auto"/>
        <w:rPr>
          <w:sz w:val="20"/>
          <w:szCs w:val="20"/>
          <w:color w:val="auto"/>
        </w:rPr>
      </w:pPr>
      <w:r>
        <w:rPr>
          <w:rFonts w:ascii="Arial" w:cs="Arial" w:eastAsia="Arial" w:hAnsi="Arial"/>
          <w:sz w:val="18"/>
          <w:szCs w:val="18"/>
          <w:color w:val="auto"/>
        </w:rPr>
        <w:t>Interest expense for the 2023 second quarter and first six months increased 15% and 22%, respectively, compared with the 2022 second quarter and first six months, primarily due to a higher average interest rate. There was no capitalized interest excluded from interest expense during the 2023 or 2022 first six months.</w:t>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1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significant components of the balance sheets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December 31,</w:t>
            </w:r>
          </w:p>
        </w:tc>
        <w:tc>
          <w:tcPr>
            <w:tcW w:w="320" w:type="dxa"/>
            <w:vAlign w:val="bottom"/>
          </w:tcPr>
          <w:p>
            <w:pPr>
              <w:spacing w:after="0"/>
              <w:rPr>
                <w:sz w:val="14"/>
                <w:szCs w:val="14"/>
                <w:color w:val="auto"/>
              </w:rPr>
            </w:pPr>
          </w:p>
        </w:tc>
        <w:tc>
          <w:tcPr>
            <w:tcW w:w="15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6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8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1,168,656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1,211,759</w:t>
            </w: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9"/>
        </w:trPr>
        <w:tc>
          <w:tcPr>
            <w:tcW w:w="6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3,697,939</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3,633,462</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152,504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154,507</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438,748</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438,748</w:t>
            </w:r>
          </w:p>
        </w:tc>
        <w:tc>
          <w:tcPr>
            <w:tcW w:w="32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380" w:type="dxa"/>
            <w:vAlign w:val="bottom"/>
          </w:tcPr>
          <w:p>
            <w:pPr>
              <w:ind w:left="200"/>
              <w:spacing w:after="0"/>
              <w:rPr>
                <w:sz w:val="20"/>
                <w:szCs w:val="20"/>
                <w:color w:val="auto"/>
              </w:rPr>
            </w:pPr>
            <w:r>
              <w:rPr>
                <w:rFonts w:ascii="Arial" w:cs="Arial" w:eastAsia="Arial" w:hAnsi="Arial"/>
                <w:sz w:val="18"/>
                <w:szCs w:val="18"/>
                <w:color w:val="auto"/>
              </w:rPr>
              <w:t>Other intangibles, net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47,188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51,463</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69,544</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64,985</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5,574,579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5,554,924</w:t>
            </w:r>
          </w:p>
        </w:tc>
        <w:tc>
          <w:tcPr>
            <w:tcW w:w="320" w:type="dxa"/>
            <w:vAlign w:val="bottom"/>
          </w:tcPr>
          <w:p>
            <w:pPr>
              <w:spacing w:after="0"/>
              <w:rPr>
                <w:sz w:val="20"/>
                <w:szCs w:val="20"/>
                <w:color w:val="auto"/>
              </w:rPr>
            </w:pPr>
          </w:p>
        </w:tc>
        <w:tc>
          <w:tcPr>
            <w:tcW w:w="1580" w:type="dxa"/>
            <w:vAlign w:val="bottom"/>
            <w:gridSpan w:val="3"/>
          </w:tcPr>
          <w:p>
            <w:pPr>
              <w:ind w:left="118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656,297</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642,197</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380" w:type="dxa"/>
            <w:vAlign w:val="bottom"/>
          </w:tcPr>
          <w:p>
            <w:pPr>
              <w:ind w:left="200"/>
              <w:spacing w:after="0"/>
              <w:rPr>
                <w:sz w:val="20"/>
                <w:szCs w:val="20"/>
                <w:color w:val="auto"/>
              </w:rPr>
            </w:pPr>
            <w:r>
              <w:rPr>
                <w:rFonts w:ascii="Arial" w:cs="Arial" w:eastAsia="Arial" w:hAnsi="Arial"/>
                <w:sz w:val="18"/>
                <w:szCs w:val="18"/>
                <w:color w:val="auto"/>
              </w:rPr>
              <w:t>Long-term debt, net – less current portion</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990,954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1,076,326</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656,528</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625,884</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80" w:type="dxa"/>
            <w:vAlign w:val="bottom"/>
          </w:tcPr>
          <w:p>
            <w:pPr>
              <w:ind w:left="200"/>
              <w:spacing w:after="0"/>
              <w:rPr>
                <w:sz w:val="20"/>
                <w:szCs w:val="20"/>
                <w:color w:val="auto"/>
              </w:rPr>
            </w:pPr>
            <w:r>
              <w:rPr>
                <w:rFonts w:ascii="Arial" w:cs="Arial" w:eastAsia="Arial" w:hAnsi="Arial"/>
                <w:sz w:val="18"/>
                <w:szCs w:val="18"/>
                <w:color w:val="auto"/>
              </w:rPr>
              <w:t>Operating lease liabilities – less current portion</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142,470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142,140</w:t>
            </w:r>
          </w:p>
        </w:tc>
        <w:tc>
          <w:tcPr>
            <w:tcW w:w="3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15,521</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23,209</w:t>
            </w:r>
          </w:p>
        </w:tc>
        <w:tc>
          <w:tcPr>
            <w:tcW w:w="18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3,112,809</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3,045,168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3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5,574,579</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5,554,924</w:t>
            </w:r>
          </w:p>
        </w:tc>
        <w:tc>
          <w:tcPr>
            <w:tcW w:w="32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gridSpan w:val="2"/>
            <w:shd w:val="clear" w:color="auto" w:fill="CFF0FC"/>
          </w:tcPr>
          <w:p>
            <w:pPr>
              <w:ind w:left="1180"/>
              <w:spacing w:after="0"/>
              <w:rPr>
                <w:sz w:val="20"/>
                <w:szCs w:val="20"/>
                <w:color w:val="auto"/>
              </w:rPr>
            </w:pPr>
            <w:r>
              <w:rPr>
                <w:rFonts w:ascii="Arial" w:cs="Arial" w:eastAsia="Arial" w:hAnsi="Arial"/>
                <w:sz w:val="18"/>
                <w:szCs w:val="18"/>
                <w:color w:val="auto"/>
                <w:w w:val="76"/>
              </w:rPr>
              <w:t>—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-1610995</wp:posOffset>
            </wp:positionV>
            <wp:extent cx="85725"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-1610995</wp:posOffset>
            </wp:positionV>
            <wp:extent cx="85725" cy="1885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-25400</wp:posOffset>
            </wp:positionV>
            <wp:extent cx="857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857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857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857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1" w:lineRule="exact"/>
        <w:rPr>
          <w:sz w:val="20"/>
          <w:szCs w:val="20"/>
          <w:color w:val="auto"/>
        </w:rPr>
      </w:pPr>
    </w:p>
    <w:p>
      <w:pPr>
        <w:jc w:val="both"/>
        <w:ind w:right="80" w:firstLine="562"/>
        <w:spacing w:after="0" w:line="257" w:lineRule="auto"/>
        <w:rPr>
          <w:sz w:val="20"/>
          <w:szCs w:val="20"/>
          <w:color w:val="auto"/>
        </w:rPr>
      </w:pPr>
      <w:r>
        <w:rPr>
          <w:rFonts w:ascii="Arial" w:cs="Arial" w:eastAsia="Arial" w:hAnsi="Arial"/>
          <w:sz w:val="18"/>
          <w:szCs w:val="18"/>
          <w:color w:val="auto"/>
        </w:rPr>
        <w:t>Current assets as of June 30, 2023 decreased 4% compared with December 31, 2022. Trade accounts receivable increased 8%, primarily due to increased business activity levels in both KMT and KDS. Other receivables decreased 65% as the Company received its tax refund of $70.4 million plus accrued interest in April 2023. Inventories increased by 9% due to higher activity and the impact of ongoing supply chain delays in KDS resulting in buildup for projects that will be delivered later in 2023 and into 2024. Prepaid expenses and other current assets decreased 5% primarily due to amortization of insurance premiums and the sale of assets held for sale.</w:t>
      </w:r>
    </w:p>
    <w:p>
      <w:pPr>
        <w:spacing w:after="0" w:line="161" w:lineRule="exact"/>
        <w:rPr>
          <w:sz w:val="20"/>
          <w:szCs w:val="20"/>
          <w:color w:val="auto"/>
        </w:rPr>
      </w:pPr>
    </w:p>
    <w:p>
      <w:pPr>
        <w:jc w:val="both"/>
        <w:ind w:right="80" w:firstLine="562"/>
        <w:spacing w:after="0" w:line="286" w:lineRule="auto"/>
        <w:rPr>
          <w:sz w:val="20"/>
          <w:szCs w:val="20"/>
          <w:color w:val="auto"/>
        </w:rPr>
      </w:pPr>
      <w:r>
        <w:rPr>
          <w:rFonts w:ascii="Arial" w:cs="Arial" w:eastAsia="Arial" w:hAnsi="Arial"/>
          <w:sz w:val="17"/>
          <w:szCs w:val="17"/>
          <w:color w:val="auto"/>
        </w:rPr>
        <w:t>Property and equipment, net of accumulated depreciation, at June 30, 2023 increased 2% compared with December 31, 2022. The increase reflected $176.3 million of capital additions (including an increase in accrued capital expenditures of $5.1 million), partially offset by $99.1 million of depreciation expense and $12.8 million of property disposals more fully described under Cash Flows and Capital Expenditures below.</w:t>
      </w:r>
    </w:p>
    <w:p>
      <w:pPr>
        <w:spacing w:after="0" w:line="125" w:lineRule="exact"/>
        <w:rPr>
          <w:sz w:val="20"/>
          <w:szCs w:val="20"/>
          <w:color w:val="auto"/>
        </w:rPr>
      </w:pPr>
    </w:p>
    <w:p>
      <w:pPr>
        <w:jc w:val="both"/>
        <w:ind w:right="80" w:firstLine="562"/>
        <w:spacing w:after="0" w:line="277" w:lineRule="auto"/>
        <w:rPr>
          <w:sz w:val="20"/>
          <w:szCs w:val="20"/>
          <w:color w:val="auto"/>
        </w:rPr>
      </w:pPr>
      <w:r>
        <w:rPr>
          <w:rFonts w:ascii="Arial" w:cs="Arial" w:eastAsia="Arial" w:hAnsi="Arial"/>
          <w:sz w:val="18"/>
          <w:szCs w:val="18"/>
          <w:color w:val="auto"/>
        </w:rPr>
        <w:t>Other intangibles, net, as of June 30, 2023 decreased 8% compared with December 31, 2022, primarily due to amortization during the 2023 first six months.</w:t>
      </w:r>
    </w:p>
    <w:p>
      <w:pPr>
        <w:spacing w:after="0" w:line="130" w:lineRule="exact"/>
        <w:rPr>
          <w:sz w:val="20"/>
          <w:szCs w:val="20"/>
          <w:color w:val="auto"/>
        </w:rPr>
      </w:pPr>
    </w:p>
    <w:p>
      <w:pPr>
        <w:jc w:val="both"/>
        <w:ind w:right="80" w:firstLine="562"/>
        <w:spacing w:after="0" w:line="277" w:lineRule="auto"/>
        <w:rPr>
          <w:sz w:val="20"/>
          <w:szCs w:val="20"/>
          <w:color w:val="auto"/>
        </w:rPr>
      </w:pPr>
      <w:r>
        <w:rPr>
          <w:rFonts w:ascii="Arial" w:cs="Arial" w:eastAsia="Arial" w:hAnsi="Arial"/>
          <w:sz w:val="18"/>
          <w:szCs w:val="18"/>
          <w:color w:val="auto"/>
        </w:rPr>
        <w:t>Other assets as of June 30, 2023 increased 7% compared with December 31, 2022, primarily due to additional deferred major maintenance drydock expenditures incurred during the 2023 first six months partially offset by amortization of drydock expenditures.</w:t>
      </w:r>
    </w:p>
    <w:p>
      <w:pPr>
        <w:spacing w:after="0" w:line="143" w:lineRule="exact"/>
        <w:rPr>
          <w:sz w:val="20"/>
          <w:szCs w:val="20"/>
          <w:color w:val="auto"/>
        </w:rPr>
      </w:pPr>
    </w:p>
    <w:p>
      <w:pPr>
        <w:jc w:val="both"/>
        <w:ind w:right="80" w:firstLine="569"/>
        <w:spacing w:after="0" w:line="277" w:lineRule="auto"/>
        <w:rPr>
          <w:sz w:val="20"/>
          <w:szCs w:val="20"/>
          <w:color w:val="auto"/>
        </w:rPr>
      </w:pPr>
      <w:r>
        <w:rPr>
          <w:rFonts w:ascii="Arial" w:cs="Arial" w:eastAsia="Arial" w:hAnsi="Arial"/>
          <w:sz w:val="18"/>
          <w:szCs w:val="18"/>
          <w:color w:val="auto"/>
        </w:rPr>
        <w:t>Current liabilities as of June 30, 2023 increased 2% compared with December 31, 2022. Deferred revenue increased 10% primarily due to deposits on equipment expected to be shipped later in 2023 in KDS.</w:t>
      </w:r>
    </w:p>
    <w:p>
      <w:pPr>
        <w:spacing w:after="0" w:line="130" w:lineRule="exact"/>
        <w:rPr>
          <w:sz w:val="20"/>
          <w:szCs w:val="20"/>
          <w:color w:val="auto"/>
        </w:rPr>
      </w:pPr>
    </w:p>
    <w:p>
      <w:pPr>
        <w:jc w:val="both"/>
        <w:ind w:right="80" w:firstLine="562"/>
        <w:spacing w:after="0" w:line="263" w:lineRule="auto"/>
        <w:rPr>
          <w:sz w:val="20"/>
          <w:szCs w:val="20"/>
          <w:color w:val="auto"/>
        </w:rPr>
      </w:pPr>
      <w:r>
        <w:rPr>
          <w:rFonts w:ascii="Arial" w:cs="Arial" w:eastAsia="Arial" w:hAnsi="Arial"/>
          <w:sz w:val="18"/>
          <w:szCs w:val="18"/>
          <w:color w:val="auto"/>
        </w:rPr>
        <w:t>Long-term debt, net – less current portion, as of June 30, 2023 decreased 8% compared with December 31, 2022, primarily reflecting the maturity of the 3.29% senior notes due February 27, 2023, offset by borrowings under the 3.46% and 3.51% senior notes due January 19, 2033 and the 2027 Revolving Credit Facility.</w:t>
      </w:r>
    </w:p>
    <w:p>
      <w:pPr>
        <w:spacing w:after="0" w:line="143" w:lineRule="exact"/>
        <w:rPr>
          <w:sz w:val="20"/>
          <w:szCs w:val="20"/>
          <w:color w:val="auto"/>
        </w:rPr>
      </w:pPr>
    </w:p>
    <w:p>
      <w:pPr>
        <w:jc w:val="both"/>
        <w:ind w:right="80" w:firstLine="562"/>
        <w:spacing w:after="0" w:line="277" w:lineRule="auto"/>
        <w:rPr>
          <w:sz w:val="20"/>
          <w:szCs w:val="20"/>
          <w:color w:val="auto"/>
        </w:rPr>
      </w:pPr>
      <w:r>
        <w:rPr>
          <w:rFonts w:ascii="Arial" w:cs="Arial" w:eastAsia="Arial" w:hAnsi="Arial"/>
          <w:sz w:val="18"/>
          <w:szCs w:val="18"/>
          <w:color w:val="auto"/>
        </w:rPr>
        <w:t>Deferred income taxes as of June 30, 2023 increased 5% compared with December 31, 2022, primarily reflecting the deferred tax provision of $30.2 million.</w:t>
      </w:r>
    </w:p>
    <w:p>
      <w:pPr>
        <w:spacing w:after="0" w:line="143" w:lineRule="exact"/>
        <w:rPr>
          <w:sz w:val="20"/>
          <w:szCs w:val="20"/>
          <w:color w:val="auto"/>
        </w:rPr>
      </w:pPr>
    </w:p>
    <w:p>
      <w:pPr>
        <w:jc w:val="both"/>
        <w:ind w:right="80" w:firstLine="562"/>
        <w:spacing w:after="0" w:line="277" w:lineRule="auto"/>
        <w:rPr>
          <w:sz w:val="20"/>
          <w:szCs w:val="20"/>
          <w:color w:val="auto"/>
        </w:rPr>
      </w:pPr>
      <w:r>
        <w:rPr>
          <w:rFonts w:ascii="Arial" w:cs="Arial" w:eastAsia="Arial" w:hAnsi="Arial"/>
          <w:sz w:val="18"/>
          <w:szCs w:val="18"/>
          <w:color w:val="auto"/>
        </w:rPr>
        <w:t>Other long-term liabilities as of June 30, 2023 decreased 33% compared with December 31, 2022, primarily due to a decrease in pension liabilities as a result of pension contributions of $7.7 million during the 2023 first six months and amortization of intangible liabilities.</w:t>
      </w:r>
    </w:p>
    <w:p>
      <w:pPr>
        <w:spacing w:after="0" w:line="130" w:lineRule="exact"/>
        <w:rPr>
          <w:sz w:val="20"/>
          <w:szCs w:val="20"/>
          <w:color w:val="auto"/>
        </w:rPr>
      </w:pPr>
    </w:p>
    <w:p>
      <w:pPr>
        <w:jc w:val="both"/>
        <w:ind w:right="80" w:firstLine="569"/>
        <w:spacing w:after="0" w:line="263" w:lineRule="auto"/>
        <w:rPr>
          <w:sz w:val="20"/>
          <w:szCs w:val="20"/>
          <w:color w:val="auto"/>
        </w:rPr>
      </w:pPr>
      <w:r>
        <w:rPr>
          <w:rFonts w:ascii="Arial" w:cs="Arial" w:eastAsia="Arial" w:hAnsi="Arial"/>
          <w:sz w:val="18"/>
          <w:szCs w:val="18"/>
          <w:color w:val="auto"/>
        </w:rPr>
        <w:t>Total equity as of June 30, 2023 increased 2% compared with December 31, 2022. The increase was primarily due to the net earnings attributable to Kirby of $98.1 million, amortization of share-based compensation of $8.9 million, and stock option exercises of $0.1 million, partially offset by treasury stock purchases of $37.6 million and tax withholdings of $3.6 million on RSU vestings.</w:t>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13"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outstanding debt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8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Revolving Credit Facility due July 29, 2027 (a)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27,000</w:t>
            </w:r>
          </w:p>
        </w:tc>
        <w:tc>
          <w:tcPr>
            <w:tcW w:w="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Term Loan due July 29, 2027 (a)</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3.29% senior notes due February 27, 2023</w:t>
            </w:r>
          </w:p>
        </w:tc>
        <w:tc>
          <w:tcPr>
            <w:tcW w:w="2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350,000</w:t>
            </w: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4.2% senior notes due March 1, 2028</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FF0FC"/>
          </w:tcPr>
          <w:p>
            <w:pPr>
              <w:spacing w:after="0"/>
              <w:rPr>
                <w:sz w:val="21"/>
                <w:szCs w:val="21"/>
                <w:color w:val="auto"/>
              </w:rPr>
            </w:pP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3.46% senior notes due January 19, 2033</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Pr>
          <w:p>
            <w:pPr>
              <w:spacing w:after="0"/>
              <w:rPr>
                <w:sz w:val="20"/>
                <w:szCs w:val="20"/>
                <w:color w:val="auto"/>
              </w:rPr>
            </w:pPr>
          </w:p>
        </w:tc>
      </w:tr>
      <w:tr>
        <w:trPr>
          <w:trHeight w:val="249"/>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3.51% senior notes due January 19, 2033</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240,000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8040" w:type="dxa"/>
            <w:vAlign w:val="bottom"/>
          </w:tcPr>
          <w:p>
            <w:pPr>
              <w:ind w:left="200"/>
              <w:spacing w:after="0"/>
              <w:rPr>
                <w:sz w:val="20"/>
                <w:szCs w:val="20"/>
                <w:color w:val="auto"/>
              </w:rPr>
            </w:pPr>
            <w:r>
              <w:rPr>
                <w:rFonts w:ascii="Arial" w:cs="Arial" w:eastAsia="Arial" w:hAnsi="Arial"/>
                <w:sz w:val="18"/>
                <w:szCs w:val="18"/>
                <w:color w:val="auto"/>
              </w:rPr>
              <w:t>Credit line due June 30, 2024</w:t>
            </w:r>
          </w:p>
        </w:tc>
        <w:tc>
          <w:tcPr>
            <w:tcW w:w="2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Bank notes payable</w:t>
            </w: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7,447</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8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1,004,447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1,083,292</w:t>
            </w:r>
          </w:p>
        </w:tc>
        <w:tc>
          <w:tcPr>
            <w:tcW w:w="140" w:type="dxa"/>
            <w:vAlign w:val="bottom"/>
          </w:tcPr>
          <w:p>
            <w:pPr>
              <w:spacing w:after="0"/>
              <w:rPr>
                <w:sz w:val="20"/>
                <w:szCs w:val="20"/>
                <w:color w:val="auto"/>
              </w:rPr>
            </w:pPr>
          </w:p>
        </w:tc>
      </w:tr>
      <w:tr>
        <w:trPr>
          <w:trHeight w:val="243"/>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Unamortized debt discounts and issuance costs (b)</w:t>
            </w:r>
          </w:p>
        </w:tc>
        <w:tc>
          <w:tcPr>
            <w:tcW w:w="2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(6,046 )</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(3,674 )</w:t>
            </w:r>
          </w:p>
        </w:tc>
      </w:tr>
      <w:tr>
        <w:trPr>
          <w:trHeight w:val="236"/>
        </w:trPr>
        <w:tc>
          <w:tcPr>
            <w:tcW w:w="80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998,401</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1,079,618</w:t>
            </w:r>
          </w:p>
        </w:tc>
        <w:tc>
          <w:tcPr>
            <w:tcW w:w="140" w:type="dxa"/>
            <w:vAlign w:val="bottom"/>
            <w:tcBorders>
              <w:top w:val="single" w:sz="8" w:color="CFF0FC"/>
            </w:tcBorders>
          </w:tcPr>
          <w:p>
            <w:pPr>
              <w:spacing w:after="0"/>
              <w:rPr>
                <w:sz w:val="20"/>
                <w:szCs w:val="20"/>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-505460</wp:posOffset>
            </wp:positionV>
            <wp:extent cx="85725" cy="1631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1631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85725"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ind w:left="940" w:hanging="370"/>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Variable interest rate of 6.6% at June 30, 2023.</w:t>
      </w:r>
    </w:p>
    <w:p>
      <w:pPr>
        <w:spacing w:after="0" w:line="23" w:lineRule="exact"/>
        <w:rPr>
          <w:rFonts w:ascii="Arial" w:cs="Arial" w:eastAsia="Arial" w:hAnsi="Arial"/>
          <w:sz w:val="18"/>
          <w:szCs w:val="18"/>
          <w:color w:val="auto"/>
        </w:rPr>
      </w:pPr>
    </w:p>
    <w:p>
      <w:pPr>
        <w:ind w:left="940" w:hanging="370"/>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$1.8 million attributable to the 2027 Revolving Credit Facility included in other assets at December 31, 2022.</w:t>
      </w:r>
    </w:p>
    <w:p>
      <w:pPr>
        <w:spacing w:after="0" w:line="170"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At the beginning of 2022, the Company had in place its 2024 Credit Agreement with a group of commercial banks, with JPMorgan Chase Bank, N.A. as the administrative agent bank, that allowed for an $850 million 2024 Revolving Credit Facility and a 2024 Term Loan with a maturity date of March 27, 2024. The 2024 Term Loan was prepayable, in whole or in part, without penalty.</w:t>
      </w:r>
    </w:p>
    <w:p>
      <w:pPr>
        <w:spacing w:after="0" w:line="157"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On July 29, 2022, the Company entered into the 2027 Credit Agreement with a group of commercial banks, with JPMorgan Chase Bank, N.A. as the administrative agent bank that allows for a $500 million 2027 Revolving Credit Facility and a $250 million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$80.0 million under the 2027 Term Loan prior to scheduled maturities. As a result, no repayments are required until June 30, 2025. Outstanding letters of credit under the 2027 Revolving Credit Facility were $0.1 million and available borrowing capacity was $472.9 million as of June 30, 2023.</w:t>
      </w:r>
    </w:p>
    <w:p>
      <w:pPr>
        <w:spacing w:after="0" w:line="154"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The 2027 Term Loan is repayable in quarterly installments, with no repayments until June 30, 2025,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SOFR or a base rate calculated with reference to the prime rate quoted by The Wall Street Journal, the Federal Reserve Bank of New York Rate plus 0.5%, or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38" w:lineRule="exact"/>
        <w:rPr>
          <w:sz w:val="20"/>
          <w:szCs w:val="20"/>
          <w:color w:val="auto"/>
        </w:rPr>
      </w:pPr>
    </w:p>
    <w:p>
      <w:pPr>
        <w:jc w:val="both"/>
        <w:ind w:firstLine="569"/>
        <w:spacing w:after="0" w:line="289" w:lineRule="auto"/>
        <w:rPr>
          <w:sz w:val="20"/>
          <w:szCs w:val="20"/>
          <w:color w:val="auto"/>
        </w:rPr>
      </w:pPr>
      <w:r>
        <w:rPr>
          <w:rFonts w:ascii="Arial" w:cs="Arial" w:eastAsia="Arial" w:hAnsi="Arial"/>
          <w:sz w:val="16"/>
          <w:szCs w:val="16"/>
          <w:color w:val="auto"/>
        </w:rPr>
        <w:t>On February 3, 2022, the Company entered into a note purchase agreement for the 2033 Notes with a group of institutional investors, consisting of $60 million Series A Notes and $240 million Series B Notes, each due January 19, 2033. The Series A Notes were issued on October 20, 2022, and the Series B Notes were issued on January 19, 2023. No principal payments will be required until maturity. Beginning in 2023, interest payments of $5.3 million will be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2023 Notes were repaid using a combination of the proceeds from the issuance of the 2033 Notes and availability under the 2027 Revolving Credit Facility.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jc w:val="both"/>
        <w:ind w:firstLine="562"/>
        <w:spacing w:after="0" w:line="263" w:lineRule="auto"/>
        <w:rPr>
          <w:sz w:val="20"/>
          <w:szCs w:val="20"/>
          <w:color w:val="auto"/>
        </w:rPr>
      </w:pPr>
      <w:r>
        <w:rPr>
          <w:rFonts w:ascii="Arial" w:cs="Arial" w:eastAsia="Arial" w:hAnsi="Arial"/>
          <w:sz w:val="18"/>
          <w:szCs w:val="18"/>
          <w:color w:val="auto"/>
        </w:rPr>
        <w:t>The Company has a $10 million Credit Line with Bank of America for short-term liquidity needs and letters of credit, with a maturity date of June 30, 2024. Outstanding letters of credit under the $10 million credit line were $3.6 million and available borrowing capacity was $6.4 million as of June 30, 2023.</w:t>
      </w:r>
    </w:p>
    <w:p>
      <w:pPr>
        <w:spacing w:after="0" w:line="15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As of June 30, 2023, the Company was in compliance with all covenants under its debt instruments. For additional information about the Company’s debt instruments, see Note 5, Long-Term Debt, of the Notes to Condensed Financial Statements (Unaudited) as well as Note 5, Long-Term Debt, in the Company’s Annual Report on Form 10-K for the year ended December 31,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Capital Expenditures</w:t>
      </w:r>
    </w:p>
    <w:p>
      <w:pPr>
        <w:spacing w:after="0" w:line="185"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The Company generated positive operating cash flows during the 2023 first six months with net cash provided by operating activities of $227.9 million compared with $95.6 million for the 2022 first six months, a 138% increase. Higher revenues and operating income in KMT and KDS during the 2023 first six months and the receipt of the IRS refund of $70.4 million plus accrued interest in April 2023 more than offset an increase in trade accounts receivable, primarily due to higher revenues and timing of collections, and increased inventory levels in KDS due to higher activity and managing supply chain challenges during the 2023 first six months. Increases in KMT revenues and operating income were driven by higher term and spot contract pricing and increased barge utilization in the inland and coastal markets during the 2023 first six months. During the 2023 and 2022 second quarters and first six months, the Company generated cash of $20.5 million and $23.3 million, respectively, from proceeds from the disposition of assets, and $0.1 million and $3.9 million, respectively, from proceeds from the exercise of stock options.</w:t>
      </w:r>
    </w:p>
    <w:p>
      <w:pPr>
        <w:spacing w:after="0" w:line="151"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For the 2023 first six months, cash generated was used for capital expenditures of $171.2 million, including $23.2 million for specialized inland equipment construction and $148.0 million primarily for upgrading existing marine equipment and KMT and KDS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185" w:lineRule="exact"/>
        <w:rPr>
          <w:sz w:val="20"/>
          <w:szCs w:val="20"/>
          <w:color w:val="auto"/>
        </w:rPr>
      </w:pPr>
    </w:p>
    <w:p>
      <w:pPr>
        <w:jc w:val="both"/>
        <w:ind w:firstLine="569"/>
        <w:spacing w:after="0" w:line="254" w:lineRule="auto"/>
        <w:rPr>
          <w:sz w:val="20"/>
          <w:szCs w:val="20"/>
          <w:color w:val="auto"/>
        </w:rPr>
      </w:pPr>
      <w:r>
        <w:rPr>
          <w:rFonts w:ascii="Arial" w:cs="Arial" w:eastAsia="Arial" w:hAnsi="Arial"/>
          <w:sz w:val="18"/>
          <w:szCs w:val="18"/>
          <w:color w:val="auto"/>
        </w:rPr>
        <w:t>During the 2023 first six months, the Company purchased 521,625 shares of its common stock for $37.6 million, at an average price of $72.08 per share. Subsequent to June 30, 2023 and through August 4, 2023, the Company purchased an additional 60,326 shares of its common stock for $4.6 million, at an average price of $76.03 per share. As of August 4, 2023, the Company had approximately 5.4 million shares available under its existing repurchase authorization.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Funds generated from operations are available for acquisitions, capital expenditure projects, common stock repurchases, repayments of borrowings, and for other corporate and operating requirements. In addition to net cash flows provided by operating activities, as of August 4, 2023 the Company also had cash and cash equivalents of $28.4 million, availability of $405.9 million under its 2027 Revolving Credit Facility, and $2.6 million available under its credit line.</w:t>
      </w:r>
    </w:p>
    <w:p>
      <w:pPr>
        <w:spacing w:after="0" w:line="146"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2027 Credit Agreement.</w:t>
      </w:r>
    </w:p>
    <w:p>
      <w:pPr>
        <w:spacing w:after="0" w:line="143"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143"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 2027 Revolving Credit Facility's commitment is in the amount of $500 million and matures July 29, 2027. The 4.2% senior unsecured notes do not mature until March 1, 2028 and require no prepayments. The 2033 Notes do not mature until January 19, 2033 and require no prepayments. The 2027 Term Loan in the amount of $250 million is subject to quarterly installments, beginning June 30, 2025, in increasing percentages of the original principal amount of the loan, with the remaining unpaid balance of approximately $43.8 million payable on July 29, 2027, assuming no prepayments. The 2027 Term Loan is prepayable, in whole or in part, without penalty.</w:t>
      </w:r>
    </w:p>
    <w:p>
      <w:pPr>
        <w:spacing w:after="0" w:line="147"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There are numerous factors that may negatively impact the Company’s cash flows in 2023. For a list of significant risks and uncertainties that could impact cash flows, see Note 13, Contingencies and Commitments, of the Notes to Condensed Financial Statements (Unaudited), and Item 1A — Risk Factors and Note 14, Contingencies and Commitments, in the Company’s Annual Report on Form 10-K for the year ended December 31, 2022. Amounts available under the Company’s existing financial arrangements are subject to the Company continuing to meet the covenants of the credit facilities as described in Note 5, Long-Term Debt, of the Notes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to Condensed Financial Statements (Unaudited) as well as Note 5, Long-Term Debt, in the Company’s Annual Report on Form 10-K for the year ended December 31, 2022.</w:t>
      </w:r>
    </w:p>
    <w:p>
      <w:pPr>
        <w:spacing w:after="0" w:line="143"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7"/>
          <w:szCs w:val="17"/>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$24.0 million at June 30, 2023, including $9.4 million in letters of credit and $14.6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36"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KMT term contracts typically contain fuel escalation clauses, or the customer pays for the fuel. However, there is generally a 30 to 120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24"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limits exposure to inflation. The repair portion of KDS is based on prevailing current market rates.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The Company is exposed to risk from changes in interest rates on certain of its outstanding debt. The outstanding loan balances under the Company’s current bank credit facilities bear interest at variable rates based on prevailing short-term interest rates in the United States, while the previous bank credit facilities also included Europe. A 1% increase in variable interest rates would impact the 2023 interest expense by $1.7 million based on balances outstanding at December 31, 2022, and would change the fair value of the Company’s debt by approximately 1.7%.</w:t>
      </w:r>
    </w:p>
    <w:p>
      <w:pPr>
        <w:spacing w:after="0" w:line="1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Chief Executive Officer and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has evaluated the Company’s disclosure controls and procedures (as defined in Rule 13a-15(e) under the Securities Exchange Act of 1934 (“Exchange Act”)), as of June 30, 2023, as required by Rule 13a-15(b) under the Exchange Act. Based on that evaluation, the Chief Executive Officer and the Chief Financial Officer concluded that, as of June 30, 2023,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2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were no changes in the Company’s internal control over financial reporting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quarter ended June 30, 2023 that have materially affected, or are reasonably likely to materially affect, the Company’s internal control over financial reporting.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13, Contingencies and Commitments, of the Notes to Condensed Financial Statements (Unaudited).</w:t>
      </w:r>
    </w:p>
    <w:p>
      <w:pPr>
        <w:spacing w:after="0" w:line="18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ind w:firstLine="569"/>
        <w:spacing w:after="0" w:line="277" w:lineRule="auto"/>
        <w:rPr>
          <w:sz w:val="20"/>
          <w:szCs w:val="20"/>
          <w:color w:val="auto"/>
        </w:rPr>
      </w:pPr>
      <w:r>
        <w:rPr>
          <w:rFonts w:ascii="Arial" w:cs="Arial" w:eastAsia="Arial" w:hAnsi="Arial"/>
          <w:sz w:val="18"/>
          <w:szCs w:val="18"/>
          <w:color w:val="auto"/>
        </w:rPr>
        <w:t>The Company continues to be subject to the risk factors previously disclosed in its “Risk Factors” in the Company’s Annual Report on Form 10-K for the year ended December 31, 2022.</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2"/>
                <w:szCs w:val="12"/>
                <w:color w:val="auto"/>
              </w:rPr>
            </w:pPr>
          </w:p>
        </w:tc>
        <w:tc>
          <w:tcPr>
            <w:tcW w:w="136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6"/>
              </w:rPr>
              <w:t>Average Price Paid</w:t>
            </w:r>
          </w:p>
        </w:tc>
        <w:tc>
          <w:tcPr>
            <w:tcW w:w="2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 Purchased Under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the Plans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 April 30, 2023</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68.74</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ind w:left="12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ind w:left="12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May 1 — May 31, 2023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246,229</w:t>
            </w:r>
          </w:p>
        </w:tc>
        <w:tc>
          <w:tcPr>
            <w:tcW w:w="54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71.13</w:t>
            </w:r>
          </w:p>
        </w:tc>
        <w:tc>
          <w:tcPr>
            <w:tcW w:w="26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June 1 — June 30, 2023</w:t>
            </w:r>
          </w:p>
        </w:tc>
        <w:tc>
          <w:tcPr>
            <w:tcW w:w="1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226,546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74.00</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ind w:left="12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ind w:left="122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474,775</w:t>
            </w:r>
          </w:p>
        </w:tc>
        <w:tc>
          <w:tcPr>
            <w:tcW w:w="54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72.49</w:t>
            </w:r>
          </w:p>
        </w:tc>
        <w:tc>
          <w:tcPr>
            <w:tcW w:w="26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-187960</wp:posOffset>
            </wp:positionV>
            <wp:extent cx="85725" cy="1885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-187960</wp:posOffset>
            </wp:positionV>
            <wp:extent cx="85725"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85725" cy="188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Purchases of the Company's common stock during the 2023 second quarter were made in the open market pursuant to a discretionary authorization by the Board of Directors.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such terms are defined in Item 408(a) of Regulation S-K.</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320" w:type="dxa"/>
            <w:vAlign w:val="bottom"/>
            <w:gridSpan w:val="11"/>
          </w:tcPr>
          <w:p>
            <w:pPr>
              <w:spacing w:after="0"/>
              <w:rPr>
                <w:sz w:val="20"/>
                <w:szCs w:val="20"/>
                <w:color w:val="auto"/>
              </w:rPr>
            </w:pPr>
            <w:r>
              <w:rPr>
                <w:rFonts w:ascii="Arial" w:cs="Arial" w:eastAsia="Arial" w:hAnsi="Arial"/>
                <w:sz w:val="18"/>
                <w:szCs w:val="18"/>
                <w:b w:val="1"/>
                <w:bCs w:val="1"/>
                <w:color w:val="auto"/>
              </w:rPr>
              <w:t>EXHIBIT INDEX</w:t>
            </w:r>
          </w:p>
        </w:tc>
      </w:tr>
      <w:tr>
        <w:trPr>
          <w:trHeight w:val="454"/>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41"/>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380" w:type="dxa"/>
            <w:vAlign w:val="bottom"/>
          </w:tcPr>
          <w:p>
            <w:pPr>
              <w:spacing w:after="0"/>
              <w:rPr>
                <w:sz w:val="20"/>
                <w:szCs w:val="20"/>
                <w:color w:val="auto"/>
              </w:rPr>
            </w:pPr>
          </w:p>
        </w:tc>
        <w:tc>
          <w:tcPr>
            <w:tcW w:w="9820" w:type="dxa"/>
            <w:vAlign w:val="bottom"/>
            <w:tcBorders>
              <w:bottom w:val="single" w:sz="8" w:color="auto"/>
            </w:tcBorders>
            <w:gridSpan w:val="12"/>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189"/>
        </w:trPr>
        <w:tc>
          <w:tcPr>
            <w:tcW w:w="104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3.1</w:t>
            </w:r>
          </w:p>
        </w:tc>
        <w:tc>
          <w:tcPr>
            <w:tcW w:w="380" w:type="dxa"/>
            <w:vAlign w:val="bottom"/>
            <w:tcBorders>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8"/>
                <w:szCs w:val="18"/>
                <w:color w:val="auto"/>
              </w:rPr>
              <w:t>–</w:t>
            </w:r>
          </w:p>
        </w:tc>
        <w:tc>
          <w:tcPr>
            <w:tcW w:w="9820" w:type="dxa"/>
            <w:vAlign w:val="bottom"/>
            <w:gridSpan w:val="12"/>
            <w:shd w:val="clear" w:color="auto" w:fill="CFF0FC"/>
          </w:tcPr>
          <w:p>
            <w:pPr>
              <w:spacing w:after="0" w:line="189" w:lineRule="exact"/>
              <w:rPr>
                <w:rFonts w:ascii="Arial" w:cs="Arial" w:eastAsia="Arial" w:hAnsi="Arial"/>
                <w:sz w:val="18"/>
                <w:szCs w:val="18"/>
                <w:color w:val="0000FF"/>
                <w:w w:val="97"/>
              </w:rPr>
            </w:pPr>
            <w:hyperlink r:id="rId338">
              <w:r>
                <w:rPr>
                  <w:rFonts w:ascii="Arial" w:cs="Arial" w:eastAsia="Arial" w:hAnsi="Arial"/>
                  <w:sz w:val="18"/>
                  <w:szCs w:val="18"/>
                  <w:color w:val="0000FF"/>
                  <w:w w:val="97"/>
                </w:rPr>
                <w:t>Restated Articles of Incorporation of the Company with all amendments to date (incorporated by reference to Exhibit 3.1 to the</w:t>
              </w:r>
            </w:hyperlink>
          </w:p>
        </w:tc>
      </w:tr>
      <w:tr>
        <w:trPr>
          <w:trHeight w:val="20"/>
        </w:trPr>
        <w:tc>
          <w:tcPr>
            <w:tcW w:w="1040" w:type="dxa"/>
            <w:vAlign w:val="bottom"/>
            <w:shd w:val="clear" w:color="auto" w:fill="CFF0FC"/>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104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spacing w:after="0"/>
              <w:rPr>
                <w:sz w:val="17"/>
                <w:szCs w:val="17"/>
                <w:color w:val="auto"/>
              </w:rPr>
            </w:pPr>
          </w:p>
        </w:tc>
        <w:tc>
          <w:tcPr>
            <w:tcW w:w="9820" w:type="dxa"/>
            <w:vAlign w:val="bottom"/>
            <w:gridSpan w:val="12"/>
            <w:shd w:val="clear" w:color="auto" w:fill="CFF0FC"/>
          </w:tcPr>
          <w:p>
            <w:pPr>
              <w:spacing w:after="0" w:line="196" w:lineRule="exact"/>
              <w:rPr>
                <w:rFonts w:ascii="Arial" w:cs="Arial" w:eastAsia="Arial" w:hAnsi="Arial"/>
                <w:sz w:val="18"/>
                <w:szCs w:val="18"/>
                <w:color w:val="0000FF"/>
              </w:rPr>
            </w:pPr>
            <w:hyperlink r:id="rId338">
              <w:r>
                <w:rPr>
                  <w:rFonts w:ascii="Arial" w:cs="Arial" w:eastAsia="Arial" w:hAnsi="Arial"/>
                  <w:sz w:val="18"/>
                  <w:szCs w:val="18"/>
                  <w:color w:val="0000FF"/>
                </w:rPr>
                <w:t>Registrant’s Annual Report on Form 10-K for the year ended December 31, 2014).</w:t>
              </w:r>
            </w:hyperlink>
          </w:p>
        </w:tc>
      </w:tr>
      <w:tr>
        <w:trPr>
          <w:trHeight w:val="34"/>
        </w:trPr>
        <w:tc>
          <w:tcPr>
            <w:tcW w:w="104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CFF0FC"/>
              <w:right w:val="single" w:sz="8" w:color="CFF0FC"/>
            </w:tcBorders>
            <w:shd w:val="clear" w:color="auto" w:fill="CFF0FC"/>
          </w:tcPr>
          <w:p>
            <w:pPr>
              <w:spacing w:after="0"/>
              <w:rPr>
                <w:sz w:val="2"/>
                <w:szCs w:val="2"/>
                <w:color w:val="auto"/>
              </w:rPr>
            </w:pPr>
          </w:p>
        </w:tc>
        <w:tc>
          <w:tcPr>
            <w:tcW w:w="3500" w:type="dxa"/>
            <w:vAlign w:val="bottom"/>
            <w:tcBorders>
              <w:top w:val="single" w:sz="8" w:color="0000FF"/>
            </w:tcBorders>
            <w:shd w:val="clear" w:color="auto" w:fill="CFF0FC"/>
          </w:tcPr>
          <w:p>
            <w:pPr>
              <w:spacing w:after="0"/>
              <w:rPr>
                <w:sz w:val="2"/>
                <w:szCs w:val="2"/>
                <w:color w:val="auto"/>
              </w:rPr>
            </w:pPr>
          </w:p>
        </w:tc>
        <w:tc>
          <w:tcPr>
            <w:tcW w:w="80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80" w:type="dxa"/>
            <w:vAlign w:val="bottom"/>
            <w:tcBorders>
              <w:top w:val="single" w:sz="8" w:color="CFF0FC"/>
              <w:right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84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r>
      <w:tr>
        <w:trPr>
          <w:trHeight w:val="189"/>
        </w:trPr>
        <w:tc>
          <w:tcPr>
            <w:tcW w:w="104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0200" w:type="dxa"/>
            <w:vAlign w:val="bottom"/>
            <w:gridSpan w:val="13"/>
          </w:tcPr>
          <w:p>
            <w:pPr>
              <w:ind w:left="140"/>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339">
              <w:r>
                <w:rPr>
                  <w:rFonts w:ascii="Arial" w:cs="Arial" w:eastAsia="Arial" w:hAnsi="Arial"/>
                  <w:sz w:val="18"/>
                  <w:szCs w:val="18"/>
                  <w:color w:val="0000FF"/>
                  <w:w w:val="94"/>
                </w:rPr>
                <w:t>Bylaws of the Company with all amendments to date (incorporated by reference to Exhibit 3.1 to the Registrant’s Current Report on</w:t>
              </w:r>
            </w:hyperlink>
          </w:p>
        </w:tc>
      </w:tr>
      <w:tr>
        <w:trPr>
          <w:trHeight w:val="20"/>
        </w:trPr>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FF"/>
              </w:rPr>
            </w:pPr>
            <w:hyperlink r:id="rId339">
              <w:r>
                <w:rPr>
                  <w:rFonts w:ascii="Arial" w:cs="Arial" w:eastAsia="Arial" w:hAnsi="Arial"/>
                  <w:sz w:val="18"/>
                  <w:szCs w:val="18"/>
                  <w:color w:val="0000FF"/>
                </w:rPr>
                <w:t>Form 8-K filed with the Commission on October 28, 2022).</w:t>
              </w:r>
            </w:hyperlink>
          </w:p>
        </w:tc>
      </w:tr>
      <w:tr>
        <w:trPr>
          <w:trHeight w:val="34"/>
        </w:trPr>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50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15"/>
        </w:trPr>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4.1</w:t>
            </w:r>
          </w:p>
        </w:tc>
        <w:tc>
          <w:tcPr>
            <w:tcW w:w="10200" w:type="dxa"/>
            <w:vAlign w:val="bottom"/>
            <w:gridSpan w:val="13"/>
            <w:shd w:val="clear" w:color="auto" w:fill="CFF0FC"/>
          </w:tcPr>
          <w:p>
            <w:pPr>
              <w:ind w:left="140"/>
              <w:spacing w:after="0"/>
              <w:rPr>
                <w:sz w:val="20"/>
                <w:szCs w:val="20"/>
                <w:color w:val="auto"/>
              </w:rPr>
            </w:pPr>
            <w:r>
              <w:rPr>
                <w:rFonts w:ascii="Arial" w:cs="Arial" w:eastAsia="Arial" w:hAnsi="Arial"/>
                <w:sz w:val="18"/>
                <w:szCs w:val="18"/>
                <w:color w:val="auto"/>
                <w:w w:val="94"/>
              </w:rPr>
              <w:t>–  See Exhibits 3.1 and 3.2 hereof for provisions of our Restated Articles of Incorporation of the Company with all amendments to date</w:t>
            </w:r>
          </w:p>
        </w:tc>
      </w:tr>
      <w:tr>
        <w:trPr>
          <w:trHeight w:val="190"/>
        </w:trPr>
        <w:tc>
          <w:tcPr>
            <w:tcW w:w="1040" w:type="dxa"/>
            <w:vAlign w:val="bottom"/>
            <w:shd w:val="clear" w:color="auto" w:fill="CFF0FC"/>
          </w:tcPr>
          <w:p>
            <w:pPr>
              <w:spacing w:after="0"/>
              <w:rPr>
                <w:sz w:val="16"/>
                <w:szCs w:val="16"/>
                <w:color w:val="auto"/>
              </w:rPr>
            </w:pPr>
          </w:p>
        </w:tc>
        <w:tc>
          <w:tcPr>
            <w:tcW w:w="380" w:type="dxa"/>
            <w:vAlign w:val="bottom"/>
            <w:tcBorders>
              <w:right w:val="single" w:sz="8" w:color="CFF0FC"/>
            </w:tcBorders>
            <w:shd w:val="clear" w:color="auto" w:fill="CFF0FC"/>
          </w:tcPr>
          <w:p>
            <w:pPr>
              <w:spacing w:after="0"/>
              <w:rPr>
                <w:sz w:val="16"/>
                <w:szCs w:val="16"/>
                <w:color w:val="auto"/>
              </w:rPr>
            </w:pPr>
          </w:p>
        </w:tc>
        <w:tc>
          <w:tcPr>
            <w:tcW w:w="9820" w:type="dxa"/>
            <w:vAlign w:val="bottom"/>
            <w:gridSpan w:val="12"/>
            <w:shd w:val="clear" w:color="auto" w:fill="CFF0FC"/>
          </w:tcPr>
          <w:p>
            <w:pPr>
              <w:spacing w:after="0" w:line="190" w:lineRule="exact"/>
              <w:rPr>
                <w:rFonts w:ascii="Arial" w:cs="Arial" w:eastAsia="Arial" w:hAnsi="Arial"/>
                <w:sz w:val="18"/>
                <w:szCs w:val="18"/>
                <w:color w:val="auto"/>
                <w:w w:val="91"/>
              </w:rPr>
            </w:pPr>
            <w:r>
              <w:rPr>
                <w:rFonts w:ascii="Arial" w:cs="Arial" w:eastAsia="Arial" w:hAnsi="Arial"/>
                <w:sz w:val="18"/>
                <w:szCs w:val="18"/>
                <w:color w:val="auto"/>
                <w:w w:val="91"/>
              </w:rPr>
              <w:t xml:space="preserve">and the Bylaws of the Company with all amendments to date (incorporated, respectively, by reference to Exhibit </w:t>
            </w:r>
            <w:hyperlink r:id="rId338">
              <w:r>
                <w:rPr>
                  <w:rFonts w:ascii="Arial" w:cs="Arial" w:eastAsia="Arial" w:hAnsi="Arial"/>
                  <w:sz w:val="18"/>
                  <w:szCs w:val="18"/>
                  <w:color w:val="0000FF"/>
                  <w:w w:val="91"/>
                </w:rPr>
                <w:t>3.1</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Registrant's</w:t>
            </w:r>
          </w:p>
        </w:tc>
      </w:tr>
      <w:tr>
        <w:trPr>
          <w:trHeight w:val="20"/>
        </w:trPr>
        <w:tc>
          <w:tcPr>
            <w:tcW w:w="1040" w:type="dxa"/>
            <w:vAlign w:val="bottom"/>
            <w:shd w:val="clear" w:color="auto" w:fill="CFF0FC"/>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3500" w:type="dxa"/>
            <w:vAlign w:val="bottom"/>
            <w:shd w:val="clear" w:color="auto" w:fill="CFF0FC"/>
          </w:tcPr>
          <w:p>
            <w:pPr>
              <w:spacing w:after="0" w:line="20" w:lineRule="exact"/>
              <w:rPr>
                <w:sz w:val="1"/>
                <w:szCs w:val="1"/>
                <w:color w:val="auto"/>
              </w:rPr>
            </w:pPr>
          </w:p>
        </w:tc>
        <w:tc>
          <w:tcPr>
            <w:tcW w:w="1300" w:type="dxa"/>
            <w:vAlign w:val="bottom"/>
            <w:gridSpan w:val="2"/>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20" w:type="dxa"/>
            <w:vAlign w:val="bottom"/>
            <w:gridSpan w:val="2"/>
            <w:shd w:val="clear" w:color="auto" w:fill="CFF0FC"/>
          </w:tcPr>
          <w:p>
            <w:pPr>
              <w:spacing w:after="0" w:line="20" w:lineRule="exact"/>
              <w:rPr>
                <w:sz w:val="1"/>
                <w:szCs w:val="1"/>
                <w:color w:val="auto"/>
              </w:rPr>
            </w:pPr>
          </w:p>
        </w:tc>
        <w:tc>
          <w:tcPr>
            <w:tcW w:w="2080" w:type="dxa"/>
            <w:vAlign w:val="bottom"/>
            <w:tcBorders>
              <w:right w:val="single" w:sz="8" w:color="0000EE"/>
            </w:tcBorders>
            <w:shd w:val="clear" w:color="auto" w:fill="CFF0FC"/>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gridSpan w:val="3"/>
            <w:shd w:val="clear" w:color="auto" w:fill="CFF0FC"/>
          </w:tcPr>
          <w:p>
            <w:pPr>
              <w:spacing w:after="0" w:line="20" w:lineRule="exact"/>
              <w:rPr>
                <w:sz w:val="1"/>
                <w:szCs w:val="1"/>
                <w:color w:val="auto"/>
              </w:rPr>
            </w:pPr>
          </w:p>
        </w:tc>
      </w:tr>
      <w:tr>
        <w:trPr>
          <w:trHeight w:val="196"/>
        </w:trPr>
        <w:tc>
          <w:tcPr>
            <w:tcW w:w="104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spacing w:after="0"/>
              <w:rPr>
                <w:sz w:val="17"/>
                <w:szCs w:val="17"/>
                <w:color w:val="auto"/>
              </w:rPr>
            </w:pPr>
          </w:p>
        </w:tc>
        <w:tc>
          <w:tcPr>
            <w:tcW w:w="9820" w:type="dxa"/>
            <w:vAlign w:val="bottom"/>
            <w:gridSpan w:val="12"/>
            <w:shd w:val="clear" w:color="auto" w:fill="CFF0FC"/>
          </w:tcPr>
          <w:p>
            <w:pPr>
              <w:spacing w:after="0" w:line="196" w:lineRule="exact"/>
              <w:rPr>
                <w:rFonts w:ascii="Arial" w:cs="Arial" w:eastAsia="Arial" w:hAnsi="Arial"/>
                <w:sz w:val="18"/>
                <w:szCs w:val="18"/>
                <w:color w:val="auto"/>
                <w:w w:val="93"/>
              </w:rPr>
            </w:pPr>
            <w:r>
              <w:rPr>
                <w:rFonts w:ascii="Arial" w:cs="Arial" w:eastAsia="Arial" w:hAnsi="Arial"/>
                <w:sz w:val="18"/>
                <w:szCs w:val="18"/>
                <w:color w:val="auto"/>
                <w:w w:val="93"/>
              </w:rPr>
              <w:t xml:space="preserve">Annual Report on Form 10-K for the year ended December 31, 2014 and Exhibit </w:t>
            </w:r>
            <w:hyperlink r:id="rId339">
              <w:r>
                <w:rPr>
                  <w:rFonts w:ascii="Arial" w:cs="Arial" w:eastAsia="Arial" w:hAnsi="Arial"/>
                  <w:sz w:val="18"/>
                  <w:szCs w:val="18"/>
                  <w:color w:val="0000FF"/>
                  <w:w w:val="93"/>
                </w:rPr>
                <w:t>3.1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Registrant’s Current Report on Form 8-K</w:t>
            </w:r>
          </w:p>
        </w:tc>
      </w:tr>
      <w:tr>
        <w:trPr>
          <w:trHeight w:val="250"/>
        </w:trPr>
        <w:tc>
          <w:tcPr>
            <w:tcW w:w="1040" w:type="dxa"/>
            <w:vAlign w:val="bottom"/>
            <w:tcBorders>
              <w:top w:val="single" w:sz="8" w:color="CFF0FC"/>
            </w:tcBorders>
            <w:shd w:val="clear" w:color="auto" w:fill="CFF0FC"/>
          </w:tcPr>
          <w:p>
            <w:pPr>
              <w:spacing w:after="0"/>
              <w:rPr>
                <w:sz w:val="21"/>
                <w:szCs w:val="21"/>
                <w:color w:val="auto"/>
              </w:rPr>
            </w:pPr>
          </w:p>
        </w:tc>
        <w:tc>
          <w:tcPr>
            <w:tcW w:w="380" w:type="dxa"/>
            <w:vAlign w:val="bottom"/>
            <w:tcBorders>
              <w:top w:val="single" w:sz="8" w:color="CFF0FC"/>
              <w:right w:val="single" w:sz="8" w:color="CFF0FC"/>
            </w:tcBorders>
            <w:shd w:val="clear" w:color="auto" w:fill="CFF0FC"/>
          </w:tcPr>
          <w:p>
            <w:pPr>
              <w:spacing w:after="0"/>
              <w:rPr>
                <w:sz w:val="21"/>
                <w:szCs w:val="21"/>
                <w:color w:val="auto"/>
              </w:rPr>
            </w:pPr>
          </w:p>
        </w:tc>
        <w:tc>
          <w:tcPr>
            <w:tcW w:w="586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filed with the Commission on October 28, 2022).</w:t>
            </w:r>
          </w:p>
        </w:tc>
        <w:tc>
          <w:tcPr>
            <w:tcW w:w="220" w:type="dxa"/>
            <w:vAlign w:val="bottom"/>
            <w:tcBorders>
              <w:top w:val="single" w:sz="8" w:color="0000FF"/>
            </w:tcBorders>
            <w:gridSpan w:val="2"/>
            <w:shd w:val="clear" w:color="auto" w:fill="CFF0FC"/>
          </w:tcPr>
          <w:p>
            <w:pPr>
              <w:spacing w:after="0"/>
              <w:rPr>
                <w:sz w:val="21"/>
                <w:szCs w:val="21"/>
                <w:color w:val="auto"/>
              </w:rPr>
            </w:pPr>
          </w:p>
        </w:tc>
        <w:tc>
          <w:tcPr>
            <w:tcW w:w="3740" w:type="dxa"/>
            <w:vAlign w:val="bottom"/>
            <w:tcBorders>
              <w:top w:val="single" w:sz="8" w:color="CFF0FC"/>
            </w:tcBorders>
            <w:gridSpan w:val="5"/>
            <w:shd w:val="clear" w:color="auto" w:fill="CFF0FC"/>
          </w:tcPr>
          <w:p>
            <w:pPr>
              <w:spacing w:after="0"/>
              <w:rPr>
                <w:sz w:val="21"/>
                <w:szCs w:val="21"/>
                <w:color w:val="auto"/>
              </w:rPr>
            </w:pPr>
          </w:p>
        </w:tc>
      </w:tr>
      <w:tr>
        <w:trPr>
          <w:trHeight w:val="189"/>
        </w:trPr>
        <w:tc>
          <w:tcPr>
            <w:tcW w:w="104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0200" w:type="dxa"/>
            <w:vAlign w:val="bottom"/>
            <w:gridSpan w:val="13"/>
          </w:tcPr>
          <w:p>
            <w:pPr>
              <w:ind w:left="140"/>
              <w:spacing w:after="0" w:line="18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Chief Executive Officer Pursuant to Rule 13a-14(a)</w:t>
            </w:r>
          </w:p>
        </w:tc>
      </w:tr>
      <w:tr>
        <w:trPr>
          <w:trHeight w:val="34"/>
        </w:trPr>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50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9"/>
        </w:trPr>
        <w:tc>
          <w:tcPr>
            <w:tcW w:w="104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31.2*</w:t>
            </w:r>
          </w:p>
        </w:tc>
        <w:tc>
          <w:tcPr>
            <w:tcW w:w="10200" w:type="dxa"/>
            <w:vAlign w:val="bottom"/>
            <w:gridSpan w:val="13"/>
            <w:shd w:val="clear" w:color="auto" w:fill="CFF0FC"/>
          </w:tcPr>
          <w:p>
            <w:pPr>
              <w:ind w:left="140"/>
              <w:spacing w:after="0" w:line="18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Chief Financial Officer Pursuant to Rule 13a-14(a)</w:t>
            </w:r>
          </w:p>
        </w:tc>
      </w:tr>
      <w:tr>
        <w:trPr>
          <w:trHeight w:val="34"/>
        </w:trPr>
        <w:tc>
          <w:tcPr>
            <w:tcW w:w="104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CFF0FC"/>
              <w:right w:val="single" w:sz="8" w:color="CFF0FC"/>
            </w:tcBorders>
            <w:shd w:val="clear" w:color="auto" w:fill="CFF0FC"/>
          </w:tcPr>
          <w:p>
            <w:pPr>
              <w:spacing w:after="0"/>
              <w:rPr>
                <w:sz w:val="2"/>
                <w:szCs w:val="2"/>
                <w:color w:val="auto"/>
              </w:rPr>
            </w:pPr>
          </w:p>
        </w:tc>
        <w:tc>
          <w:tcPr>
            <w:tcW w:w="3500" w:type="dxa"/>
            <w:vAlign w:val="bottom"/>
            <w:tcBorders>
              <w:top w:val="single" w:sz="8" w:color="0000FF"/>
            </w:tcBorders>
            <w:shd w:val="clear" w:color="auto" w:fill="CFF0FC"/>
          </w:tcPr>
          <w:p>
            <w:pPr>
              <w:spacing w:after="0"/>
              <w:rPr>
                <w:sz w:val="2"/>
                <w:szCs w:val="2"/>
                <w:color w:val="auto"/>
              </w:rPr>
            </w:pPr>
          </w:p>
        </w:tc>
        <w:tc>
          <w:tcPr>
            <w:tcW w:w="80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80" w:type="dxa"/>
            <w:vAlign w:val="bottom"/>
            <w:tcBorders>
              <w:top w:val="single" w:sz="8" w:color="CFF0FC"/>
              <w:right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84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r>
      <w:tr>
        <w:trPr>
          <w:trHeight w:val="189"/>
        </w:trPr>
        <w:tc>
          <w:tcPr>
            <w:tcW w:w="104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0200" w:type="dxa"/>
            <w:vAlign w:val="bottom"/>
            <w:gridSpan w:val="13"/>
          </w:tcPr>
          <w:p>
            <w:pPr>
              <w:ind w:left="140"/>
              <w:spacing w:after="0" w:line="18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Pursuant to 18 U.S.C. Section 1350</w:t>
            </w:r>
          </w:p>
        </w:tc>
      </w:tr>
      <w:tr>
        <w:trPr>
          <w:trHeight w:val="34"/>
        </w:trPr>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50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15"/>
        </w:trPr>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101.INS*</w:t>
            </w:r>
          </w:p>
        </w:tc>
        <w:tc>
          <w:tcPr>
            <w:tcW w:w="10200" w:type="dxa"/>
            <w:vAlign w:val="bottom"/>
            <w:gridSpan w:val="13"/>
            <w:shd w:val="clear" w:color="auto" w:fill="CFF0FC"/>
          </w:tcPr>
          <w:p>
            <w:pPr>
              <w:ind w:left="140"/>
              <w:spacing w:after="0"/>
              <w:rPr>
                <w:sz w:val="20"/>
                <w:szCs w:val="20"/>
                <w:color w:val="auto"/>
              </w:rPr>
            </w:pPr>
            <w:r>
              <w:rPr>
                <w:rFonts w:ascii="Arial" w:cs="Arial" w:eastAsia="Arial" w:hAnsi="Arial"/>
                <w:sz w:val="18"/>
                <w:szCs w:val="18"/>
                <w:color w:val="auto"/>
                <w:w w:val="96"/>
              </w:rPr>
              <w:t>–  Inline XBRL Instance Document – the instance document does not appear in the Interactive Data File because its XBRL tags are</w:t>
            </w:r>
          </w:p>
        </w:tc>
      </w:tr>
      <w:tr>
        <w:trPr>
          <w:trHeight w:val="244"/>
        </w:trPr>
        <w:tc>
          <w:tcPr>
            <w:tcW w:w="1040" w:type="dxa"/>
            <w:vAlign w:val="bottom"/>
            <w:shd w:val="clear" w:color="auto" w:fill="CFF0FC"/>
          </w:tcPr>
          <w:p>
            <w:pPr>
              <w:spacing w:after="0"/>
              <w:rPr>
                <w:sz w:val="21"/>
                <w:szCs w:val="21"/>
                <w:color w:val="auto"/>
              </w:rPr>
            </w:pPr>
          </w:p>
        </w:tc>
        <w:tc>
          <w:tcPr>
            <w:tcW w:w="380" w:type="dxa"/>
            <w:vAlign w:val="bottom"/>
            <w:tcBorders>
              <w:right w:val="single" w:sz="8" w:color="CFF0FC"/>
            </w:tcBorders>
            <w:shd w:val="clear" w:color="auto" w:fill="CFF0FC"/>
          </w:tcPr>
          <w:p>
            <w:pPr>
              <w:spacing w:after="0"/>
              <w:rPr>
                <w:sz w:val="21"/>
                <w:szCs w:val="21"/>
                <w:color w:val="auto"/>
              </w:rPr>
            </w:pPr>
          </w:p>
        </w:tc>
        <w:tc>
          <w:tcPr>
            <w:tcW w:w="9820" w:type="dxa"/>
            <w:vAlign w:val="bottom"/>
            <w:gridSpan w:val="12"/>
            <w:shd w:val="clear" w:color="auto" w:fill="CFF0FC"/>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37"/>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200" w:type="dxa"/>
            <w:vAlign w:val="bottom"/>
            <w:gridSpan w:val="13"/>
          </w:tcPr>
          <w:p>
            <w:pPr>
              <w:ind w:left="140"/>
              <w:spacing w:after="0"/>
              <w:rPr>
                <w:sz w:val="20"/>
                <w:szCs w:val="20"/>
                <w:color w:val="auto"/>
              </w:rPr>
            </w:pPr>
            <w:r>
              <w:rPr>
                <w:rFonts w:ascii="Arial" w:cs="Arial" w:eastAsia="Arial" w:hAnsi="Arial"/>
                <w:sz w:val="18"/>
                <w:szCs w:val="18"/>
                <w:color w:val="auto"/>
              </w:rPr>
              <w:t>–  Inline XBRL Taxonomy Extension Schema Document</w:t>
            </w:r>
          </w:p>
        </w:tc>
      </w:tr>
      <w:tr>
        <w:trPr>
          <w:trHeight w:val="249"/>
        </w:trPr>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101.CAL*</w:t>
            </w:r>
          </w:p>
        </w:tc>
        <w:tc>
          <w:tcPr>
            <w:tcW w:w="10200" w:type="dxa"/>
            <w:vAlign w:val="bottom"/>
            <w:gridSpan w:val="13"/>
            <w:shd w:val="clear" w:color="auto" w:fill="CFF0FC"/>
          </w:tcPr>
          <w:p>
            <w:pPr>
              <w:ind w:left="14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237"/>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200" w:type="dxa"/>
            <w:vAlign w:val="bottom"/>
            <w:gridSpan w:val="13"/>
          </w:tcPr>
          <w:p>
            <w:pPr>
              <w:ind w:left="14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249"/>
        </w:trPr>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101.LAB*</w:t>
            </w:r>
          </w:p>
        </w:tc>
        <w:tc>
          <w:tcPr>
            <w:tcW w:w="10200" w:type="dxa"/>
            <w:vAlign w:val="bottom"/>
            <w:gridSpan w:val="13"/>
            <w:shd w:val="clear" w:color="auto" w:fill="CFF0FC"/>
          </w:tcPr>
          <w:p>
            <w:pPr>
              <w:ind w:left="14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237"/>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0200" w:type="dxa"/>
            <w:vAlign w:val="bottom"/>
            <w:gridSpan w:val="13"/>
          </w:tcPr>
          <w:p>
            <w:pPr>
              <w:ind w:left="14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243"/>
        </w:trPr>
        <w:tc>
          <w:tcPr>
            <w:tcW w:w="10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104*</w:t>
            </w:r>
          </w:p>
        </w:tc>
        <w:tc>
          <w:tcPr>
            <w:tcW w:w="10200" w:type="dxa"/>
            <w:vAlign w:val="bottom"/>
            <w:tcBorders>
              <w:bottom w:val="single" w:sz="8" w:color="auto"/>
            </w:tcBorders>
            <w:gridSpan w:val="13"/>
            <w:shd w:val="clear" w:color="auto" w:fill="CFF0FC"/>
          </w:tcPr>
          <w:p>
            <w:pPr>
              <w:ind w:left="140"/>
              <w:spacing w:after="0"/>
              <w:rPr>
                <w:sz w:val="20"/>
                <w:szCs w:val="20"/>
                <w:color w:val="auto"/>
              </w:rPr>
            </w:pPr>
            <w:r>
              <w:rPr>
                <w:rFonts w:ascii="Arial" w:cs="Arial" w:eastAsia="Arial" w:hAnsi="Arial"/>
                <w:sz w:val="18"/>
                <w:szCs w:val="18"/>
                <w:color w:val="auto"/>
              </w:rPr>
              <w:t>–  Cover Page Interactive Data File (embedded within the Inline XBRL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compensatory plan or arrangement.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6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KIRBY CORPORATION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5620"/>
        <w:spacing w:after="0"/>
        <w:tabs>
          <w:tab w:leader="none" w:pos="8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Raj Kumar</w:t>
      </w:r>
    </w:p>
    <w:p>
      <w:pPr>
        <w:spacing w:after="0" w:line="36"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Executive Vice President and</w:t>
      </w:r>
    </w:p>
    <w:p>
      <w:pPr>
        <w:spacing w:after="0" w:line="36"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7, 2023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1" w:lineRule="exact"/>
        <w:rPr>
          <w:sz w:val="20"/>
          <w:szCs w:val="20"/>
          <w:color w:val="auto"/>
        </w:rPr>
      </w:pPr>
    </w:p>
    <w:p>
      <w:pPr>
        <w:ind w:left="380" w:right="200"/>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June 30, 2023 by Kirby Corporation, David W. Grzebinski certifies that:</w:t>
      </w:r>
    </w:p>
    <w:p>
      <w:pPr>
        <w:spacing w:after="0" w:line="62"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117"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80" w:right="40" w:hanging="372"/>
        <w:spacing w:after="0" w:line="26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760" w:right="280" w:hanging="378"/>
        <w:spacing w:after="0" w:line="263"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60" w:right="600" w:hanging="378"/>
        <w:spacing w:after="0" w:line="263"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760" w:right="760" w:hanging="378"/>
        <w:spacing w:after="0" w:line="342" w:lineRule="auto"/>
        <w:tabs>
          <w:tab w:leader="none" w:pos="7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60" w:right="40" w:hanging="378"/>
        <w:spacing w:after="0" w:line="342" w:lineRule="auto"/>
        <w:tabs>
          <w:tab w:leader="none" w:pos="7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80" w:right="280" w:hanging="372"/>
        <w:spacing w:after="0" w:line="308"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60" w:right="180" w:hanging="378"/>
        <w:spacing w:after="0" w:line="277"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140" w:hanging="378"/>
        <w:spacing w:after="0" w:line="277"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David W. Grzebinski</w:t>
      </w:r>
    </w:p>
    <w:p>
      <w:pPr>
        <w:spacing w:after="0" w:line="36"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1" w:lineRule="exact"/>
        <w:rPr>
          <w:sz w:val="20"/>
          <w:szCs w:val="20"/>
          <w:color w:val="auto"/>
        </w:rPr>
      </w:pPr>
    </w:p>
    <w:p>
      <w:pPr>
        <w:ind w:left="380" w:right="300"/>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June 30, 2023 by Kirby Corporation, Raj Kumar certifies that:</w:t>
      </w:r>
    </w:p>
    <w:p>
      <w:pPr>
        <w:spacing w:after="0" w:line="6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117"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80" w:right="40" w:hanging="372"/>
        <w:spacing w:after="0" w:line="26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760" w:right="280" w:hanging="378"/>
        <w:spacing w:after="0" w:line="263"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60" w:right="600" w:hanging="378"/>
        <w:spacing w:after="0" w:line="263"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760" w:right="760" w:hanging="378"/>
        <w:spacing w:after="0" w:line="342" w:lineRule="auto"/>
        <w:tabs>
          <w:tab w:leader="none" w:pos="7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60" w:right="40" w:hanging="378"/>
        <w:spacing w:after="0" w:line="342" w:lineRule="auto"/>
        <w:tabs>
          <w:tab w:leader="none" w:pos="7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80" w:right="280" w:hanging="372"/>
        <w:spacing w:after="0" w:line="308"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60" w:right="180" w:hanging="378"/>
        <w:spacing w:after="0" w:line="277"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140" w:hanging="378"/>
        <w:spacing w:after="0" w:line="277"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Raj Kumar</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 and</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spacing w:after="0" w:line="211"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June 30, 2023 (the “Report”) by Kirby Corporation (the “Company”), each of the undersigned hereby certifies that:</w:t>
      </w:r>
    </w:p>
    <w:p>
      <w:pPr>
        <w:spacing w:after="0" w:line="62"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David W. Grzebinski</w:t>
      </w:r>
    </w:p>
    <w:p>
      <w:pPr>
        <w:spacing w:after="0" w:line="36"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7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Raj Kumar</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 and</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
      <w:numFmt w:val="bullet"/>
      <w:start w:val="1"/>
    </w:lvl>
  </w:abstractNum>
  <w:abstractNum w:abstractNumId="1">
    <w:nsid w:val="66EF438D"/>
    <w:multiLevelType w:val="hybridMultilevel"/>
    <w:lvl w:ilvl="0">
      <w:lvlJc w:val="left"/>
      <w:lvlText w:val=" "/>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decimal"/>
      <w:start w:val="6"/>
    </w:lvl>
  </w:abstractNum>
  <w:abstractNum w:abstractNumId="9">
    <w:nsid w:val="6B68079A"/>
    <w:multiLevelType w:val="hybridMultilevel"/>
    <w:lvl w:ilvl="0">
      <w:lvlJc w:val="left"/>
      <w:lvlText w:val="(%1)"/>
      <w:numFmt w:val="decimal"/>
      <w:start w:val="7"/>
    </w:lvl>
  </w:abstractNum>
  <w:abstractNum w:abstractNumId="10">
    <w:nsid w:val="4E6AFB66"/>
    <w:multiLevelType w:val="hybridMultilevel"/>
    <w:lvl w:ilvl="0">
      <w:lvlJc w:val="left"/>
      <w:lvlText w:val="(%1)"/>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
    </w:lvl>
    <w:lvl w:ilvl="1">
      <w:lvlJc w:val="left"/>
      <w:lvlText w:val="(%2)"/>
      <w:numFmt w:val="lowerLetter"/>
      <w:start w:val="1"/>
    </w:lvl>
  </w:abstractNum>
  <w:abstractNum w:abstractNumId="14">
    <w:nsid w:val="3F2DBA31"/>
    <w:multiLevelType w:val="hybridMultilevel"/>
    <w:lvl w:ilvl="0">
      <w:lvlJc w:val="left"/>
      <w:lvlText w:val="(%1)"/>
      <w:numFmt w:val="decimal"/>
      <w:start w:val="13"/>
    </w:lvl>
    <w:lvl w:ilvl="1">
      <w:lvlJc w:val="left"/>
      <w:lvlText w:val="%2"/>
      <w:numFmt w:val="lowerLetter"/>
      <w:start w:val="1"/>
    </w:lvl>
  </w:abstractNum>
  <w:abstractNum w:abstractNumId="15">
    <w:nsid w:val="7C83E458"/>
    <w:multiLevelType w:val="hybridMultilevel"/>
    <w:lvl w:ilvl="0">
      <w:lvlJc w:val="left"/>
      <w:lvlText w:val="(%1)"/>
      <w:numFmt w:val="decimal"/>
      <w:start w:val="14"/>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38" Type="http://schemas.openxmlformats.org/officeDocument/2006/relationships/hyperlink" Target="https://www.sec.gov/Archives/edgar/data/56047/000114036115008395/ex3_1.htm" TargetMode="External"/><Relationship Id="rId339" Type="http://schemas.openxmlformats.org/officeDocument/2006/relationships/hyperlink" Target="https://www.sec.gov/Archives/edgar/data/56047/000095017022020426/kex-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2023-08-07T12:26:23Z</dcterms:created>
  <dcterms:modified xsi:type="dcterms:W3CDTF">2023-08-07T12:26:23Z</dcterms:modified>
</cp:coreProperties>
</file>