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249"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0"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74-1884980</w:t>
            </w:r>
          </w:p>
        </w:tc>
      </w:tr>
      <w:tr>
        <w:trPr>
          <w:trHeight w:val="238"/>
        </w:trPr>
        <w:tc>
          <w:tcPr>
            <w:tcW w:w="57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37"/>
        </w:trPr>
        <w:tc>
          <w:tcPr>
            <w:tcW w:w="57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77007</w:t>
            </w:r>
          </w:p>
        </w:tc>
      </w:tr>
      <w:tr>
        <w:trPr>
          <w:trHeight w:val="238"/>
        </w:trPr>
        <w:tc>
          <w:tcPr>
            <w:tcW w:w="57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06"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06"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500"/>
              <w:spacing w:after="0" w:line="217" w:lineRule="exact"/>
              <w:rPr>
                <w:sz w:val="20"/>
                <w:szCs w:val="20"/>
                <w:color w:val="auto"/>
              </w:rPr>
            </w:pPr>
            <w:r>
              <w:rPr>
                <w:rFonts w:ascii="Arial Unicode MS" w:cs="Arial Unicode MS" w:eastAsia="Arial Unicode MS" w:hAnsi="Arial Unicode MS"/>
                <w:sz w:val="18"/>
                <w:szCs w:val="18"/>
                <w:color w:val="auto"/>
              </w:rPr>
              <w:t>☐</w:t>
            </w:r>
          </w:p>
        </w:tc>
        <w:tc>
          <w:tcPr>
            <w:tcW w:w="5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217"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5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KEX</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r>
    </w:tbl>
    <w:p>
      <w:pPr>
        <w:spacing w:after="0" w:line="200" w:lineRule="exact"/>
        <w:rPr>
          <w:sz w:val="24"/>
          <w:szCs w:val="24"/>
          <w:color w:val="auto"/>
        </w:rPr>
      </w:pPr>
    </w:p>
    <w:p>
      <w:pPr>
        <w:sectPr>
          <w:pgSz w:w="11900" w:h="16838" w:orient="portrait"/>
          <w:cols w:equalWidth="0" w:num="1">
            <w:col w:w="11420"/>
          </w:cols>
          <w:pgMar w:left="240" w:top="516" w:right="239" w:bottom="0" w:gutter="0" w:footer="0" w:header="0"/>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$0.10 par value per share, on August 1, 2019 was 59,902,000.</w:t>
      </w:r>
    </w:p>
    <w:p>
      <w:pPr>
        <w:sectPr>
          <w:pgSz w:w="11900" w:h="16838" w:orient="portrait"/>
          <w:cols w:equalWidth="0" w:num="1">
            <w:col w:w="11420"/>
          </w:cols>
          <w:pgMar w:left="240" w:top="516"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0" w:type="dxa"/>
            <w:vAlign w:val="bottom"/>
            <w:vMerge w:val="restart"/>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gridSpan w:val="2"/>
            <w:vMerge w:val="continue"/>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22,521</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99,568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52,953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1,054,264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5,304,058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(1,507,640)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3,796,418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3,539,802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54,493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6,232,890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0" w:type="dxa"/>
            <w:vAlign w:val="bottom"/>
            <w:shd w:val="clear" w:color="auto" w:fill="CCEEFF"/>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58,909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82,066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2,384,685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7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$0.10 par value per share. Authorized 120,000,000 shares, issued 65,472,000 shares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Treasury stock – at cost, 5,570,000 shares at June 30, 2019 and 5,608,000 at December 31, 2018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3,319,154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3,213,187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6,232,890</w:t>
            </w:r>
          </w:p>
        </w:tc>
        <w:tc>
          <w:tcPr>
            <w:tcW w:w="140" w:type="dxa"/>
            <w:vAlign w:val="bottom"/>
          </w:tcPr>
          <w:p>
            <w:pPr>
              <w:spacing w:after="0"/>
              <w:rPr>
                <w:sz w:val="18"/>
                <w:szCs w:val="18"/>
                <w:color w:val="auto"/>
              </w:rPr>
            </w:pPr>
          </w:p>
        </w:tc>
        <w:tc>
          <w:tcPr>
            <w:tcW w:w="3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0" w:type="dxa"/>
            <w:vAlign w:val="bottom"/>
            <w:vMerge w:val="restart"/>
          </w:tcPr>
          <w:p>
            <w:pPr>
              <w:jc w:val="center"/>
              <w:ind w:left="157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103"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103"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gridSpan w:val="11"/>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740" w:type="dxa"/>
            <w:vAlign w:val="bottom"/>
            <w:gridSpan w:val="9"/>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EARNINGS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thousands, except per share amounts)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4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28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772,407</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424,508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743,256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771,042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802,671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588,628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1,100,150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92,588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141,946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110,316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695,199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147,949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(12,540)</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121,046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(16,061)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91,897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28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47,287</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91,583</w:t>
            </w:r>
          </w:p>
        </w:tc>
        <w:tc>
          <w:tcPr>
            <w:tcW w:w="3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3"/>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4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82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47,440</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91,897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to retained earnings of stranded tax effects from tax reform</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28,351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98,441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53,291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28,160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98,127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leases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cash flows resulting from changes in operating assets and liabilities, net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 of businesses and marine equipment, net of cash acquired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bank credit facilities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(313,805)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debt issue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457,271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1"/>
        </w:trPr>
        <w:tc>
          <w:tcPr>
            <w:tcW w:w="8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(received) during the period: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paid (refunded)</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acquired in acquisition</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0"/>
              </w:rPr>
              <w:t>(in thousands)</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827,497</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$ 2,767,888</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(306,625)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3,265,408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for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equity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vesting</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net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6,004</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47,287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Return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 at June</w:t>
            </w: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30, 2019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829,460</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$ 2,815,175</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(305,061)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0"/>
              </w:rPr>
              <w:t>(in thousands)</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810,381</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(39,480)</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$ 2,677,611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(316,564)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3,141,868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for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equity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vesting</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net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28,602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Return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 at June</w:t>
            </w: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30, 2018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817,609</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$ 2,706,213</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(306,097)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3,187,691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77"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0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19"/>
                <w:szCs w:val="19"/>
                <w:color w:val="auto"/>
              </w:rPr>
            </w:pP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(in thousands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823,347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(33,511)</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$ 2,723,592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(306,788)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3,216,301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for</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(1,912)</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equity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 vesting</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7,907</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net of</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6,544</w:t>
            </w:r>
          </w:p>
        </w:tc>
        <w:tc>
          <w:tcPr>
            <w:tcW w:w="11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91,583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Return of</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to</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 at June</w:t>
            </w: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30, 2019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829,460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(26,967)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$ 2,815,175</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(305,061)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8"/>
                <w:szCs w:val="18"/>
                <w:color w:val="auto"/>
              </w:rPr>
            </w:pPr>
          </w:p>
        </w:tc>
        <w:tc>
          <w:tcPr>
            <w:tcW w:w="10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60" w:type="dxa"/>
            <w:vAlign w:val="bottom"/>
            <w:gridSpan w:val="5"/>
            <w:vMerge w:val="continue"/>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19"/>
                <w:szCs w:val="19"/>
                <w:color w:val="auto"/>
              </w:rPr>
            </w:pPr>
          </w:p>
        </w:tc>
        <w:tc>
          <w:tcPr>
            <w:tcW w:w="10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0"/>
              </w:rPr>
              <w:t>(in thousands)</w:t>
            </w: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802,961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(32,405)</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$ 2,646,937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(313,220)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3,114,223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Adoption of new</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standards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(1,797)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for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withholdings</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 equity</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award vesting</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net of</w:t>
            </w: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(7,517)</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Return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to</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June</w:t>
            </w: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30, 2018</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817,609</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(39,922)</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$ 2,706,213</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(306,097)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3,187,691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ectPr>
          <w:pgSz w:w="11900" w:h="16838" w:orient="portrait"/>
          <w:cols w:equalWidth="0" w:num="1">
            <w:col w:w="11420"/>
          </w:cols>
          <w:pgMar w:left="240" w:top="360" w:right="23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STANDARDS ADOPTIONS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and interim periods within those fiscal years, beginning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The Company adopted ASU 2016-02 on January 1, 2019 under the optional transition method that allows for a cumulative-effect adjustment to the opening balance of retained earnings in the period of adoption and will not restate prior periods. The Company also elected certain practical expedients permitted under the transition guidance which allows the Company to carryforward its historical lease classification and for the non-recognition of short-term leases. Adoption of ASU 2016-02 resulted in the recognition of operating lease right-of-use assets for operating leases of $168,149,000 and lease liabilities for operating leases of $175,778,000 on the Company’s Condensed Balance Sheets as of January 1, 2019, with no material impact to the Condensed Statements of Earnings or Cash Flows. The Company did not have any financing leases as of January 1, 2019. See Note 3, Leases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the allocation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 leased assets, except for leased towing vessels for which the Company estimates approximately 75% of the costs relate to service costs and other non-lease components. Variable lease costs relate primarily to real estate executory costs (i.e. taxes, insurance and maintenance).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at June 30, 2019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(40,998)</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future total rentals on the Company’s noncancellable operating leases were $278,602,000 in the aggregate, which consisted of the following: $97,091,000 in 2019; $30,062,000 in 2020; $21,818,000 in 2021; $20,263,000 in 2022; $17,429,000 in 2023; and $91,939,000 thereafter.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lease cost for the three and six months ended June 30, 2019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94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 as of June 30, 2019:</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256"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revenues by major source for the three months and six months ended June 30, 2019 and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Inland transportation</w:t>
            </w:r>
          </w:p>
        </w:tc>
        <w:tc>
          <w:tcPr>
            <w:tcW w:w="22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310,162</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593,247</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539,275</w:t>
            </w:r>
          </w:p>
        </w:tc>
      </w:tr>
      <w:tr>
        <w:trPr>
          <w:trHeight w:val="223"/>
        </w:trPr>
        <w:tc>
          <w:tcPr>
            <w:tcW w:w="2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Coastal transportation</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91,243</w:t>
            </w:r>
          </w:p>
        </w:tc>
        <w:tc>
          <w:tcPr>
            <w:tcW w:w="2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179,160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179,291</w:t>
            </w: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772,407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 and gas</w:t>
            </w:r>
          </w:p>
        </w:tc>
        <w:tc>
          <w:tcPr>
            <w:tcW w:w="22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304,859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421,965</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579,350</w:t>
            </w:r>
          </w:p>
        </w:tc>
      </w:tr>
      <w:tr>
        <w:trPr>
          <w:trHeight w:val="223"/>
        </w:trPr>
        <w:tc>
          <w:tcPr>
            <w:tcW w:w="2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119,649</w:t>
            </w:r>
          </w:p>
        </w:tc>
        <w:tc>
          <w:tcPr>
            <w:tcW w:w="2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321,291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246,443</w:t>
            </w: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424,508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743,256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2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 Contract liabilities represent advance consideration received from customers, and are recognized as revenue over time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performance obligation is satisfied. The amount of revenue recognized in the first six months of 2019 that was included in the opening contract liability balance was $73,370,000. The Company has recognized all contract liabilities within the deferred revenues financial statement caption on the balance sheet. The Company did not have any contract assets at June 30, 2019 or December 31, 2018.</w:t>
      </w:r>
    </w:p>
    <w:p>
      <w:pPr>
        <w:spacing w:after="0" w:line="20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that allows non-disclosure of information about remaining performance obligations that have original expected durations of one year or less.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the Company purchased seven inland tank barges from a leasing company for $8,340,000 in cash. The Company had been leasing the barges prior to the purchases.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14, 2019, the Company completed the acquisition of the marine transportation fleet of Cenac Marine Services, LLC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Cenac to be a natural extension of the current marine transportation segment, expanding the capabilities of the Company’s inland based marine transportation business and lowering the average age of its inland tank barge and towboat fleet.</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values of the assets acquired and liabilities assumed recorded at the acquisition date were as follows (in thousands):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5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vMerge w:val="continue"/>
          </w:tcPr>
          <w:p>
            <w:pPr>
              <w:spacing w:after="0"/>
              <w:rPr>
                <w:sz w:val="19"/>
                <w:szCs w:val="19"/>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8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acquired intangible assets with an amortization period of two years and incurred long-term intangible liabilities related to unfavorable contracts with a weighted average amortization period of approximately 1.3 years. The fair values have not been finalized and are provisional, pending completion of the tangible and intangible valuation studies. As additional information becomes known concerning the assets acquired, the Company may make adjustments to the fair value of assets acquired and liabilities assumed for up to one year following the acquisition date. Acquisition related costs of $392,000, consisting primarily of legal and other professional fees, were expensed as incurred to selling, general and administrative expense in the 2019 first six months.</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 forma results of the acquisitions made in the 2019 first six months have not been presented as the pro forma revenues and net earnings attributable to Kirby would not be materially different from the Company’s actual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as of June 30, 2019 and December 31, 2018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333,472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27, 2019, the Company entered into an amended and restated credit agreement (the “Credit Agreement”) with a group of commercial banks, with JPMorgan Chase Bank, N.A. as the administrative agent bank, that extends the term of the Company’s existing $850,000,000 revolving credit facility (“Revolving Credit Facility”) to March 27, 2024 and adds a five-year term loan (“Term Loan”) facility in an amount of $500,000,000.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repayable in quarterly installments commencing June 30, 2020, in increasing percentages of the original principal amount of the loan, with the remaining unpaid balance payable of 65% of the initial amount due on March 27, 2024.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June 30, 2019, the Company was in compliance with all Credit Agreement covenants and had outstanding borrowings of $103,577,000 under the Revolving Credit Facility and $500,000,000 under the Term Loan. The Revolving Credit Facility includes a $25,000,000 commitment which may be used for standby letters of credit. Outstanding letters of credit under the Revolving Credit Facility were $5,670,000 as of June 30, 2019.</w:t>
      </w:r>
    </w:p>
    <w:p>
      <w:pPr>
        <w:spacing w:after="0" w:line="2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total debt outstanding at June 30, 2019 and December 31, 2018 was $1,637,493,000 and $1,411,628,000, respectively, which differs from the carrying amounts of $1,594,706,000 and $1,410,188,000, respectively, included in the consolidated financial statements. The fair value of debt outstanding was determined using a Level 2 fair value measurement.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AWARD PLANS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and six months ended June 30, 2019 and 2018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4,038</w:t>
            </w:r>
          </w:p>
        </w:tc>
      </w:tr>
    </w:tbl>
    <w:p>
      <w:pPr>
        <w:spacing w:after="0" w:line="2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June 30, 2019, 1,348,971 shares were available for future grants under the employee plan and no outstanding stock options under the employee plan were issued with stock appreciation rights.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employee plan described above for the six months ended June 30, 2019: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Qualified 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Nonincentive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employee plan at June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tcBorders>
              <w:bottom w:val="single" w:sz="8" w:color="auto"/>
            </w:tcBorders>
            <w:gridSpan w:val="7"/>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spacing w:after="0"/>
              <w:rPr>
                <w:sz w:val="18"/>
                <w:szCs w:val="18"/>
                <w:color w:val="auto"/>
              </w:rPr>
            </w:pPr>
          </w:p>
        </w:tc>
      </w:tr>
      <w:tr>
        <w:trPr>
          <w:trHeight w:val="216"/>
        </w:trPr>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520" w:type="dxa"/>
            <w:vAlign w:val="bottom"/>
          </w:tcPr>
          <w:p>
            <w:pPr>
              <w:spacing w:after="0"/>
              <w:rPr>
                <w:sz w:val="21"/>
                <w:szCs w:val="21"/>
                <w:color w:val="auto"/>
              </w:rPr>
            </w:pPr>
          </w:p>
        </w:tc>
        <w:tc>
          <w:tcPr>
            <w:tcW w:w="18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12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1"/>
                <w:szCs w:val="21"/>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r>
      <w:tr>
        <w:trPr>
          <w:trHeight w:val="216"/>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$51.23</w:t>
            </w:r>
          </w:p>
        </w:tc>
        <w:tc>
          <w:tcPr>
            <w:tcW w:w="1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51.23</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$64.65 - $68.50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100,757</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67.34</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45,052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68.47</w:t>
            </w:r>
          </w:p>
        </w:tc>
        <w:tc>
          <w:tcPr>
            <w:tcW w:w="114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$70.65</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$75.50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307,671</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74.32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126,553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73.96</w:t>
            </w:r>
          </w:p>
        </w:tc>
        <w:tc>
          <w:tcPr>
            <w:tcW w:w="1140" w:type="dxa"/>
            <w:vAlign w:val="bottom"/>
            <w:shd w:val="clear" w:color="auto" w:fill="CCEEFF"/>
          </w:tcPr>
          <w:p>
            <w:pPr>
              <w:spacing w:after="0"/>
              <w:rPr>
                <w:sz w:val="18"/>
                <w:szCs w:val="18"/>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$84.90</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$101.46</w:t>
            </w: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43,986</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94.38</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37,281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96.08</w:t>
            </w:r>
          </w:p>
        </w:tc>
        <w:tc>
          <w:tcPr>
            <w:tcW w:w="1140" w:type="dxa"/>
            <w:vAlign w:val="bottom"/>
          </w:tcPr>
          <w:p>
            <w:pPr>
              <w:spacing w:after="0"/>
              <w:rPr>
                <w:sz w:val="19"/>
                <w:szCs w:val="19"/>
                <w:color w:val="auto"/>
              </w:rPr>
            </w:pPr>
          </w:p>
        </w:tc>
      </w:tr>
      <w:tr>
        <w:trPr>
          <w:trHeight w:val="241"/>
        </w:trPr>
        <w:tc>
          <w:tcPr>
            <w:tcW w:w="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$51.23</w:t>
            </w:r>
          </w:p>
        </w:tc>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$101.46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535,743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71.06</w:t>
            </w:r>
          </w:p>
        </w:tc>
        <w:tc>
          <w:tcPr>
            <w:tcW w:w="1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$4,929,000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69.45</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$3,426,000</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employee plan described above for the six months ended June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2018</w:t>
            </w:r>
          </w:p>
        </w:tc>
        <w:tc>
          <w:tcPr>
            <w:tcW w:w="45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5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(62,406)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4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at June 30, 2019</w:t>
            </w:r>
          </w:p>
        </w:tc>
        <w:tc>
          <w:tcPr>
            <w:tcW w:w="45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139,605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5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45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The following is a summary of RSU activity under the employee plan described above for the six months ended June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45"/>
        </w:trPr>
        <w:tc>
          <w:tcPr>
            <w:tcW w:w="2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4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Unvested RSUs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 Unit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2018</w:t>
            </w:r>
          </w:p>
        </w:tc>
        <w:tc>
          <w:tcPr>
            <w:tcW w:w="28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146,005</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74.44</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(25,484)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75.60</w:t>
            </w: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(4,754)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75.31</w:t>
            </w: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June 30, 2019</w:t>
            </w:r>
          </w:p>
        </w:tc>
        <w:tc>
          <w:tcPr>
            <w:tcW w:w="28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256,822</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74.94</w:t>
            </w: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June 30, 2019, 462,342 shares were available for future grants under the director plan. The director stock award plan is intended as an incentive to attract and retain qualified independent directors.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director plan described above for the six months ended June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20" w:type="dxa"/>
            <w:vAlign w:val="bottom"/>
          </w:tcPr>
          <w:p>
            <w:pPr>
              <w:spacing w:after="0"/>
              <w:rPr>
                <w:sz w:val="21"/>
                <w:szCs w:val="21"/>
                <w:color w:val="auto"/>
              </w:rPr>
            </w:pPr>
          </w:p>
        </w:tc>
        <w:tc>
          <w:tcPr>
            <w:tcW w:w="872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8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84.90</w:t>
            </w:r>
          </w:p>
        </w:tc>
      </w:tr>
      <w:tr>
        <w:trPr>
          <w:trHeight w:val="223"/>
        </w:trPr>
        <w:tc>
          <w:tcPr>
            <w:tcW w:w="20" w:type="dxa"/>
            <w:vAlign w:val="bottom"/>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20" w:type="dxa"/>
            <w:vAlign w:val="bottom"/>
          </w:tcPr>
          <w:p>
            <w:pPr>
              <w:spacing w:after="0"/>
              <w:rPr>
                <w:sz w:val="18"/>
                <w:szCs w:val="18"/>
                <w:color w:val="auto"/>
              </w:rPr>
            </w:pPr>
          </w:p>
        </w:tc>
        <w:tc>
          <w:tcPr>
            <w:tcW w:w="8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127,756</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72.35</w:t>
            </w:r>
          </w:p>
        </w:tc>
      </w:tr>
      <w:tr>
        <w:trPr>
          <w:trHeight w:val="21"/>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director plan at June 30,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tcBorders>
              <w:bottom w:val="single" w:sz="8" w:color="auto"/>
            </w:tcBorders>
            <w:gridSpan w:val="7"/>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23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12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0" w:type="dxa"/>
            <w:vAlign w:val="bottom"/>
          </w:tcPr>
          <w:p>
            <w:pPr>
              <w:spacing w:after="0"/>
              <w:rPr>
                <w:sz w:val="21"/>
                <w:szCs w:val="21"/>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16"/>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$41.24 – $56.45</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50.61</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$61.89 – $62.48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62.27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28,000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$70.65 – $99.52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68,480</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86.39</w:t>
            </w: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66,491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86.44</w:t>
            </w: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$41.24 – $99.52</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127,756</w:t>
            </w:r>
          </w:p>
        </w:tc>
        <w:tc>
          <w:tcPr>
            <w:tcW w:w="2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ind w:left="920"/>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ind w:left="580"/>
              <w:spacing w:after="0" w:line="203" w:lineRule="exact"/>
              <w:rPr>
                <w:sz w:val="20"/>
                <w:szCs w:val="20"/>
                <w:color w:val="auto"/>
              </w:rPr>
            </w:pPr>
            <w:r>
              <w:rPr>
                <w:rFonts w:ascii="Times New Roman" w:cs="Times New Roman" w:eastAsia="Times New Roman" w:hAnsi="Times New Roman"/>
                <w:sz w:val="18"/>
                <w:szCs w:val="18"/>
                <w:color w:val="auto"/>
              </w:rPr>
              <w:t>72.35</w:t>
            </w:r>
          </w:p>
        </w:tc>
        <w:tc>
          <w:tcPr>
            <w:tcW w:w="1280" w:type="dxa"/>
            <w:vAlign w:val="bottom"/>
            <w:tcBorders>
              <w:top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$1,498,000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125,767</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72.15</w:t>
            </w:r>
          </w:p>
        </w:tc>
        <w:tc>
          <w:tcPr>
            <w:tcW w:w="114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$ 1,498,000</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director plan described above for the six months ended June 30, 2019: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December 31,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balance 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stock options exercised under all of the Company’s plans was $592,000 and $6,623,000 for the six months ended June 30, 2019 and 2018, respectively. The actual tax benefit realized for tax deductions from stock option exercises was $143,000 and $1,974,000 for the six months ended June 30, 2019 and 2018, respectively.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the restricted stock vestings under all of the Company’s plans was $4,269,000 and $11,406,000 for the six months ended June 30, 2019 and 2018, respectively. The actual tax benefit realized for tax deductions from restricted stock vestings was $1,031,000 and $3,399,000 for the six months ended June 30, 2019 and 2018, respectively.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the RSU vestings under the Company’s employee plan was $1,727,000 for the six months ended June 30, 2019. The actual tax benefit realized for tax deductions from RSU vestings was $417,000 for the six months ended June 30, 2019. There were no RSU vestings for the six months ended June 30, 2018.</w:t>
      </w:r>
    </w:p>
    <w:p>
      <w:pPr>
        <w:spacing w:after="0" w:line="203" w:lineRule="exact"/>
        <w:rPr>
          <w:sz w:val="20"/>
          <w:szCs w:val="20"/>
          <w:color w:val="auto"/>
        </w:rPr>
      </w:pPr>
    </w:p>
    <w:p>
      <w:pPr>
        <w:jc w:val="both"/>
        <w:ind w:firstLine="383"/>
        <w:spacing w:after="0" w:line="256" w:lineRule="auto"/>
        <w:rPr>
          <w:sz w:val="20"/>
          <w:szCs w:val="20"/>
          <w:color w:val="auto"/>
        </w:rPr>
      </w:pPr>
      <w:r>
        <w:rPr>
          <w:rFonts w:ascii="Times New Roman" w:cs="Times New Roman" w:eastAsia="Times New Roman" w:hAnsi="Times New Roman"/>
          <w:sz w:val="18"/>
          <w:szCs w:val="18"/>
          <w:color w:val="auto"/>
        </w:rPr>
        <w:t>As of June 30, 2019, there was $3,307,000 of unrecognized compensation cost related to nonvested stock options, $7,312,000 related to nonvested restricted stock awards and $12,060,000 related to nonvested RSUs. The stock options are expected to be recognized over a weighted average period of approximately 1.8 years, restricted stock awards over approximately 1.7 years and RSUs over approximately 4.0 years. The total fair value of options vested was $1,883,000 and $3,143,000 during the six months ended June 30, 2019 and 2018, respectively. The fair value of the restricted stock vested was $4,269,000 and $11,406,000 for the six months ended June 30, 2019 and 2018, respectively. The fair value of the RSUs vested was $1,727,000 for the six months ended June 30, 2019.</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weighted average per share fair value of stock options granted during the six months ended June 30, 2019 and 2018 was $22.77 and $23.53, respectively. The fair value of the stock options granted during the six months ended June 30, 2019 and 2018 was $2,665,000 and $2,787,000, respectively. The Company currently uses treasury stock shares for restricted stock grants, RSU vestings, and stock option exercises. The fair value of each stock option was determined using the Black-Scholes option pricing model. The key input variables used in valuing the options during the six months ended June 30, 2019 and 2018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7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6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volatility</w:t>
            </w:r>
          </w:p>
        </w:tc>
        <w:tc>
          <w:tcPr>
            <w:tcW w:w="6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Estimated option term</w:t>
            </w:r>
          </w:p>
        </w:tc>
        <w:tc>
          <w:tcPr>
            <w:tcW w:w="4840" w:type="dxa"/>
            <w:vAlign w:val="bottom"/>
          </w:tcPr>
          <w:p>
            <w:pPr>
              <w:spacing w:after="0"/>
              <w:rPr>
                <w:sz w:val="20"/>
                <w:szCs w:val="20"/>
                <w:color w:val="auto"/>
              </w:rPr>
            </w:pPr>
          </w:p>
        </w:tc>
        <w:tc>
          <w:tcPr>
            <w:tcW w:w="1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5.3 years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 years</w:t>
            </w:r>
          </w:p>
        </w:tc>
      </w:tr>
      <w:tr>
        <w:trPr>
          <w:trHeight w:val="86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84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OTHER COMPREHENSIVE INCOME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changes in other comprehensive income for the three months and six months ended June 30, 2019 and 2018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Pension and postretirement benefits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gains (losses)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1"/>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7"/>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Income Tax</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(Provision)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45"/>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gains (losses)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retained earnings of</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tax effects from tax reform</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(7,925)</w:t>
            </w: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gains/(losses) are amortized into other income (expense). (See Note 13 - Retirement Plans)</w:t>
      </w:r>
    </w:p>
    <w:p>
      <w:pPr>
        <w:spacing w:after="0" w:line="24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250"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w:t>
      </w:r>
      <w:r>
        <w:rPr>
          <w:rFonts w:ascii="Times New Roman" w:cs="Times New Roman" w:eastAsia="Times New Roman" w:hAnsi="Times New Roman"/>
          <w:sz w:val="18"/>
          <w:szCs w:val="18"/>
          <w:color w:val="auto"/>
        </w:rPr>
        <w:t>— Provides marine transportation principally by United States flag vessels of liquid cargoes throughout the United States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w:t>
      </w:r>
      <w:r>
        <w:rPr>
          <w:rFonts w:ascii="Times New Roman" w:cs="Times New Roman" w:eastAsia="Times New Roman" w:hAnsi="Times New Roman"/>
          <w:sz w:val="18"/>
          <w:szCs w:val="18"/>
          <w:color w:val="auto"/>
        </w:rPr>
        <w:t>— Provides after-market services and parts for engines, transmissions, reduction gears and related equipment used in oilfield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r>
        <w:rPr>
          <w:rFonts w:ascii="Times New Roman" w:cs="Times New Roman" w:eastAsia="Times New Roman" w:hAnsi="Times New Roman"/>
          <w:sz w:val="18"/>
          <w:szCs w:val="18"/>
          <w:i w:val="1"/>
          <w:iCs w:val="1"/>
          <w:color w:val="auto"/>
        </w:rPr>
        <w:t>.</w:t>
      </w:r>
    </w:p>
    <w:p>
      <w:pPr>
        <w:spacing w:after="0" w:line="20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$7,446,000 and $14,981,000 for the three months and six months ended June 30, 2019, respectively, and $7,770,000 and $15,920,000 for the three months and six months ended June 30, 2018, respectively, have been eliminated from the tables below. The related intersegment profit of $744,000 and $1,498,000 for the three months and six months ending June 30, 2019, respectively, and $777,000 and $1,592,000 for the three months and six months ended June 30, 2018, respectively, have also been eliminated from the tables below.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revenues and profit or loss by reportable segment for the three months and six months ended June 30, 2019 and 2018 and total assets as of June 30, 2019 and December 31, 2018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1"/>
                <w:szCs w:val="21"/>
                <w:color w:val="auto"/>
              </w:rPr>
            </w:pPr>
          </w:p>
        </w:tc>
        <w:tc>
          <w:tcPr>
            <w:tcW w:w="24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378,163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772,407</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718,566</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424,508</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743,256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825,793</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771,042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802,671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1,515,663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88,667</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54,408</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40,190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77,155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(44,178)</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140" w:type="dxa"/>
            <w:vAlign w:val="bottom"/>
          </w:tcPr>
          <w:p>
            <w:pPr>
              <w:spacing w:after="0"/>
              <w:rPr>
                <w:sz w:val="18"/>
                <w:szCs w:val="18"/>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121,046</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87,385</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 transportation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4,550,455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4,145,294</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1,653,636</w:t>
            </w:r>
          </w:p>
        </w:tc>
      </w:tr>
      <w:tr>
        <w:trPr>
          <w:trHeight w:val="216"/>
        </w:trPr>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72,664</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6,232,890</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5,871,594</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for the three months and six months ended June 30, 2019 and 2018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(15,515)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(12,540)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(28,716)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(22,320)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1,541</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as of June 30, 2019 and December 31, 2018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assets</w:t>
            </w: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w:t>
            </w: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7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2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5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TAXES ON INCOME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before taxes on income and details of the provision for taxes on income for the three months and six months ended June 30, 2019 and 2018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121,655</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89,526</w:t>
            </w: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(2,141)</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22,893</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 current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40" w:type="dxa"/>
            <w:vAlign w:val="bottom"/>
          </w:tcPr>
          <w:p>
            <w:pPr>
              <w:spacing w:after="0"/>
              <w:rPr>
                <w:sz w:val="18"/>
                <w:szCs w:val="18"/>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29,149</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25,926</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for the three months and six months ended June 30, 2019 and 2018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28,486</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available to Kirby common stockholders – diluted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47,165</w:t>
            </w:r>
          </w:p>
        </w:tc>
        <w:tc>
          <w:tcPr>
            <w:tcW w:w="120" w:type="dxa"/>
            <w:vAlign w:val="bottom"/>
          </w:tcPr>
          <w:p>
            <w:pPr>
              <w:spacing w:after="0"/>
              <w:rPr>
                <w:sz w:val="18"/>
                <w:szCs w:val="18"/>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91,343</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60,804</w:t>
            </w:r>
          </w:p>
        </w:tc>
        <w:tc>
          <w:tcPr>
            <w:tcW w:w="0" w:type="dxa"/>
            <w:vAlign w:val="bottom"/>
          </w:tcPr>
          <w:p>
            <w:pPr>
              <w:spacing w:after="0"/>
              <w:rPr>
                <w:sz w:val="1"/>
                <w:szCs w:val="1"/>
                <w:color w:val="auto"/>
              </w:rPr>
            </w:pPr>
          </w:p>
        </w:tc>
      </w:tr>
      <w:tr>
        <w:trPr>
          <w:trHeight w:val="21"/>
        </w:trPr>
        <w:tc>
          <w:tcPr>
            <w:tcW w:w="61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59,790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8"/>
                <w:szCs w:val="18"/>
                <w:color w:val="auto"/>
              </w:rPr>
            </w:pP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outstanding options to purchase approximately 297,000 and 189,000 shares of common stock were excluded in the computation of diluted earnings per share as of June 30, 2019 and 2018, respectively, as such stock options would have been antidilutive. Certain outstanding RSUs to convert to 4,000 shares of common stock were also excluded in the computation of diluted earnings per share as of June 30, 2019 as such RSUs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(13) RETIREMENT PLANS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Company's pension plan during 2019.</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contributions of $1,615,000 to the Higman pension plan in the first quarter of 2019 for the 2018 plan year and a contribution of $483,000 in the second quarter of 2019 for the 2019 plan year. The Company expects to make additional contributions of $966,000 to the Higman pension plan during 2019 for the 2019 plan year.</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for the three months and six months ended June 30, 2019 and 2018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SERP</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6"/>
                <w:szCs w:val="16"/>
                <w:color w:val="auto"/>
              </w:rPr>
            </w:pPr>
          </w:p>
        </w:tc>
      </w:tr>
      <w:tr>
        <w:trPr>
          <w:trHeight w:val="245"/>
        </w:trPr>
        <w:tc>
          <w:tcPr>
            <w:tcW w:w="4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0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(5,693)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4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28"/>
        </w:trPr>
        <w:tc>
          <w:tcPr>
            <w:tcW w:w="42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2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SERP</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6"/>
                <w:szCs w:val="16"/>
                <w:color w:val="auto"/>
              </w:rPr>
            </w:pPr>
          </w:p>
        </w:tc>
      </w:tr>
      <w:tr>
        <w:trPr>
          <w:trHeight w:val="245"/>
        </w:trPr>
        <w:tc>
          <w:tcPr>
            <w:tcW w:w="4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18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7,605</w:t>
            </w:r>
          </w:p>
        </w:tc>
        <w:tc>
          <w:tcPr>
            <w:tcW w:w="2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4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for the three months and six months ended June 30, 2019 and 2018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Postretirement Welfare Plan</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6100" w:type="dxa"/>
            <w:vAlign w:val="bottom"/>
          </w:tcPr>
          <w:p>
            <w:pPr>
              <w:spacing w:after="0"/>
              <w:rPr>
                <w:sz w:val="16"/>
                <w:szCs w:val="16"/>
                <w:color w:val="auto"/>
              </w:rPr>
            </w:pPr>
          </w:p>
        </w:tc>
        <w:tc>
          <w:tcPr>
            <w:tcW w:w="2160" w:type="dxa"/>
            <w:vAlign w:val="bottom"/>
            <w:gridSpan w:val="5"/>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right"/>
              <w:ind w:right="490"/>
              <w:spacing w:after="0" w:line="194"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6"/>
                <w:szCs w:val="16"/>
                <w:color w:val="auto"/>
              </w:rPr>
            </w:pPr>
          </w:p>
        </w:tc>
      </w:tr>
      <w:tr>
        <w:trPr>
          <w:trHeight w:val="245"/>
        </w:trPr>
        <w:tc>
          <w:tcPr>
            <w:tcW w:w="6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shd w:val="clear" w:color="auto" w:fill="CCEEFF"/>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610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60" w:type="dxa"/>
            <w:vAlign w:val="bottom"/>
          </w:tcPr>
          <w:p>
            <w:pPr>
              <w:jc w:val="right"/>
              <w:ind w:right="6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1"/>
        </w:trPr>
        <w:tc>
          <w:tcPr>
            <w:tcW w:w="6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CONTINGENCIES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10, 2019, two tank barges and a towboat (the M/V Voyager), owned and operated by Kirby Inland Marine, LP, a wholly owned subsidiary of the Company, were struck by the LPG tanker, the Genesis River, in the Houston Ship Channel. The bow of the Genesis River penetrated the Kirby 30015T and capsized the MMI 3014. The collision caused the cargo, reformate, to be discharged into the water. The United States Coast Guard (“USCG”) and the National Transportation Safety Board (“NTSB”) designated the owner and pilot of the Genesis River as well as the subsidiary of the Company as parties of interest in their investigation as to the cause of the incident. The Company is participating in the investigation. On June 19, 2019, the Company filed a limitation action in Federal Court seeking limitation of liability and asserting the Genesis River and her owner/manager are at fault for damages including removal costs and claims under the Oil Pollution Act of 1990 and maritime law.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1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against a subsidiary of the Company, the master and pilot of the tug, the vessels and the Canadian government seeking unquantified damages as a result of the incident. On the same date, the Canadian government filed charges against the subsidiary and the vessels for violations of the Canadian Fisheries Act, the Migratory Birds Convention Act, the Pilotage Act and the Shipping Act of 2001. On July 16, 2019, the Company and the Canadian government settled the charges against the subsidiary of the Company. The subsidiary of the Company agreed to pay the Canadian government a fine of approximately $2,900,000 Canadian dollars ($2,200,000 U.S. dollars) for violations of the Canadian Fisheries Act, the Migratory Birds Convention Act, the Pilotage Act and the Shipping Act of 2001. The Company filed a limitation action in Federal Court seeking limitation of liability relating to the incident as provided under admiralty law. The Company responded to the Heiltsuk First Nation’s civil claim asserting that the Federal Court action is the appropriate forum for claims to be heard. The Company is unable to estimate the potential exposure in either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1" w:name="page22"/>
    <w:bookmarkEnd w:id="2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$18,795,000 at June 30, 2019, including $7,061,000 in letters of credit and $11,734,000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2018. Forward-looking statements are based on currently available information and the Company assumes no obligation to update any such statements.</w:t>
      </w:r>
    </w:p>
    <w:p>
      <w:pPr>
        <w:spacing w:after="0" w:line="2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the Management’s Discussion, all net earnings per share attributable to Kirby common stockholders are “diluted earnings per share.” The weighted average number of common shares applicable to diluted earnings per share for the three months and six months ended June 30, 2019 and 2018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stock - diluted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weighted average number of common shares for the 2019 second quarter and first six months compared with the 2018 second quarter and first six months primarily reflects the issuance of restricted stock, RSUs, and stock options.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2019, the Company operated a fleet of 1,067 inland tank barges with 23.7 million barrels of capacity, and operated an average of 309 inland towboats. The Company’s coastal fleet consisted of 49 tank barges with 4.7 million barrels of capacity and 47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1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2019 second quarter, net earnings attributable to Kirby were $47,287,000, or $0.79 per share, on revenues of $771,042,000, compared with 2018 second quarter net earnings attributable to Kirby of $28,602,000, or $0.48 per share, on revenues of $802,671,000. For the 2019 first six months, net earnings attributable to Kirby were $91,583,000, or $1.53 per share, on revenues of $1,515,663,000, compared with 2018 first six months net earnings attributable to Kirby of $61,073,000, or $1.02 per share, on revenues of $1,544,359,000. The 2018 second quarter and first six months results included a one-time non-deductible expense of $18,057,000, or $0.30 per share, related to the retirement of Joseph H. Pyne as executive Chairman of the Board of Directors, effective April 30, 2018. The 2018 first quarter results reflected the acquisition of Higman on February 14, 2018 and included $3,261,000 before taxes, or $0.04 per share, of one-time transaction costs associated with the acquisition, as well as $2,912,000 before taxes, or $0.04 per share, of severance and retirement expenses, primarily related to cost reduction initiatives in the coastal marine transportation market and the integration of Higman.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2019 second quarter and first six months, the Company’s marine transportation segment generated 52% and 51%, respectively,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marine transportation segment’s revenues for both the 2019 second quarter and first six months increased 7%, and operating income increased 39% and 63%, respectively, compared with the 2018 second quarter and first six months revenues and operating income. The increases were primarily due to the addition of the Higman fleet acquired on February 14, 2018, the acquisition of the Targa Resources Corp (“Targa”) pressure barge fleet on May 10, 2018, the CGBM 100, LLC (“CGBM”) inland tank barges acquired on December 14, 2018, and the Cenac marine transportation fleet acquired on March 14, 2019, as well as improved barge utilization and spot and term contract pricing in the inland and coastal markets. Partially offsetting these increases during 2019 were unusually poor operating conditions due to heavy fog along the Gulf Coast, prolonged periods of ice on the Illinois River, high water on the Mississippi River System, closures of key waterways as a result of lock maintenance projects, extended delays in the Houston Ship Channel, and increased shipyard days on several large capacity coastal vessels during the 2019 first quarter. The 2018 first six months were impacted by the Higman transaction costs, and severance and retirement costs which were each incurred in the 2018 first quarter as discussed above. For the 2019 and 2018 second quarters, the inland tank barge fleet contributed 77% and 76%, respectively, and the coastal fleet contributed 23% and 24%, respectively, of marine transportation revenues. For the 2019 and 2018 first six months, the inland tank barge fleet contributed 77% and 75%, respectively, and the coastal fleet contributed 23% and 25%, respectively, of marine transportation revenues.</w:t>
      </w:r>
    </w:p>
    <w:p>
      <w:pPr>
        <w:spacing w:after="0" w:line="2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Tank barge utilization levels in the Company’s inland marine transportation markets averaged in the mid-90% range during the 2019 first and second quarters compared with the high 80% to low 90% range during the 2018 second quarter. Strong demand from petrochemicals, black oil, refined petroleum products and agricultural chemicals customers, along with extensive delay days due to poor operating conditions which slowed the transport of customer cargoes, contributed to increased utilization during the 2019 second quarter compared to the 2018 second quarter.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Coastal tank barge utilization levels averaged in the mid-80% range during the 2019 second quarter compared with the low-80% range during the 2019 first quarter and the 80% range in the 2018 second quarter. The improvement in utilization in 2019 primarily reflected improved customer demand resulting in higher utilization of spot market capacity. Utilization in the coastal marine fleet continued to be impacted by the oversupply of tank barges in the coastal industry.</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both the 2019 second quarter and first six months and the 2018 second quarter and first six months, approximately 65% of inland revenues were under term contracts and 35% were spot contract revenues. Inland time charters during the 2019 second quarter and first six months represented 63% and 62%, respectively, of the inland revenues under term contracts compared with 62% and 60%, respectively, in the 2018 second quarter and first six months. Rates on inland term contracts renewed in the 2019 first quarter increased in the 4% to 6% average range compared with term contracts renewed in the first quarter of 2018. Rates on inland term contracts renewed in the 2019 second quarter increased in the 5% to 8% average range compared with term contracts renewed in the 2018 second quarter. Spot contract rates in the 2019 second quarter increased approximately 15% compared to the 2018 second quarter and increased in the 2% to 5% average range compared to the 2019 first quarter. Effective January 1, 2019, annual escalators for labor and the producer price index on a number of inland multi-year contracts resulted in rate increases on those contracts of approximately 1.7%, excluding fuel.</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2019 and 2018 second quarters and first six months, approximately 80% of the coastal revenues were under term contracts and 20% were spot contract revenues. Coastal time charters represented approximately 85% of coastal revenues under term contracts during the 2019 and 2018 second quarters and first six months. Spot and term contract pricing in the coastal market are contingent on various factors including geographic location, vessel capacity, vessel type and product serviced. Spot market rates in the 2019 second quarter improved in the 10% to 15% average range compared to the 2018 second quarter. Term contract pricing in both the 2019 first and second quarters was higher in the 4% to 6% average range compared to the 2018 first and second quarters.</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marine transportation segment operating margin was 13.2% for the 2019 second quarter compared with 10.1% for the 2018 second quarter and 11.5% for the 2019 first six months compared to 7.6% for the 2018 first six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2019 second quarter and first six months, the distribution and services segment generated 48% and 49%, respectively, of the Company’s revenue, of which 70% and 69%, respectively, was generated from service and parts and 30% and 31%, respectively, from manufacturing. The results of the distribution and services segment are largely influenced by the economic cycles of the oilfield service and oil and gas operator and producer markets, marine, mining, power generation, on-highway and other industrial markets.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Distribution and services revenues for the 2019 second quarter and first six months decreased 14% and 10%, respectively, when compared with the 2018 second quarter and first six months. Operating income for the distribution and services segment for the 2019 second quarter and first six months decreased 42% and 21%, respectively, compared with the 2018 second quarter and first six months. The decreases were primarily attributable to reduced activity in the oilfield which resulted in lower customer demand for new and remanufactured pressure pumping equipment and reduced demand for new and overhauled transmissions and related parts and service, partially offset by improved demand in the commercial and industrial market for the power generation sector. For the 2019 second quarter and first six months, the oil and gas market contributed 54% and 57%, respectively of the distribution and services revenues. The commercial and industrial market, which contributed 46% and 43% of the distribution and services revenues for the 2019 second quarter and first six months, respectively, saw increased demand from commercial customers for back-up power systems in the 2019 second quarter and first six months. Demand for marine diesel engines, parts and service was stable compared to the 2018 second quarter and first six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distribution and services segment operating margin for the 2019 second quarter was 6.3% compared with 9.5% for the 2018 second quarter. For the 2019 first six months, the operating margin was 8.2% compared to 9.3% for the first six months of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Capital Expenditures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continued to generate favorable operating cash flow during the 2019 first six months with net cash provided by operating activities of $188,197,000 compared with $153,755,000 for the 2018 first six months, a 22% increase. The improvement was driven by increased revenues and operating income in the marine transportation segment driven by the Higman acquisition in February 2018, the Targa acquisition in May 2018, the CGBM acquisition in December 2018, and the Cenac acquisition in March 2019, as well as improved inland and coastal barge utilization and pricing. The improvement was also due to a net increase in cash flows from the change in operating assets and liabilities of $10,364,000 due to decrease in inventories in the distribution and services segment in the 2019 first six months compared to an increase in the 2018 first six months. The inventory decrease in the 2019 first six months was primarily due to reduced business activity levels in the oil and gas market as compared to higher inventory levels in the 2018 first six months required to support higher business activity levels. In addition, during the 2019 and 2018 first six months, the Company generated cash of $23,364,000 and $25,208,000, respectively, from proceeds from the disposition of assets, and $1,903,000 and $12,987,000, respectively, from proceeds from the exercise of stock options.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2019 first six months, cash generated and borrowings under the Company’s revolving credit facility were used for capital expenditures of $127,268,000, including $16,380,000 for inland towboat construction, $11,370,000 for progress payments on three 5000 horsepower coastal ATB tugboats, $2,211,000 for final costs on a 155,000 barrel coastal ATB under construction purchased from another operator that was delivered to the Company in the 2018 fourth quarter, and $97,307,000 primarily for upgrading existing marine equipment and marine transportation and distribution and services facilities. The Company also used $252,840,000 for acquisitions of businesses and marine equipment.</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debt-to-capitalization ratio increased to 32.4% at June 30, 2019 from 30.5% at December 31, 2018, primarily due to borrowings under the Revolving Credit Facility and the Term Loan to purchase the Cenac fleet in the 2019 first quarter, offset by the increase in total equity from net earnings attributable to Kirby for the 2019 first six months of $91,583,000 and the exercise of stock options and the amortization of unearned equity compensation. As of June 30, 2019, the Company had $103,577,000 outstanding under its Revolving Credit Facility, $500,000,000 outstanding under the Term Loan, $500,000,000 of unsecured senior notes (“Senior Notes Series A” and “Senior Notes Series B”) outstanding and $500,000,000 of 4.2% senior unsecured notes due March 1, 2028 (the “2028 Notes”) outstanding, offset by $8,882,000 in unamortized debt discount and issuance costs.</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2019 first six months, the Company acquired 63 inland tank barges from Cenac with a total capacity of approximately 1,833,000 barrels, retired five inland tank barges, brought back into service four inland tank barges, and chartered two inland tank barges, increasing its capacity by approximately 78,000 barrels. The net result was an increase of 64 inland tank barges and approximately 1,911,000 barrels of capacity during the first six months of 2019.</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projects that capital expenditures for 2019 will be in the $225,000,000 to $245,000,000 range. The 2019 construction program will consist of progress payments on the construction of 13 inland towboats, eight of which will be placed in service in 2019 and the remaining five in 2020 and 2021, and progress payments on the construction of three 5000 horsepower coastal ATB tugboats to be placed in service in 2019. Based on current commitments, steel prices and projected delivery schedules, the Company’s 2019 progress payments on the new inland towboats will be approximately $20,000,000 to $25,000,000 and 2019 progress payments on the construction of the three 5000 horsepower coastal ATB tugboats will be approximately $20,000,000. Approximately $155,000,000 to $165,000,000 is primarily capital upgrades and improvements to existing marine equipment and facilities. The balance of $30,000,000 to $35,000,000 will be for rental fleet growth, new machinery and equipment, and facilities improvements and information technology projects in the distribution and services segment.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inland marine transportation market, the Company anticipates favorable market dynamics with continued growth in customer demand during 2019, driven by continued growth in U.S. GDP, new petrochemical plants which are expected to come on-line during the year, and new pipelines from the Permian Basin that will bring additional crude oil volumes to the Gulf Coast. These factors, combined with only modest inland barge additions, are expected to result in inland barge utilization rates in the mid-90% range during the year. Together with a full year of contribution from 2018 acquisitions, including Higman, Targa’s pressure barge business and CGBM’s tank barges, as well as the acquisition in March 2019 of Cenac’s marine transportation fleet, inland revenues and operating income are expected to increase during 2019. In the 2019 third quarter, better weather should yield improved operating efficiencies on contracts of affreightment. However, the recent hurricane and continued high water conditions on the Mississippi River will impact the 2019 third quarter. Overall, inland revenue and operating income in the 2019 third quarter are expected to increase slightly compared to the 2019 second quarter.</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30, 2019, the Company estimated there were approximately 3,850 inland tank barges in the industry fleet, of which approximately 350 were over 30 years old and approximately 240 of those over 40 years old. The Company estimates that approximately 200 tank barges have been ordered for delivery throughout 2019 and many older tank barges, including an expected 13 by the Company, will be retired, dependent on 2019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coastal marine transportation market, the Company expects revenues and operating income to improve compared to 2018, with coastal tank barge utilization increasing modestly into the low to mid-80% range for 2019. Improving market conditions are expected to be driven by stable to slightly improving customer demand and expected additional industry retirements of aging barges due to ballast water management treatment systems regulations. For the 2019 third quarter, coastal revenues and operating income are expected to be similar to the 2019 second quarter. In the 2019 fourth quarter, however, seasonal activity declines in the Pacific and shipyard maintenance on several large capacity vessels will have an adverse impact on revenue and operating income.</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2019, the Company estimated there were approximately 290 tank barges operating in the 195,000 barrel or less coastal industry fleet, the sector of the market in which the Company operates, and approximately 15 of those were over 30 years old. The Company is aware of three announced coastal tank barge and tugboat units in the 195,000 barrel or less category under construction by competitors for delivery in 2019, two of which were delivered in the first six months of the year.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distribution and services segment are largely influenced by the economic cycles of the land-based oilfield service and oil and gas operator and producer markets, marine, mining, power generation, on-highway and other industrial markets.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Recent oilfield activity declines and crude oil price volatility have created some uncertainty for the Company’s oil and gas market which will likely extend for the duration of 2019. Firm commitments and the pace of orders for new pressure pumping equipment have slowed considerably thus far in 2019. Additionally, maintenance on existing pressure pumping units, transmission overhauls, and parts sales have also declined to minimal levels. Based on current activity levels, deliveries of new pressure pumping equipment are expected to materially decline for the remainder of 2019, and maintenance activities are expected to remain very low. Transmission overhauls and parts sales are also expected to remain at the reduced levels. As a result, revenues and operating income for the Company’s oil and gas businesses are expected to decline in the 2019 second half compared to the 2019 first half.</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distribution and services commercial and industrial market, the Company anticipates revenues and operating income to be higher in 2019 than 2018 with higher anticipated demand for standby power generation and specialty equipment rentals. Activity in the nuclear standby power generation market and the commercial marine markets is expected to be stable in 2019. In the 2019 third quarter, revenues and operating income are expected to decline compared to the 2019 second quarter with fewer installations of major back-up power systems and reduced vessel repair service levels in marine. These should be partially offset by improved utilization in the rental power generation fleet during the summer storm season along the Gulf Coast.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the Company purchased seven inland tank barges from a leasing company for $8,340,000 in cash. The Company had been leasing the barges prior to the purchases. Financing of the equipment acquisition was through borrowings under the Company’s revolving credit facility.</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14, 2019, the Company completed the acquisition of the marine transportation fleet of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 Financing of the acquisition was through borrowings under the Company’s revolving credit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reported 2019 second quarter net earnings attributable to Kirby of $47,287,000, or $0.79 per share, on revenues of $771,042,000, compared with 2018 second quarter net earnings attributable to Kirby of $28,602,000, or $0.48 per share, on revenues of $802,671,000. Net earnings attributable to Kirby for the 2019 first six months were $91,583,000, or $1.53 per share, on revenues of $1,515,663,000, compared with $61,073,000, or $1.02 per share, on revenues of $1,544,359,000 for the 2018 first six months. The 2018 second quarter and first six months results included a one-time non-deductible expense of $18,057,000, or $0.30 per share, related to the retirement of Joseph H. Pyne as executive Chairman of the Board of Directors, effective April 30, 2018. The 2018 first quarter results reflected the acquisition of Higman on February 14, 2018 and included $3,261,000 before taxes, or $0.04 per share, of one-time transaction costs associated with the acquisition, as well as $2,912,000 before taxes, or $0.04 per share, of severance and retirement expenses, primarily related to cost reduction initiatives in the coastal marine transportation market and the integration of Higman.</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and distribution and services revenues for the 2019 second quarter compared with the second quarter of 2018, the first six months of 2019 compared with the first six months of 2018 and the percentage of each to total revenues for the comparable periods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transportation</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772,407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366,756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424,508</w:t>
            </w:r>
          </w:p>
        </w:tc>
        <w:tc>
          <w:tcPr>
            <w:tcW w:w="5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743,256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825,793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771,042</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802,671</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1,515,663</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1,544,359</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2019, the Company operated 1,067 inland tank barges, including 26 leased barges, with a total capacity of 23.7 million barrels. This compares with 990 inland tank barges operated as of June 30, 2018, including 32 leased barges, with a total capacity of 21.7 million barrels. The Company operated an average of 309 inland towboats during the 2019 second quarter, of which an average of 78 were chartered, compared with 286 during the 2018 second quarter, of which an average of 74 were chartered. The Company’s coastal tank barge fleet as of June 30, 2019, consisted of 49 tank barges, two of which were leased, with 4.7 million barrels of capacity, and 47 tugboats, five of which were chartered. This compares with 55 coastal tank barges operated as of June 30, 2018, seven of which were leased, with 5.2 million barrels of capacity, and 50 tugboats, four of which were chartered. The Company owns and operates four offshore dry-bulk cargo barge and tugboat units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segment’s revenues, costs and expenses, operating income and operating margins for the three months and six months ended June 30, 2019 compared with the three months and six months ended June 30, 2018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60" w:type="dxa"/>
            <w:vAlign w:val="bottom"/>
          </w:tcPr>
          <w:p>
            <w:pPr>
              <w:spacing w:after="0"/>
              <w:rPr>
                <w:sz w:val="21"/>
                <w:szCs w:val="21"/>
                <w:color w:val="auto"/>
              </w:rPr>
            </w:pPr>
          </w:p>
        </w:tc>
        <w:tc>
          <w:tcPr>
            <w:tcW w:w="9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404,286</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378,163</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772,407</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718,566</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257,022</w:t>
            </w:r>
          </w:p>
        </w:tc>
        <w:tc>
          <w:tcPr>
            <w:tcW w:w="9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495,807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29,472</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65,048</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8,659</w:t>
            </w:r>
          </w:p>
        </w:tc>
        <w:tc>
          <w:tcPr>
            <w:tcW w:w="9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15,181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88,122</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351,043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339,935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664,158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38,228</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54,408</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 Revenues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the marine transportation revenue distribution for the 2019 second quarter and first six months, products moved and the drivers of the demand for the products the Company transports: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2019 Second</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2019 Six</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Serviced</w:t>
            </w:r>
          </w:p>
        </w:tc>
        <w:tc>
          <w:tcPr>
            <w:tcW w:w="19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Products Moved</w:t>
            </w:r>
          </w:p>
        </w:tc>
        <w:tc>
          <w:tcPr>
            <w:tcW w:w="540" w:type="dxa"/>
            <w:vAlign w:val="bottom"/>
          </w:tcPr>
          <w:p>
            <w:pPr>
              <w:spacing w:after="0"/>
              <w:rPr>
                <w:sz w:val="21"/>
                <w:szCs w:val="21"/>
                <w:color w:val="auto"/>
              </w:rPr>
            </w:pPr>
          </w:p>
        </w:tc>
        <w:tc>
          <w:tcPr>
            <w:tcW w:w="18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Drivers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Petrochemicals</w:t>
            </w:r>
          </w:p>
        </w:tc>
        <w:tc>
          <w:tcPr>
            <w:tcW w:w="5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54%</w:t>
            </w:r>
          </w:p>
        </w:tc>
        <w:tc>
          <w:tcPr>
            <w:tcW w:w="5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Benzene, Styrene, Methanol,</w:t>
            </w:r>
          </w:p>
        </w:tc>
        <w:tc>
          <w:tcPr>
            <w:tcW w:w="5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Consumer non-durables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Acrylonitrile, Xylene, Naphtha,</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70%, Consumer durables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Caustic Soda, Butadiene, Propylene</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w:t>
            </w:r>
          </w:p>
        </w:tc>
        <w:tc>
          <w:tcPr>
            <w:tcW w:w="2400" w:type="dxa"/>
            <w:vAlign w:val="bottom"/>
            <w:gridSpan w:val="2"/>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Fuel for Power Plants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Vacuum Gas Oil, Asphalt, Carbon</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Ships, Feedstock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Feedstock, Crude Oil, Natural</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Refineries, Road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Condensate, Ship Bunkers</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Refined Petroleum</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w:t>
            </w:r>
          </w:p>
        </w:tc>
        <w:tc>
          <w:tcPr>
            <w:tcW w:w="2400" w:type="dxa"/>
            <w:vAlign w:val="bottom"/>
            <w:gridSpan w:val="2"/>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Vehicle Usage, 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Diesel Fuel, Ethanol</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Travel, Weather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Conditions, Refinery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Anhydrous Ammonia, Nitrogen –</w:t>
            </w:r>
          </w:p>
        </w:tc>
        <w:tc>
          <w:tcPr>
            <w:tcW w:w="2400" w:type="dxa"/>
            <w:vAlign w:val="bottom"/>
            <w:gridSpan w:val="2"/>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Corn, Cotton and Wheat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Liquid Fertilizer, Industrial</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Production, Chemical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Ammonia</w:t>
            </w:r>
          </w:p>
        </w:tc>
        <w:tc>
          <w:tcPr>
            <w:tcW w:w="2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Feedstock Usage</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w:t>
            </w: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Marine transportation revenues for both the 2019 second quarter and first six months increased 7% when compared with the 2018 second quarter and first six months. The increase was primarily due to the addition of the Higman fleet acquired on February 14, 2018, the Targa pressure barges acquired on May 10, 2018, the CGBM inland tank barges acquired on December 14, 2018, and the Cenac marine transportation fleet acquired on March 14, 2019, as well as improved barge utilization and spot and term contract pricing in the inland and coastal markets. Partially offsetting the increase were unusually poor operating conditions due to heavy fog along the Gulf Coast, prolonged periods of ice on the Illinois River, high water on the Mississippi River System, closures of key waterways as a result of lock maintenance projects, extended delays in the Houston Ship Channel, and increased shipyard days on several large capacity coastal vessels during the 2019 first quarter. For the 2019 and 2018 second quarters, the inland tank barge fleet contributed 77% and 76%, respectively, and the coastal fleet contributed 23% and 24%, respectively, of marine transportation revenues. For the 2019 and 2018 first six months, the inland tank barge fleet contributed 77% and 75%, respectively, and the coastal fleet contributed 23% and 25%, respectively, of marine transportation revenues.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Tank barge utilization levels in the Company’s inland marine transportation markets averaged in the mid-90% range during the 2019 first and second quarters compared with the high 80% to low 90% range during the 2018 second quarter. Strong demand from petrochemicals, black oil, refined petroleum products and agricultural chemicals customers, along with extensive delay days due to poor operating conditions which slowed the transport of customer cargoes, contributed to increased utilization during the 2019 second quarter compared to the 2018 second quarter.</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Coastal tank barge utilization levels averaged in the mid-80% range during the 2019 second quarter compared with the low 80% range during the 2019 first quarter and the 80% range in the 2018 second quarter. The improvement in utilization in 2019 primarily reflected improved customer demand resulting in higher utilization of spot market capacity. Utilization in the coastal marine fleet continued to be impacted by the oversupply of tank barges in the coastal industry.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54% and 55% of marine transportation revenues for the 2019 second quarter and first six months, respectively, reflecting continued stable volumes from Gulf Coast petrochemical plants for both domestic consumption and to terminals for export destinations plus the addition of the Targa pressure barges in May 2018.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during 2018 and the 2019 first six months benefited the market.</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24% and 23% of marine transportation revenues for the 2019 second quarter and first six months, respectively, reflected continued stable demand from steady refinery production levels and the export of refined petroleum products and fuel oils. The Company continued to transport crude oil and natural gas condensate produced from the Eagle Ford and Permian Basin shale formations in Texas, both along the Gulf Intracoastal Waterway with inland vessels and in the Gulf of Mexico with coastal equipment. Additionally, the Company transported increased volumes of Utica natural gas condensate downriver from the Mid-Atlantic to the Gulf Coast and Canadian and Bakken crude downriver from the Midwest to the Gulf Coast.</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refined petroleum products market, which contributed 19% of marine transportation revenues for both the 2019 second quarter and first six months, respectively, reflected stable volumes in the inland market, partially offset by reduced volumes in coastal as a result of one barge retirement and the return of three leased barges which transported refined products.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3% of marine transportation revenues for both the 2019 second quarter and first six months, respectively, saw typical seasonal demand for transportation of both domestically produced and imported products during the first six months.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second quarter of 2019, the inland operations incurred 3,331 delay days, 92% more than the 1,735 delay days that occurred during the 2018 second quarter. For the first six months of 2019, the inland operations incurred 7,944 delay days, 86% more than the 4,263 delay days that occurred during the first six months of 2018. Delay days measure the lost time incurred by a tow (towboat and one or more tank barges) during transit when the tow is stopped due to weather, lock conditions or other navigational factors. The increase in delay days for the 2019 second quarter and first six months compared to the 2018 second quarter and first six months reflected unusually poor operating conditions during the 2019 first six months due to heavy fog along the Gulf Coast, extended periods of ice on the Illinois River, near record high water conditions on the Mississippi River System, closures of key waterways as a result of lock maintenance projects and extended delays in the Houston Ship Channel.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both the 2019 second quarter and first six months and the 2018 second quarter and first six months, approximately 65% of inland revenues were under term contracts and 35% were spot contract revenues. Inland time charters during the 2019 second quarter and first six months represented 63% and 62%, respectively, of the inland revenues under term contracts compared with 62% and 60%, respectively, in the 2018 second quarter and first six months. Rates on inland term contracts renewed in the 2019 first quarter increased in the 4% to 6% average range compared with term contracts renewed in the first quarter of 2018. Rates on inland term contracts renewed in the 2019 second quarter increased in the 5% to 8% average range compared with term contracts renewed in the 2018 second quarter. Spot contract rates in the 2019 second quarter increased approximately 15% compared to the 2018 second quarter and increased in the 2% to 5% average range compared to the 2019 first quarter. Effective January 1, 2019, annual escalators for labor and the producer price index on a number of inland multi-year contracts resulted in rate increases on those contracts of approximately 1.7%, excluding fuel.</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2019 and 2018 second quarters and first six months, approximately 80% of the coastal revenues were under term contracts and 20% were spot contract revenues. Coastal time charters represented approximately 85% of coastal revenues under term contracts during the 2019 and 2018 second quarters and first six months. Spot and term contract pricing in the coastal market are contingent on various factors including geographic location, vessel capacity, vessel type and product serviced. Spot market rates in the 2019 second quarter improved in the 10% to 15% average range compared to the 2018 second quarter. Term contract pricing in both the 2019 first and second quarters was higher in the 4% to 6% average range compared to the 2018 first and second quarters.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and expenses for both the 2019 second quarter and first six months increased 3% when compared with the 2018 second quarter and first six months. Costs of sales and operating expenses for both the 2019 second quarter and first six months increased 4% compared with the 2018 second quarter and first six months, primarily due to the addition of the Higman fleet in February 2018 and the Cenac fleet in March 2019 and higher fuel costs.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309 towboats during the 2019 second quarter, of which an average of 78 were chartered, compared with 286 during the 2018 second quarter, of which an average of 74 were chartered. The increase was primarily due to the addition of inland towboats with the Cenac acquisition on March 14, 2019. Generally, as demand, or anticipated demand, increases or decreases, as new tank barges are added to the fleet,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both the 2019 and 2018 second quarters, the inland operations consumed 12.6 million gallons of diesel fuel. The average price per gallon of diesel fuel consumed during the 2019 second quarter was $2.24 per gallon compared with $2.10 per gallon for the 2018 second quarter. For the 2019 first six months, the inland operations consumed 24.0 million gallons of diesel fuel compared to 23.9 million gallons consumed during the 2018 first six months. The average price per gallon of diesel fuel consumed during the 2019 first six months was $2.09 compared with $2.07 for the 2018 first six months.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2019 second quarter and first six months decreased 1% and 4%, respectively, compared with the 2018 second quarter and first six months. The decrease was primarily due to transactions costs of $3,261,000, consisting primarily of legal, audit and other professional fees associated with the Higman acquisition and severance charges of $2,591,000 associated with the integration of Higman into the Company and further reduction in headcount in the coastal sector in order to manage costs, both of which were incurred in the 2018 first quarter. The Company also experienced higher costs in the 2019 first six months due to Cenac acquisition related costs of $392,000 and salaries as well as related costs of the acquired personnel of Higman.</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Taxes, other than on income, for the 2019 second quarter and first six months increased 6% and 13%, respectively, compared with the 2018 second quarter and first six months, mainly due to higher property taxes on marine transportation equipment, including the Higman, Targa, CGBM, and Cenac fleets, and higher waterway use taxes due to higher business activity levels, mainly due to the Higman and Cenac acquisitions.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Marine transportation operating income for the 2019 second quarter and first six months increased 39% and 63%, respectively, compared with the 2018 second quarter and first six months. The operating margin was 13.2% for the 2019 second quarter compared with 10.1% for the 2018 second quarter and 11.5% for the 2019 first six months compared with 7.6% for the 2018 first six months. The operating income increase in the 2019 second quarter, compared to the 2018 second quarter, was primarily due to the acquisitions of Higman, Targa’s pressure barge fleet, CGBM’s inland tank barges, and Cenac’s marine transportation fleet as well as improved barge utilization and spot and term contract pricing in the inland and coastal markets, partially offset by significant weather and navigational challenges in the 2019 first six months.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5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distribution and services segment’s revenues, costs and expenses, operating income and operating margins for the three months and six months ended June 30, 2019 compared with the three months and six months ended June 30, 2018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60" w:type="dxa"/>
            <w:vAlign w:val="bottom"/>
          </w:tcPr>
          <w:p>
            <w:pPr>
              <w:spacing w:after="0"/>
              <w:rPr>
                <w:sz w:val="21"/>
                <w:szCs w:val="21"/>
                <w:color w:val="auto"/>
              </w:rPr>
            </w:pP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1"/>
                <w:szCs w:val="21"/>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366,756</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424,508</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743,256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825,793</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331,606</w:t>
            </w:r>
          </w:p>
        </w:tc>
        <w:tc>
          <w:tcPr>
            <w:tcW w:w="8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646,138</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40,963</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74,586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78,717</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1,872</w:t>
            </w:r>
          </w:p>
        </w:tc>
        <w:tc>
          <w:tcPr>
            <w:tcW w:w="8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3,874</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19,909</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343,628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384,318</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748,638</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40,190</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77,155</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margins</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markets serviced by the Company’s distribution and services segment, the revenue distribution for the 2019 second quarter and first six months, and the customers for each market: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2019 Second</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2019 Six</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 Serviced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564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and Industrial</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 Offshore Oilfield Services — Drilling Rigs &amp; Supply Boats, Harbor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Towing, Dredging, Great Lakes Ore Carriers, Pleasure Crafts, On and Off-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Highway Transportation, Power Generation, Standby Power Generation,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Pumping Stations, Mining</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 and services revenues for the 2019 second quarter and first six months decreased 14% and 10%, respectively, when compared with the second quarter and first six months of 2018. The decreased revenues were primarily attributable to reduced activity in the oilfield which resulted in lower customer demand for new and remanufactured pressure pumping equipment and reduced demand for new and overhauled transmissions and related parts and service, partially offset by improved demand in the commercial and industrial market for the power generation sector. For the 2019 second quarter and first six months, the oil and gas market contributed 54% and 57%, respectively, of the distribution and services revenues. The commercial and industrial market, which contributed 46% and 43%, of the distribution and services revenues for the 2019 second quarter and first six months, respectively, saw increased demand from commercial customers for back-up power systems in the 2019 second quarter and first six months. Demand for marine diesel engines, parts and service was stable compared to the 2018 second quarter and first six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and expenses for the 2019 second quarter and first six months decreased 11% and 9%, respectively, compared with the 2018 second quarter and first six months. Costs of sales and operating expenses for the 2019 second quarter and first six months also decreased 11% and 9%, respectively, compared with the 2018 second quarter and first six months, reflecting lower demand for new and remanufactured pressure pumping equipment and reduced demand for new and overhauled transmissions and related parts and service in the oil and gas market.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2019 second quarter and first six months decreased 9% and 5%, respectively, compared with the 2018 second quarter and first six months. The Company experienced lower costs in the 2019 second quarter and first six months mainly due to lower incentive compensation and professional fees.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for the distribution and services segment for the 2019 second quarter and first six months decreased 42% and 21%, respectively, compared with the 2018 second quarter and first six months. The operating margin for the 2019 second quarter was 6.3% compared with 9.5% for the 2018 second quarter and 8.2% for the 2019 first six months compared with 9.3% for the 2018 first six months. The results primarily reflected decreases in higher margin oil and gas related revenue and increased sales of lower margin power generation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corporate expenses for the 2019 second quarter were $3,646,000 compared with $23,007,000 for the 2018 second quarter, primarily due to a one-time non-deductible expense of $18,057,000 in 2018 related to the retirement of the Company’s executive Chairman, effective April 30, 2018. For the 2019 first six months, general corporate expenses were $6,730,000 compared with $27,330,000 for the 2018 first six months.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reported a net gain on disposition of assets of $3,118,000 for the 2019 second quarter compared to $442,000 for the 2018 second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2019 first six months, the Company reported a net gain on disposition of assets of $5,275,000 compared to $2,340,000 for the 2018 first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gains were predominantly from the sale or retirement of marine equipment and distribution and services facilities.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for the three months and six months ended June 30, 2019 compared with the three months and six months ended June 30, 2018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7"/>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for the 2019 and 2018 second quarters include income of $1,280,000 and $1,104,000, respectively, and the 2019 and 2018 first six months include income of $1,726,000 and $2,216,000, respectively, for all components of net benefit costs except the service cost component related to the Company’s defined benefit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expense for the 2019 second quarter and first six months increased 24% and 29%, respectively, compared with the 2018 second quarter and first six months, primarily due to borrowings to finance the Higman acquisition in February 2018, the acquisition of Targa’s pressure barge fleet in May 2018, the purchase of the 155,000 barrel coastal ATB under construction in June 2018, the acquisition of CGBM’s tank barges in December 2018, and the acquisition of Cenac’s marine transportation fleet in March 2019. During the 2019 and 2018 second quarters, the average debt and average interest rate (excluding capitalized interest) were $1,641,311,000 and 3.8%, and $1,411,603,000 and 3.6%, respectively. For the first six months of 2019 and 2018, the average debt and average interest rate (excluding capitalized interest) were $1,550,342,000 and 3.8%, and $1,339,012,000 and 3.4%, respectively. Interest expense excludes capitalized interest for the 2019 and 2018 second quarters of $182,000 and $311,000, respectively, and for the 2019 and 2018 first six months of $825,000 and $509,000, respectively.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assets as of June 30, 2019 were $6,232,890,000 compared with $5,871,594,000 as of December 31, 2018. The following table sets forth the significant components of the balance sheet as of June 30, 2019 compared with December 31, 2018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1,096,489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3,796,418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3,539,802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953,826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224,197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54,493</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57,280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2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6,232,890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607,782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1,594,695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1,410,169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542,785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94,557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0" w:type="dxa"/>
            <w:vAlign w:val="bottom"/>
          </w:tcPr>
          <w:p>
            <w:pPr>
              <w:spacing w:after="0"/>
              <w:rPr>
                <w:sz w:val="19"/>
                <w:szCs w:val="19"/>
                <w:color w:val="auto"/>
              </w:rPr>
            </w:pPr>
          </w:p>
        </w:tc>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3,322,172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3,216,301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2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6,232,890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5,871,594</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 assets as of June 30, 2019 decreased 4% compared with December 31, 2018. Trade accounts receivable increased 8% mainly due to increased activities in the inland marine transportation market and in the distribution and services commercial and industrial market. Inventories, net, decreased 16%, primarily reflecting lower inventory levels due to reduced business activity levels in the oil and gas market.</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net of accumulated depreciation, at June 30, 2019 increased 7% compared with December 31, 2018. The increase reflected $121,891,000 of capital expenditures for the first six months of 2019, more fully described under Capital Expenditures Reflected on the Balance Sheet below, the fair value of the property and equipment acquired in the Cenac acquisition of $247,122,000 and the seven inland tank barges purchased in the first six months of 2019 for $8,340,000, less $102,729,000 of depreciation expense and $18,007,000 of property disposals during the 2019 first six months.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 right-of-use assets increased due to the adoption of ASU 2016-02 on January 1, 2019.</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intangibles, net, as of June 30, 2019 decreased 4% compared with December 31, 2018, primarily due to amortization of intangibles other than goodwill.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 liabilities as of June 30, 2019 decreased 13% compared with December 31, 2018. Accounts payable decreased 24%, primarily due to reduced business activity levels in the distribution and services oil and gas market. Accrued liabilities decreased 9% primarily from payment during the 2019 first quarter of employee incentive compensation bonuses accrued during 2018. Current portion of operating lease liabilities increased due to the adoption of ASU 2016-02 on January 1, 2019. Deferred revenues decreased 26%, primarily reflecting reduced business activity levels in the distribution and services oil and gas market.</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Long-term debt, net less current portion, as of June 30, 2019 increased 13% compared with December 31, 2018, primarily reflecting the addition of a five-year Term Loan in an amount of $500,000,000 on March 27, 2019, offset by net payments of $313,797,000 on the amended and restated Revolving Credit Facility. Net debt discount and deferred issuance costs were $8,882,000 and $7,204,000 at June 30, 2019 and December 31, 2018, respectively.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as of June 30, 2019 increased 5% compared with December 31, 2018, primarily reflecting the 2019 first six months deferred tax provision of $26,007,000.</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 liabilities increased due to the adoption of ASU 2016-02 on January 1, 2019.</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long-term liabilities as of June 30, 2019 decreased 13% compared with December 31, 2018. The decrease was primarily due to the adoption of ASU 2016-02 on January 1, 2019 and the resulting reclass of unfavorable leases to operating lease right-of-use assets and the reclass of deferred rent liabilities to long-term operating lease liabilities and contributions of $2,098,000 to the Higman pension plan during the 2019 first six months.</w:t>
      </w:r>
    </w:p>
    <w:p>
      <w:pPr>
        <w:spacing w:after="0" w:line="20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equity as of June 30, 2019 increased 3% compared with December 31, 2018. The increase was primarily the result of $91,583,000 of net earnings attributable to Kirby for the first six months of 2019, an increase in additional paid-in capital of $6,113,000, primarily due to the employee stock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27, 2019, the Company entered into an amended and restated credit agreement (the “Credit Agreement”) with a group of commercial banks, with JPMorgan Chase Bank, N.A. as the administrative agent bank, that extends the term of the Company’s existing $850,000,000 revolving credit facility (“Revolving Credit Facility”) to March 27, 2024 and adds a five-year term loan (“Term Loan”) facility in an amount of $500,000,000.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repayable in quarterly installments commencing June 30, 2020, in increasing percentages of the original principal amount of the loan, with the remaining unpaid balance payable of 65% of the initial amount due on March 27, 2024. The Credit Agreement contains certain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June 30, 2019, the Company was in compliance with all Credit Agreement covenants and had outstanding borrowings of $103,577,000 under the Revolving Credit Facility and $500,000,000 under the Term Loan. The Revolving Credit Facility includes a $25,000,000 commitment which may be used for standby letters of credit. Outstanding letters of credit under the Revolving Credit Facility were $5,670,000 as of June 30, 2019.</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12, 2018, the Company issued $500,000,000 of the 2028 Notes with U.S. Bank National Association, as trustee. Interest payments of $10,500,000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As of June 30, 2019, the Company was in compliance with all the 2028 Notes covenants and had $500,000,000 outstanding under the 2028 Notes.</w:t>
      </w:r>
    </w:p>
    <w:p>
      <w:pPr>
        <w:spacing w:after="0" w:line="2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$500,000,000 of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June 30, 2019, the Company was in compliance with all Senior Notes Series A and Series B covenants and had $150,000,000 of Senior Notes Series A outstanding and $350,000,000 of Senior Notes Series B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$10,000,000 line of credit (“Credit Line”) with Bank of America, N.A. (“Bank of America”) for short-term liquidity needs and letters of credit, with a maturity date of June 30, 2021. The Credit Line allows the Company to borrow at an interest rate agreed to by Bank of America and the Company at the time each borrowing is made or continued. The Company had no borrowings outstanding under the Credit Line as of June 30, 2019. Outstanding letters of credit under the Credit Line were $1,171,000 as of June 30,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Reflected on the Balance Sheet</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expenditures for the 2019 first six months were $121,891,000, including $16,380,000 for inland towboat construction, $11,370,000 for progress payments on three 5000 horsepower coastal ATB tugboats, $2,211,000 for final costs on a 155,000 barrel coastal ATB under construction purchased from another operator that was delivered to the Company in the 2018 fourth quarter, and $91,930,000 primarily for upgrading existing marine equipment and marine transportation and distribution and services facilities.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Financing of the construction of the inland towboats, coastal tugboats and the 155,000 barrel coastal ATB, plus upgrades of existing marine equipment and marine transportation and distribution and services facilities was through operating cash flows and available credit under the Company’s Revolving Credit Facility.</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2019 first six months, the Company acquired 63 inland tank barges from Cenac with a total capacity of approximately 1,833,000 barrels, retired five inland tank barges, brought back into service four inland tank barges, and chartered two inland tank barges, increasing its capacity by approximately 78,000 barrels. The net result was an increase of 64 inland tank barges and approximately 1,911,000 barrels of capacity during the first six months of 2019.</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projects that capital expenditures for 2019 will be in the $225,000,000 to $245,000,000 range. The 2019 construction program will consist of progress payments on the construction of 13 inland towboats, eight of which will be placed in service in 2019 and the remaining five in 2020 and 2021, and progress payments on the construction of three 5000 horsepower coastal ATB tugboats to be placed in service in 2019. Based on current commitments, steel prices and projected delivery schedules, the Company’s 2019 progress payments on the new inland towboats will be approximately $20,000,000 to $25,000,000 and 2019 progress payments on the construction of the three 5000 horsepower coastal ATB tugboats will be approximately $20,000,000. Approximately $155,000,000 to $165,000,000 is primarily capital upgrades and improvements to existing marine equipment and facilities. The balance of $30,000,000 to $35,000,000 will be for rental fleet growth, new machinery and equipment, and facilities improvements in the distribution and services segment.</w:t>
      </w:r>
    </w:p>
    <w:p>
      <w:pPr>
        <w:spacing w:after="0" w:line="21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Funding for future capital expenditures is expected to be provided through operating cash flows and available credit under the Company’s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did not purchase any treasury stock during the 2019 first six months. As of August 1, 2019, the Company had approximately 1,400,000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generated net cash provided by operating activities of $188,197,000 in the 2019 first six months compared with $153,755,000 for the 2018 first six months. The increase was driven by increased revenues and operating income in the marine transportation segment driven by the acquisitions of the Higman fleet in February 2018, the Targa fleet in May 2018, the CGBM barges in December 2018, and the Cenac fleet in March 2019, as well as improved inland and coastal barge utilization and pricing. The increase was also due to a net increase in cash flows from the change in operating assets and liabilities of $10,364,000 due to decrease in inventories in the distribution and services segment in the 2019 first six months compared to an increase in the 2018 first six months.</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August 1, 2019, $823,145,000 under its Revolving Credit Facility and $8,829,000 available under its Credit Line.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Revolving Credit Facility’s commitment is in the amount of $850,000,000 and expires March 27, 2024. As of June 30, 2019, the Company had $740,753,000 available under the Revolving Credit Facility. The Senior Notes Series A and Senior Notes Series B mature February 27, 2020 and February 27, 2023, respectively, and require no prepayments. The 2028 Notes mature March 1, 2028 and require no prepayments. The outstanding balance of the Term Loan is subject to quarterly amortization, beginning June 30, 2020, in increasing percentages of the original principal amount of the loan, with the remaining unpaid balance payable of 65% of the initial amount due on March 27, 2024. The Term Loan is prepayable, in whole or in part, without penalty.</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 in 2019. For a list of significant risks and uncertainties that could impact cash flows, see Note 14, Contingencies, in the financial statements, and Item 1A — Risk Factors and Note 15, Contingencies and Commitments, in the Company’s Annual Report on Form 10-K for the year ended December 31, 2018.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$18,795,000 at June 30, 2019, including $7,061,000 in letters of credit and $11,734,000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2019 interest expense by $507,000 based on balances outstanding at December 31, 2018, and would change the fair value of the Company’s debt by 1%.</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disclosure controls and procedures (as defined in Rules 13a-15(e) and 15d-15(e)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as amended (“Exchange Act”)) are designed to ensure that information required to be disclosed in the reports that are filed or submitted under the Exchange Act is recorded, processed, summarized, and reported within the time periods specified in the rules and forms of the Securities and Exchange Commission and to ensure that such information required to be disclosed is accumulated and communicated to management, including principal executive and financial officers, as appropriate to allow timely decisions regarding required disclosure. The Chief Executive Officer (“CEO”) and the Chief Financial Officer (“CFO”), with assistance from other members of management, have evaluated the effectiveness of the Company’s disclosure controls and procedures as of June 30, 2019 and, based on their evaluation, the CEO and CFO have concluded that the disclosure controls and procedures were not effective as of such date due to the material weakness in internal control over financial reporting as disclosed in the Company’s Annual Report on Form 10-K for the year ended December 31, 2018.</w:t>
      </w:r>
    </w:p>
    <w:p>
      <w:pPr>
        <w:spacing w:after="0" w:line="21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 financial reporting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ended June 30, 2019 that have materially affected, or are reasonably likely to materially affect the Company’s internal control over financial reporting.</w:t>
      </w:r>
    </w:p>
    <w:p>
      <w:pPr>
        <w:spacing w:after="0" w:line="18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Remediation Plan</w:t>
      </w:r>
      <w:r>
        <w:rPr>
          <w:rFonts w:ascii="Times New Roman" w:cs="Times New Roman" w:eastAsia="Times New Roman" w:hAnsi="Times New Roman"/>
          <w:sz w:val="18"/>
          <w:szCs w:val="18"/>
          <w:color w:val="auto"/>
        </w:rPr>
        <w:t>. As previously described in Part II, Item 9A, Controls and Procedures, of the Company’s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2018, the Company began implementing a remediation plan and removed all inappropriate privileged access rights as of March 31, 2019. The material weakness will not be considered remediated until the applicable controls operate for a sufficient period of time and management has concluded, through testing of the affected Information Technology operating systems, databases and applications, that these controls are operating effectively. The Company expects that the remediation of this material weakness will be completed during 2019.</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discussion of the legal proceedings related to the M/V Voyager and the legal proceedings related to the tug Nathan E. Stewart and barge DBL 55 in Note (14) of the Notes to Unaudited Consolidated Financial Statements in this Quarterly Report are incorporated by reference into this Item 1.</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the Company’s Annual Report on Form 10-K for the year ended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5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2005 Stock and Incentive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4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ind w:left="7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52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5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77"/>
              </w:rPr>
            </w:pPr>
            <w:hyperlink w:anchor="page59">
              <w:r>
                <w:rPr>
                  <w:rFonts w:ascii="Times New Roman" w:cs="Times New Roman" w:eastAsia="Times New Roman" w:hAnsi="Times New Roman"/>
                  <w:sz w:val="18"/>
                  <w:szCs w:val="18"/>
                  <w:color w:val="0000EE"/>
                  <w:w w:val="77"/>
                </w:rPr>
                <w:t>32</w:t>
              </w:r>
            </w:hyperlink>
          </w:p>
        </w:tc>
        <w:tc>
          <w:tcPr>
            <w:tcW w:w="1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ind w:left="7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52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95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furnished herewith. In accordance with Rule 406T of Regulation S-T, this exhibit is not deemed to be filed or part of a registration</w:t>
      </w:r>
    </w:p>
    <w:p>
      <w:pPr>
        <w:spacing w:after="0" w:line="27"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statement or prospectus for purposes of Sections 11 or 12 of the Securities Act of 1933, as amended, is not deemed to be filed for purposes of Section 18 of the Securities Exchange Act of 1934, as amended, and otherwise is not subject to liability under those sections.</w:t>
      </w:r>
    </w:p>
    <w:p>
      <w:pPr>
        <w:spacing w:after="0" w:line="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20"/>
        <w:spacing w:after="0"/>
        <w:tabs>
          <w:tab w:leader="none" w:pos="7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William G. Harvey</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2019</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80"/>
          </w:cols>
          <w:pgMar w:left="240" w:top="117"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KIRBY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2005 S</w:t>
      </w:r>
      <w:r>
        <w:rPr>
          <w:rFonts w:ascii="Times New Roman" w:cs="Times New Roman" w:eastAsia="Times New Roman" w:hAnsi="Times New Roman"/>
          <w:sz w:val="14"/>
          <w:szCs w:val="14"/>
          <w:b w:val="1"/>
          <w:bCs w:val="1"/>
          <w:color w:val="auto"/>
        </w:rPr>
        <w:t>TOCK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GENERAL</w:t>
      </w:r>
    </w:p>
    <w:p>
      <w:pPr>
        <w:spacing w:after="0" w:line="20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color w:val="auto"/>
        </w:rPr>
        <w:t>Purpose</w:t>
      </w:r>
      <w:r>
        <w:rPr>
          <w:rFonts w:ascii="Times New Roman" w:cs="Times New Roman" w:eastAsia="Times New Roman" w:hAnsi="Times New Roman"/>
          <w:sz w:val="22"/>
          <w:szCs w:val="22"/>
          <w:color w:val="auto"/>
        </w:rPr>
        <w:t>. The purpose of this Plan is to advance the interests of Kirby Corporation, a Nevada corporation (the “Company”), by providing an additional incentive to attract and retain qualified and competent employees for the Company and its Subsidiaries, upon whose efforts and judgment the success of the Company is largely dependent, through the award of (i) Options to purchase shares of Common Stock (which Options may be Incentive Stock Options or Nonincentive Stock Options); (ii) shares of Restricted Stock; (iii) Restricted Stock Units and (iv) Performance Awards.</w:t>
      </w:r>
    </w:p>
    <w:p>
      <w:pPr>
        <w:spacing w:after="0" w:line="204"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As used herein, the following terms shall have the meaning indicated:</w:t>
      </w:r>
    </w:p>
    <w:p>
      <w:pPr>
        <w:spacing w:after="0" w:line="237" w:lineRule="exact"/>
        <w:rPr>
          <w:sz w:val="20"/>
          <w:szCs w:val="20"/>
          <w:color w:val="auto"/>
        </w:rPr>
      </w:pPr>
    </w:p>
    <w:p>
      <w:pPr>
        <w:ind w:firstLine="656"/>
        <w:spacing w:after="0" w:line="258" w:lineRule="auto"/>
        <w:tabs>
          <w:tab w:leader="none" w:pos="17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means a grant under this Plan in the form of Options, Restricted Stock, Restricted Stock Units, Performance Awards or any combination of the foregoing.</w:t>
      </w:r>
    </w:p>
    <w:p>
      <w:pPr>
        <w:spacing w:after="0" w:line="185"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33"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means, with respect to any Participant:</w:t>
      </w:r>
    </w:p>
    <w:p>
      <w:pPr>
        <w:spacing w:after="0" w:line="233" w:lineRule="exact"/>
        <w:rPr>
          <w:rFonts w:ascii="Times New Roman" w:cs="Times New Roman" w:eastAsia="Times New Roman" w:hAnsi="Times New Roman"/>
          <w:sz w:val="22"/>
          <w:szCs w:val="22"/>
          <w:color w:val="auto"/>
        </w:rPr>
      </w:pPr>
    </w:p>
    <w:p>
      <w:pPr>
        <w:ind w:left="660" w:firstLine="645"/>
        <w:spacing w:after="0" w:line="258" w:lineRule="auto"/>
        <w:tabs>
          <w:tab w:leader="none" w:pos="226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or plea of nolo contendere to, any felony or any crime or offense involving theft, fraud, embezzlement, moral turpitude or similar conduct;</w:t>
      </w:r>
    </w:p>
    <w:p>
      <w:pPr>
        <w:spacing w:after="0" w:line="185" w:lineRule="exact"/>
        <w:rPr>
          <w:rFonts w:ascii="Times New Roman" w:cs="Times New Roman" w:eastAsia="Times New Roman" w:hAnsi="Times New Roman"/>
          <w:sz w:val="22"/>
          <w:szCs w:val="22"/>
          <w:color w:val="auto"/>
        </w:rPr>
      </w:pPr>
    </w:p>
    <w:p>
      <w:pPr>
        <w:jc w:val="both"/>
        <w:ind w:left="660" w:firstLine="645"/>
        <w:spacing w:after="0" w:line="239" w:lineRule="auto"/>
        <w:tabs>
          <w:tab w:leader="none" w:pos="215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malfeasance in the performance of the Participant’s duties, which shall mean (A) intentional misuse or diversion of Company assets, (B) theft or embezzlement or (C) fraudulent or willful and material misrepresentations or omissions in any reports or information submitted to the Company or a Subsidiary or any government agency or regulatory authority;</w:t>
      </w:r>
    </w:p>
    <w:p>
      <w:pPr>
        <w:spacing w:after="0" w:line="207" w:lineRule="exact"/>
        <w:rPr>
          <w:rFonts w:ascii="Times New Roman" w:cs="Times New Roman" w:eastAsia="Times New Roman" w:hAnsi="Times New Roman"/>
          <w:sz w:val="22"/>
          <w:szCs w:val="22"/>
          <w:color w:val="auto"/>
        </w:rPr>
      </w:pPr>
    </w:p>
    <w:p>
      <w:pPr>
        <w:jc w:val="both"/>
        <w:ind w:left="660" w:firstLine="645"/>
        <w:spacing w:after="0" w:line="244" w:lineRule="auto"/>
        <w:tabs>
          <w:tab w:leader="none" w:pos="229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failure to perform the duties of the Participant’s employment (other than as a result of the Participant’s Disability) or material failure to follow or comply with reasonable directives from any other employee of the Company who has direct or indirect supervisory authority over the Participant;</w:t>
      </w:r>
    </w:p>
    <w:p>
      <w:pPr>
        <w:spacing w:after="0" w:line="200" w:lineRule="exact"/>
        <w:rPr>
          <w:rFonts w:ascii="Times New Roman" w:cs="Times New Roman" w:eastAsia="Times New Roman" w:hAnsi="Times New Roman"/>
          <w:sz w:val="22"/>
          <w:szCs w:val="22"/>
          <w:color w:val="auto"/>
        </w:rPr>
      </w:pPr>
    </w:p>
    <w:p>
      <w:pPr>
        <w:ind w:left="660" w:firstLine="645"/>
        <w:spacing w:after="0" w:line="258" w:lineRule="auto"/>
        <w:tabs>
          <w:tab w:leader="none" w:pos="227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violation of the Company’s Business Ethics Guidelines or any other written policies of the Company applicable to the Participant; or</w:t>
      </w:r>
    </w:p>
    <w:p>
      <w:pPr>
        <w:spacing w:after="0" w:line="185" w:lineRule="exact"/>
        <w:rPr>
          <w:rFonts w:ascii="Times New Roman" w:cs="Times New Roman" w:eastAsia="Times New Roman" w:hAnsi="Times New Roman"/>
          <w:sz w:val="22"/>
          <w:szCs w:val="22"/>
          <w:color w:val="auto"/>
        </w:rPr>
      </w:pPr>
    </w:p>
    <w:p>
      <w:pPr>
        <w:ind w:left="2040" w:hanging="735"/>
        <w:spacing w:after="0"/>
        <w:tabs>
          <w:tab w:leader="none" w:pos="20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violation of any federal, state or local laws or regulations.</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the occurrence of any of the following events: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1" w:name="page42"/>
    <w:bookmarkEnd w:id="41"/>
    <w:p>
      <w:pPr>
        <w:jc w:val="both"/>
        <w:ind w:left="660" w:firstLine="645"/>
        <w:spacing w:after="0" w:line="244" w:lineRule="auto"/>
        <w:tabs>
          <w:tab w:leader="none" w:pos="206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w:t>
      </w:r>
    </w:p>
    <w:p>
      <w:pPr>
        <w:spacing w:after="0" w:line="201" w:lineRule="exact"/>
        <w:rPr>
          <w:rFonts w:ascii="Times New Roman" w:cs="Times New Roman" w:eastAsia="Times New Roman" w:hAnsi="Times New Roman"/>
          <w:sz w:val="22"/>
          <w:szCs w:val="22"/>
          <w:color w:val="auto"/>
        </w:rPr>
      </w:pPr>
    </w:p>
    <w:p>
      <w:pPr>
        <w:jc w:val="both"/>
        <w:ind w:left="660" w:firstLine="645"/>
        <w:spacing w:after="0" w:line="244" w:lineRule="auto"/>
        <w:tabs>
          <w:tab w:leader="none" w:pos="216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ceases to consist of a majority of Continuing Directors, with the term “Continuing Director” meaning a Director who (A) is a Director on the effective date of the Plan or (B) is nominated or appointed to serve as a Director by a majority of the then Continuing Directors;</w:t>
      </w:r>
    </w:p>
    <w:p>
      <w:pPr>
        <w:spacing w:after="0" w:line="200" w:lineRule="exact"/>
        <w:rPr>
          <w:rFonts w:ascii="Times New Roman" w:cs="Times New Roman" w:eastAsia="Times New Roman" w:hAnsi="Times New Roman"/>
          <w:sz w:val="22"/>
          <w:szCs w:val="22"/>
          <w:color w:val="auto"/>
        </w:rPr>
      </w:pPr>
    </w:p>
    <w:p>
      <w:pPr>
        <w:jc w:val="both"/>
        <w:ind w:left="660" w:firstLine="645"/>
        <w:spacing w:after="0" w:line="238" w:lineRule="auto"/>
        <w:tabs>
          <w:tab w:leader="none" w:pos="223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w:t>
      </w:r>
    </w:p>
    <w:p>
      <w:pPr>
        <w:spacing w:after="0" w:line="204" w:lineRule="exact"/>
        <w:rPr>
          <w:rFonts w:ascii="Times New Roman" w:cs="Times New Roman" w:eastAsia="Times New Roman" w:hAnsi="Times New Roman"/>
          <w:sz w:val="22"/>
          <w:szCs w:val="22"/>
          <w:color w:val="auto"/>
        </w:rPr>
      </w:pPr>
    </w:p>
    <w:p>
      <w:pPr>
        <w:jc w:val="both"/>
        <w:ind w:left="660" w:firstLine="645"/>
        <w:spacing w:after="0" w:line="239" w:lineRule="auto"/>
        <w:tabs>
          <w:tab w:leader="none" w:pos="201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 or</w:t>
      </w:r>
    </w:p>
    <w:p>
      <w:pPr>
        <w:spacing w:after="0" w:line="207" w:lineRule="exact"/>
        <w:rPr>
          <w:rFonts w:ascii="Times New Roman" w:cs="Times New Roman" w:eastAsia="Times New Roman" w:hAnsi="Times New Roman"/>
          <w:sz w:val="22"/>
          <w:szCs w:val="22"/>
          <w:color w:val="auto"/>
        </w:rPr>
      </w:pPr>
    </w:p>
    <w:p>
      <w:pPr>
        <w:ind w:left="660" w:firstLine="645"/>
        <w:spacing w:after="0" w:line="258" w:lineRule="auto"/>
        <w:tabs>
          <w:tab w:leader="none" w:pos="20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tender or exchange offer is made to acquire thirty percent (30%) or more of the voting securities of the Company, other than an offer made by the Company, and shares are acquired pursuant to that offer.</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purposes of this definition, the term “voting securities” means equity securities, or securities that are convertible or exchangeable into equity securities, that have the right to vote generally in the election of Directors.</w:t>
      </w:r>
    </w:p>
    <w:p>
      <w:pPr>
        <w:spacing w:after="0" w:line="185" w:lineRule="exact"/>
        <w:rPr>
          <w:sz w:val="20"/>
          <w:szCs w:val="20"/>
          <w:color w:val="auto"/>
        </w:rPr>
      </w:pPr>
    </w:p>
    <w:p>
      <w:pPr>
        <w:ind w:left="1440" w:hanging="784"/>
        <w:spacing w:after="0"/>
        <w:tabs>
          <w:tab w:leader="none" w:pos="14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w:t>
      </w:r>
    </w:p>
    <w:p>
      <w:pPr>
        <w:spacing w:after="0" w:line="233"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if any, appointed by the Board.</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57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Grant” means the date on which the Committee takes formal action to grant an Award to an Eligible Person or such later date as may be specified by the Committee when approving the Award.</w:t>
      </w:r>
    </w:p>
    <w:p>
      <w:pPr>
        <w:spacing w:after="0" w:line="185"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means a member of the Board.</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means mental or physical disability as determined by a medical doctor satisfactory to the Committee.</w:t>
      </w:r>
    </w:p>
    <w:p>
      <w:pPr>
        <w:spacing w:after="0" w:line="244" w:lineRule="exact"/>
        <w:rPr>
          <w:rFonts w:ascii="Times New Roman" w:cs="Times New Roman" w:eastAsia="Times New Roman" w:hAnsi="Times New Roman"/>
          <w:sz w:val="21"/>
          <w:szCs w:val="21"/>
          <w:color w:val="auto"/>
        </w:rPr>
      </w:pPr>
    </w:p>
    <w:p>
      <w:pPr>
        <w:ind w:left="1400" w:hanging="744"/>
        <w:spacing w:after="0"/>
        <w:tabs>
          <w:tab w:leader="none" w:pos="14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Person” means an employee of the Company or a Subsidiary.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Securities Exchange Act of 1934, as amended from time to time.</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5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Plan” means the 2005 Stock and Incentive Plan as approved by the stockholders of the Company on April 26, 2005 and as amended through July 23, 2019.</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137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spacing w:after="0" w:line="200"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means, with respect to any Participant:</w:t>
      </w:r>
    </w:p>
    <w:p>
      <w:pPr>
        <w:spacing w:after="0" w:line="233" w:lineRule="exact"/>
        <w:rPr>
          <w:rFonts w:ascii="Times New Roman" w:cs="Times New Roman" w:eastAsia="Times New Roman" w:hAnsi="Times New Roman"/>
          <w:sz w:val="22"/>
          <w:szCs w:val="22"/>
          <w:color w:val="auto"/>
        </w:rPr>
      </w:pPr>
    </w:p>
    <w:p>
      <w:pPr>
        <w:ind w:left="660" w:firstLine="645"/>
        <w:spacing w:after="0" w:line="258" w:lineRule="auto"/>
        <w:tabs>
          <w:tab w:leader="none" w:pos="210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in the Participant’s duties and responsibilities at the Company or a Subsidiary or successor as in effect immediately prior to the Change in Control;</w:t>
      </w:r>
    </w:p>
    <w:p>
      <w:pPr>
        <w:spacing w:after="0" w:line="185" w:lineRule="exact"/>
        <w:rPr>
          <w:rFonts w:ascii="Times New Roman" w:cs="Times New Roman" w:eastAsia="Times New Roman" w:hAnsi="Times New Roman"/>
          <w:sz w:val="22"/>
          <w:szCs w:val="22"/>
          <w:color w:val="auto"/>
        </w:rPr>
      </w:pPr>
    </w:p>
    <w:p>
      <w:pPr>
        <w:ind w:left="660" w:right="20" w:firstLine="645"/>
        <w:spacing w:after="0" w:line="258" w:lineRule="auto"/>
        <w:tabs>
          <w:tab w:leader="none" w:pos="215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Participant’s base salary or bonus opportunity compared to the base salary and bonus opportunity in effect immediately prior to the Change in Control; or</w:t>
      </w:r>
    </w:p>
    <w:p>
      <w:pPr>
        <w:spacing w:after="0" w:line="185" w:lineRule="exact"/>
        <w:rPr>
          <w:rFonts w:ascii="Times New Roman" w:cs="Times New Roman" w:eastAsia="Times New Roman" w:hAnsi="Times New Roman"/>
          <w:sz w:val="22"/>
          <w:szCs w:val="22"/>
          <w:color w:val="auto"/>
        </w:rPr>
      </w:pPr>
    </w:p>
    <w:p>
      <w:pPr>
        <w:ind w:left="660" w:firstLine="645"/>
        <w:spacing w:after="0" w:line="258" w:lineRule="auto"/>
        <w:tabs>
          <w:tab w:leader="none" w:pos="202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 of the Participant’s primary place of work by more than 35 miles from his or her primary place of work immediately prior to the Change in Control.</w:t>
      </w:r>
    </w:p>
    <w:p>
      <w:pPr>
        <w:spacing w:after="0" w:line="185"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Stock Option” means an option that is an incentive stock option as defined in Section 422 of the Code.</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“Nonincentive Stock Option” means an option that is not an Incentive Stock Option.</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means any option granted under this Plan.</w:t>
      </w:r>
    </w:p>
    <w:p>
      <w:pPr>
        <w:spacing w:after="0" w:line="233" w:lineRule="exact"/>
        <w:rPr>
          <w:rFonts w:ascii="Times New Roman" w:cs="Times New Roman" w:eastAsia="Times New Roman" w:hAnsi="Times New Roman"/>
          <w:sz w:val="22"/>
          <w:szCs w:val="22"/>
          <w:color w:val="auto"/>
        </w:rPr>
      </w:pPr>
    </w:p>
    <w:p>
      <w:pPr>
        <w:ind w:right="20" w:firstLine="656"/>
        <w:spacing w:after="0" w:line="258" w:lineRule="auto"/>
        <w:tabs>
          <w:tab w:leader="none" w:pos="141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 means a person to whom a stock option is granted under this Plan or any successor to the rights of such person under this Plan by reason of the death of such person.</w:t>
      </w:r>
    </w:p>
    <w:p>
      <w:pPr>
        <w:spacing w:after="0" w:line="185"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 person to whom an Award is granted under the Plan.</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Award” means an Award granted pursuant to Article V.</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Objectives” means the objectives established by the Committee pursuant to Section 5.1(b).</w:t>
      </w:r>
    </w:p>
    <w:p>
      <w:pPr>
        <w:spacing w:after="0" w:line="233" w:lineRule="exact"/>
        <w:rPr>
          <w:rFonts w:ascii="Times New Roman" w:cs="Times New Roman" w:eastAsia="Times New Roman" w:hAnsi="Times New Roman"/>
          <w:sz w:val="22"/>
          <w:szCs w:val="22"/>
          <w:color w:val="auto"/>
        </w:rPr>
      </w:pPr>
    </w:p>
    <w:p>
      <w:pPr>
        <w:ind w:left="1660" w:hanging="1004"/>
        <w:spacing w:after="0"/>
        <w:tabs>
          <w:tab w:leader="none" w:pos="1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Period” means the period over which the performance of a holder of a Performance Award 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measured.</w:t>
      </w:r>
    </w:p>
    <w:p>
      <w:pPr>
        <w:spacing w:after="0" w:line="209"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Kirby Corporation 2005 Stock and Incentive Plan.</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43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means Shares granted under this Plan that are subject to restrictions imposed by the Committee pursuant to Article III.</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ind w:left="1400" w:hanging="744"/>
        <w:spacing w:after="0"/>
        <w:tabs>
          <w:tab w:leader="none" w:pos="14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Award” means an award of Restricted Stock under this Plan.</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47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 means a restricted stock unit credited to a Participant’s ledger account maintained by the Company pursuant to Article IV.</w:t>
      </w:r>
    </w:p>
    <w:p>
      <w:pPr>
        <w:spacing w:after="0" w:line="185" w:lineRule="exact"/>
        <w:rPr>
          <w:sz w:val="20"/>
          <w:szCs w:val="20"/>
          <w:color w:val="auto"/>
        </w:rPr>
      </w:pPr>
    </w:p>
    <w:p>
      <w:pPr>
        <w:ind w:left="1420" w:hanging="764"/>
        <w:spacing w:after="0"/>
        <w:tabs>
          <w:tab w:leader="none" w:pos="14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 Award” means an award of Restricted Stock Units under this Plan.</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3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162(m) Participant” means each Participant who would be a “covered employee” under Section 162(m) of the Code as in effect prior to its amendment on December 22, 2017.</w:t>
      </w:r>
    </w:p>
    <w:p>
      <w:pPr>
        <w:spacing w:after="0" w:line="185"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means a share of the common stock, par value ten cents ($0.10) per share, of the Company.</w:t>
      </w:r>
    </w:p>
    <w:p>
      <w:pPr>
        <w:spacing w:after="0" w:line="233" w:lineRule="exact"/>
        <w:rPr>
          <w:rFonts w:ascii="Times New Roman" w:cs="Times New Roman" w:eastAsia="Times New Roman" w:hAnsi="Times New Roman"/>
          <w:sz w:val="22"/>
          <w:szCs w:val="22"/>
          <w:color w:val="auto"/>
        </w:rPr>
      </w:pPr>
    </w:p>
    <w:p>
      <w:pPr>
        <w:jc w:val="both"/>
        <w:ind w:firstLine="656"/>
        <w:spacing w:after="0" w:line="244" w:lineRule="auto"/>
        <w:tabs>
          <w:tab w:leader="none" w:pos="149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(other than the Company) in any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spacing w:after="0" w:line="197"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i w:val="1"/>
          <w:iCs w:val="1"/>
          <w:color w:val="auto"/>
        </w:rPr>
        <w:t>Total Shares and Limitations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35" w:lineRule="auto"/>
        <w:tabs>
          <w:tab w:leader="none" w:pos="138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that may be issued under the Plan shall be Five Million (5,000,000) Shares, which may be from Shares held in the Company’s treasury or from authorized and unissued Shares. If any Award granted under the Plan shall terminate, expire or be cancelled or surrendered as to any Shares, or the Award is paid in cash in lieu of Shares, the Shares that were subject to such Award shall not count against the above limit and shall again be available for grants under the Plan. Shares equal in number to the Shares withheld in payment of the option price of an Option and Shares that are withheld in order to satisfy federal, state or local tax liability, shall not count against the above limit and shall be available for grants under the Plan. All Share numbers in the Plan reflect the 2-for-1 split of the common stock of the Company effected on May 31, 2006.</w:t>
      </w:r>
    </w:p>
    <w:p>
      <w:pPr>
        <w:spacing w:after="0" w:line="210" w:lineRule="exact"/>
        <w:rPr>
          <w:rFonts w:ascii="Times New Roman" w:cs="Times New Roman" w:eastAsia="Times New Roman" w:hAnsi="Times New Roman"/>
          <w:sz w:val="22"/>
          <w:szCs w:val="22"/>
          <w:color w:val="auto"/>
        </w:rPr>
      </w:pPr>
    </w:p>
    <w:p>
      <w:pPr>
        <w:ind w:firstLine="656"/>
        <w:spacing w:after="0" w:line="258" w:lineRule="auto"/>
        <w:tabs>
          <w:tab w:leader="none" w:pos="151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with respect to which Incentive Stock Options may be granted to a Participant during a calendar year is 500,000.</w:t>
      </w:r>
    </w:p>
    <w:p>
      <w:pPr>
        <w:spacing w:after="0" w:line="185"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Shares with respect to which Options may be granted to a Participant during a calendar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year is 500,000.</w:t>
      </w:r>
    </w:p>
    <w:p>
      <w:pPr>
        <w:spacing w:after="0" w:line="209" w:lineRule="exact"/>
        <w:rPr>
          <w:rFonts w:ascii="Times New Roman" w:cs="Times New Roman" w:eastAsia="Times New Roman" w:hAnsi="Times New Roman"/>
          <w:sz w:val="21"/>
          <w:szCs w:val="21"/>
          <w:color w:val="auto"/>
        </w:rPr>
      </w:pPr>
    </w:p>
    <w:p>
      <w:pPr>
        <w:ind w:firstLine="656"/>
        <w:spacing w:after="0" w:line="258" w:lineRule="auto"/>
        <w:tabs>
          <w:tab w:leader="none" w:pos="144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that may be issued to any Participant pursuant to any Performance Award during the term of the Plan shall be 400,000.</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43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cash that may be paid to any Participant pursuant to any Performance Award during any calendar year shall be $5,000,000.</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i w:val="1"/>
          <w:iCs w:val="1"/>
          <w:color w:val="auto"/>
        </w:rPr>
        <w:t>Awards Under the Plan</w:t>
      </w:r>
      <w:r>
        <w:rPr>
          <w:rFonts w:ascii="Times New Roman" w:cs="Times New Roman" w:eastAsia="Times New Roman" w:hAnsi="Times New Roman"/>
          <w:sz w:val="21"/>
          <w:szCs w:val="21"/>
          <w:color w:val="auto"/>
        </w:rPr>
        <w:t>.</w:t>
      </w:r>
    </w:p>
    <w:p>
      <w:pPr>
        <w:spacing w:after="0" w:line="238" w:lineRule="exact"/>
        <w:rPr>
          <w:sz w:val="20"/>
          <w:szCs w:val="20"/>
          <w:color w:val="auto"/>
        </w:rPr>
      </w:pPr>
    </w:p>
    <w:p>
      <w:pPr>
        <w:jc w:val="both"/>
        <w:ind w:firstLine="656"/>
        <w:spacing w:after="0" w:line="244" w:lineRule="auto"/>
        <w:tabs>
          <w:tab w:leader="none" w:pos="14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Eligible Persons may receive awards under the Plan. Awards to Eligible Persons may be in the form of (i) Options; (ii) shares of Restricted Stock; (iii) Performance Awards; or (iv) any combination of the foregoing. No Award shall confer on any person any right to continue as an employee of the Company or any Subsidiary.</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164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Award may be evidenced by an agreement containing any terms deemed necessary or desirable by the Committee that are not inconsistent with the Plan or applicable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STOCK OPTIONS</w:t>
      </w:r>
    </w:p>
    <w:p>
      <w:pPr>
        <w:spacing w:after="0" w:line="20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i w:val="1"/>
          <w:iCs w:val="1"/>
          <w:color w:val="auto"/>
        </w:rPr>
        <w:t>Grant of Options</w:t>
      </w:r>
      <w:r>
        <w:rPr>
          <w:rFonts w:ascii="Times New Roman" w:cs="Times New Roman" w:eastAsia="Times New Roman" w:hAnsi="Times New Roman"/>
          <w:sz w:val="22"/>
          <w:szCs w:val="22"/>
          <w:color w:val="auto"/>
        </w:rPr>
        <w:t>. The Committee may from time to time grant Options to Eligible Persons. Options may be Incentive Stock Options or Nonincentive Stock Options as designated by the Committee on or before the Date of Grant. If no such designation is made by the Committee for an Option, the Option shall be a Nonincentive Stock Option. The aggregate Fair Market Value (determined as of the Date of Grant) of the Shares with respect to which Incentive Stock Options are exercisable for the first time by an Optionee during any calendar year under the Plan and all such plans of the Company and any parent or Subsidiary of the Company (as defined in Section 424 of the Code) shall not exceed $100,000.</w:t>
      </w:r>
    </w:p>
    <w:p>
      <w:pPr>
        <w:spacing w:after="0" w:line="20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exercise price per Share for any Option shall be determined by the Committee, but shall not be less than the Fair Market Value on the Date of Grant and shall not be less than 110% of the Fair Market Value on the Date of Grant for any Incentive Stock Option if the Optionee is a person who owns directly or indirectly (within the meaning of Section 422(b)(6) of the Code) stock possessing more than 10% of the total combined voting power of all classes of stock of the Company.</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i w:val="1"/>
          <w:iCs w:val="1"/>
          <w:color w:val="auto"/>
        </w:rPr>
        <w:t>Term of Option</w:t>
      </w:r>
      <w:r>
        <w:rPr>
          <w:rFonts w:ascii="Times New Roman" w:cs="Times New Roman" w:eastAsia="Times New Roman" w:hAnsi="Times New Roman"/>
          <w:sz w:val="22"/>
          <w:szCs w:val="22"/>
          <w:color w:val="auto"/>
        </w:rPr>
        <w:t>. The term of an Option shall be determined by the Committee, provided that, in the case of an Incentive Stock Option, if the grant is to a person who owns directly or indirectly (within the meaning of Section 422(b)(6) of the Code) stock possessing more than 10% of the total combined voting power of all classes of stock of the Company, the term of the Option shall not exceed five years from the Date of Grant. Notwithstanding any other provision of this Plan, no Option shall be exercised after the expiration of its term.</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Options shall become exercisable (or “vest”) as provided in Section 2.6, if applicable, or otherwise at such times and subject to such terms and conditions as the Committee shall specify. The Committee shall have discretion at any time to accelerate such times and otherwise waive or amend any conditions in respect of all or any portion of any Options. Notwithstanding the other provisions of this Section 2.4 and unless otherwise provided in the Option Award, in the event that an Optionee’s employment is terminated without Cause by the Company, a Subsidiary or successor entity, or is terminated by the Optionee for Good Reason, in either case in connection with or within 18 months after a Change in Control, all Options held by the Optionee immediately prior to such termination shall become immediately exercisable.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i w:val="1"/>
          <w:iCs w:val="1"/>
          <w:color w:val="auto"/>
        </w:rPr>
        <w:t>Termination of Options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firstLine="656"/>
        <w:spacing w:after="0" w:line="258" w:lineRule="auto"/>
        <w:tabs>
          <w:tab w:leader="none" w:pos="150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or the Option Award, the portion of an Option that is exercisable shall automatically and without notice terminate upon the earliest to occur of the following:</w:t>
      </w:r>
    </w:p>
    <w:p>
      <w:pPr>
        <w:spacing w:after="0" w:line="185" w:lineRule="exact"/>
        <w:rPr>
          <w:rFonts w:ascii="Times New Roman" w:cs="Times New Roman" w:eastAsia="Times New Roman" w:hAnsi="Times New Roman"/>
          <w:sz w:val="22"/>
          <w:szCs w:val="22"/>
          <w:color w:val="auto"/>
        </w:rPr>
      </w:pPr>
    </w:p>
    <w:p>
      <w:pPr>
        <w:ind w:left="660" w:firstLine="645"/>
        <w:spacing w:after="0" w:line="258" w:lineRule="auto"/>
        <w:tabs>
          <w:tab w:leader="none" w:pos="206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thirty (30) days after the date on which the Optionee ceases to be an Employee for any reason other than (x) death, (y) Disability or (z) termination for Cause;</w:t>
      </w:r>
    </w:p>
    <w:p>
      <w:pPr>
        <w:spacing w:after="0" w:line="185" w:lineRule="exact"/>
        <w:rPr>
          <w:rFonts w:ascii="Times New Roman" w:cs="Times New Roman" w:eastAsia="Times New Roman" w:hAnsi="Times New Roman"/>
          <w:sz w:val="22"/>
          <w:szCs w:val="22"/>
          <w:color w:val="auto"/>
        </w:rPr>
      </w:pPr>
    </w:p>
    <w:p>
      <w:pPr>
        <w:ind w:left="2000" w:hanging="695"/>
        <w:spacing w:after="0"/>
        <w:tabs>
          <w:tab w:leader="none" w:pos="20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year after the date on which the Optionee ceases to be an Employee as a result of a Disability;</w:t>
      </w:r>
    </w:p>
    <w:p>
      <w:pPr>
        <w:spacing w:after="0" w:line="233" w:lineRule="exact"/>
        <w:rPr>
          <w:rFonts w:ascii="Times New Roman" w:cs="Times New Roman" w:eastAsia="Times New Roman" w:hAnsi="Times New Roman"/>
          <w:sz w:val="22"/>
          <w:szCs w:val="22"/>
          <w:color w:val="auto"/>
        </w:rPr>
      </w:pPr>
    </w:p>
    <w:p>
      <w:pPr>
        <w:jc w:val="both"/>
        <w:ind w:left="660" w:firstLine="645"/>
        <w:spacing w:after="0" w:line="244" w:lineRule="auto"/>
        <w:tabs>
          <w:tab w:leader="none" w:pos="20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(y) one (1) year after the death of the Optionee or (z) six (6) months after the death of the Optionee if the Optionee dies during the 30-day period described in Section 2.5(a)(i) or the one-year period described in Section 2.5(a) (ii);</w:t>
      </w:r>
    </w:p>
    <w:p>
      <w:pPr>
        <w:spacing w:after="0" w:line="200" w:lineRule="exact"/>
        <w:rPr>
          <w:rFonts w:ascii="Times New Roman" w:cs="Times New Roman" w:eastAsia="Times New Roman" w:hAnsi="Times New Roman"/>
          <w:sz w:val="22"/>
          <w:szCs w:val="22"/>
          <w:color w:val="auto"/>
        </w:rPr>
      </w:pPr>
    </w:p>
    <w:p>
      <w:pPr>
        <w:ind w:left="2040" w:hanging="735"/>
        <w:spacing w:after="0"/>
        <w:tabs>
          <w:tab w:leader="none" w:pos="20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Optionee ceases to be an Employee as a result of a termination for Cause; and</w:t>
      </w:r>
    </w:p>
    <w:p>
      <w:pPr>
        <w:spacing w:after="0" w:line="233" w:lineRule="exact"/>
        <w:rPr>
          <w:rFonts w:ascii="Times New Roman" w:cs="Times New Roman" w:eastAsia="Times New Roman" w:hAnsi="Times New Roman"/>
          <w:sz w:val="22"/>
          <w:szCs w:val="22"/>
          <w:color w:val="auto"/>
        </w:rPr>
      </w:pPr>
    </w:p>
    <w:p>
      <w:pPr>
        <w:ind w:left="2040" w:hanging="735"/>
        <w:spacing w:after="0"/>
        <w:tabs>
          <w:tab w:leader="none" w:pos="20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anniversary of the Date of Grant of the Option.</w:t>
      </w:r>
    </w:p>
    <w:p>
      <w:pPr>
        <w:spacing w:after="0" w:line="233" w:lineRule="exact"/>
        <w:rPr>
          <w:rFonts w:ascii="Times New Roman" w:cs="Times New Roman" w:eastAsia="Times New Roman" w:hAnsi="Times New Roman"/>
          <w:sz w:val="22"/>
          <w:szCs w:val="22"/>
          <w:color w:val="auto"/>
        </w:rPr>
      </w:pPr>
    </w:p>
    <w:p>
      <w:pPr>
        <w:ind w:right="20" w:firstLine="656"/>
        <w:spacing w:after="0" w:line="258" w:lineRule="auto"/>
        <w:tabs>
          <w:tab w:leader="none" w:pos="13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2.4 or Section 2.6, the portion of an Option that is not exercisable shall automatically and without notice terminate on the date on which the Optionee ceases to be an Employee for any reason.</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4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discretion at any time to extend the term of any Nonincentive Stock Option to any date that is not later than the date described in Section 2.5(a)(v).</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i w:val="1"/>
          <w:iCs w:val="1"/>
          <w:color w:val="auto"/>
        </w:rPr>
        <w:t>Retirement Credits</w:t>
      </w:r>
      <w:r>
        <w:rPr>
          <w:rFonts w:ascii="Times New Roman" w:cs="Times New Roman" w:eastAsia="Times New Roman" w:hAnsi="Times New Roman"/>
          <w:sz w:val="21"/>
          <w:szCs w:val="21"/>
          <w:color w:val="auto"/>
        </w:rPr>
        <w:t>. Unless otherwise provided in an Option Award, if an Optionee retires as an employee of the Company or a Subsidiary with 80 or more Retirement Credits, unvested Options held by the Optionee that were granted after February 19, 2018 shall continue to vest after retirement on the schedule specified in the Option Award and all vested but unexercised Options held by the Optionee and all Options that vest after retirement pursuant to this Section 2.6 will terminate upon the earlier of (a) the expiration of the term specified in the Option Award or (b) the tenth anniversary of the Date of Grant; provided that, if the Optionee takes any action or engages in any activity that is detrimental to the Company, all vested but unexercised Options and all unvested Options held by the Optionee will automatically terminate and the Optionee shall cease to have any rights with respect to such Options. The number of Retirement Credits the Optionee has shall equal the sum of (i) the Optionee’s age in whole years plus (ii) the Optionee’s whole years of employment with the Company or a Subsidiary, in both cases determined as of the date of retirement. In the event of the death of the Optionee after retirement, any unvested portion of an Option that is subject to vesting pursuant to this Section 2.6 shall continue to vest on the schedule specified in the Option Award and will terminate upon the earlier of (x) the expiration of the term specified in the Option Award or (y) the tenth anniversary of the Date of Grant.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6" w:name="page47"/>
    <w:bookmarkEnd w:id="46"/>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i w:val="1"/>
          <w:iCs w:val="1"/>
          <w:color w:val="auto"/>
        </w:rPr>
        <w:t>Exercise of Options</w:t>
      </w:r>
      <w:r>
        <w:rPr>
          <w:rFonts w:ascii="Times New Roman" w:cs="Times New Roman" w:eastAsia="Times New Roman" w:hAnsi="Times New Roman"/>
          <w:sz w:val="21"/>
          <w:szCs w:val="21"/>
          <w:color w:val="auto"/>
        </w:rPr>
        <w:t>. An Option may be exercised in whole or in part to the extent exercisable in accordance with the Plan. An Option shall be deemed exercised when (i) the Company has received written notice of such exercise signed by the person or persons entitled to exercise the Option and, if the Option is being exercised by any person or persons other than the Optionee, accompanied by proof, satisfactory to the Company, of the right of such person or persons to exercise the Option and (ii) full payment of the aggregate exercise price of the Shares as to which the Option is exercised has been made. Unless further limited by the Committee for any Option, the exercise price of any Shares purchased shall be paid solely in cash, by certified or cashier’s check, by money order, by personal check, by withholding Shares from an Award or with Shares owned by the Optionee for at least six months, or by a combination of the foregoing. If the exercise price is paid in whole or in part with Shares, the value of the Shares withheld shall be their Fair Market Value on the date received by the Company. An Optionee may elect to have Shares withheld to satisfy federal or state income tax withholding requirements applicable upon the exercise of an Option.</w:t>
      </w:r>
    </w:p>
    <w:p>
      <w:pPr>
        <w:spacing w:after="0" w:line="197"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i w:val="1"/>
          <w:iCs w:val="1"/>
          <w:color w:val="auto"/>
        </w:rPr>
        <w:t>Restrictions on Exercise.</w:t>
      </w:r>
    </w:p>
    <w:p>
      <w:pPr>
        <w:spacing w:after="0" w:line="237" w:lineRule="exact"/>
        <w:rPr>
          <w:sz w:val="20"/>
          <w:szCs w:val="20"/>
          <w:color w:val="auto"/>
        </w:rPr>
      </w:pPr>
    </w:p>
    <w:p>
      <w:pPr>
        <w:jc w:val="both"/>
        <w:ind w:left="660" w:firstLine="645"/>
        <w:spacing w:after="0" w:line="239" w:lineRule="auto"/>
        <w:tabs>
          <w:tab w:leader="none" w:pos="227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may not be exercised if the issuance of the Shares upon such exercise would constitute a violation of any applicable federal or state securities or other law or valid regulation. As a condition to the exercise of the Option, the Company may require the person exercising the Option to make any agreements and undertakings that may be required by any applicable law or regulation.</w:t>
      </w:r>
    </w:p>
    <w:p>
      <w:pPr>
        <w:spacing w:after="0" w:line="207" w:lineRule="exact"/>
        <w:rPr>
          <w:rFonts w:ascii="Times New Roman" w:cs="Times New Roman" w:eastAsia="Times New Roman" w:hAnsi="Times New Roman"/>
          <w:sz w:val="22"/>
          <w:szCs w:val="22"/>
          <w:color w:val="auto"/>
        </w:rPr>
      </w:pPr>
    </w:p>
    <w:p>
      <w:pPr>
        <w:jc w:val="both"/>
        <w:ind w:left="660" w:firstLine="645"/>
        <w:spacing w:after="0" w:line="239" w:lineRule="auto"/>
        <w:tabs>
          <w:tab w:leader="none" w:pos="203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issued upon the exercise of an Option without registration of such Shares under the Securities Act of 1933, as amended (the “Act”), shall be restricted securities subject to the terms of Rule 144 under the Act. The certificates representing any such Shares shall bear an appropriate legend restricting transfer and the transfer agent of the Company shall be given stop transfer instructions with respect to such Shares.</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i w:val="1"/>
          <w:iCs w:val="1"/>
          <w:color w:val="auto"/>
        </w:rPr>
        <w:t>Nontransferability of Option</w:t>
      </w:r>
      <w:r>
        <w:rPr>
          <w:rFonts w:ascii="Times New Roman" w:cs="Times New Roman" w:eastAsia="Times New Roman" w:hAnsi="Times New Roman"/>
          <w:sz w:val="22"/>
          <w:szCs w:val="22"/>
          <w:color w:val="auto"/>
        </w:rPr>
        <w:t>. An Option may not be transferred by the Optionee otherwise than by will or the laws of descent and distribution and so long as the Optionee lives, only the Optionee or the Optionee’s guardian or legal representative shall have the right to exercise the Option. The terms of an Option shall be binding upon the executors, administrators, heirs, successors and assigns of the Optionee.</w:t>
      </w:r>
    </w:p>
    <w:p>
      <w:pPr>
        <w:spacing w:after="0" w:line="199"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i w:val="1"/>
          <w:iCs w:val="1"/>
          <w:color w:val="auto"/>
        </w:rPr>
        <w:t>Corporate Transactions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44" w:lineRule="auto"/>
        <w:tabs>
          <w:tab w:leader="none" w:pos="14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consolidation or other reorganization of the Company in which the Company is not the surviving entity, the Board or the Committee may provide for payment in cash or in securities of the Company or the surviving entity in lieu of and in complete satisfaction of Options.</w:t>
      </w:r>
    </w:p>
    <w:p>
      <w:pPr>
        <w:spacing w:after="0" w:line="200" w:lineRule="exact"/>
        <w:rPr>
          <w:rFonts w:ascii="Times New Roman" w:cs="Times New Roman" w:eastAsia="Times New Roman" w:hAnsi="Times New Roman"/>
          <w:sz w:val="22"/>
          <w:szCs w:val="22"/>
          <w:color w:val="auto"/>
        </w:rPr>
      </w:pPr>
    </w:p>
    <w:p>
      <w:pPr>
        <w:jc w:val="both"/>
        <w:ind w:firstLine="656"/>
        <w:spacing w:after="0" w:line="238" w:lineRule="auto"/>
        <w:tabs>
          <w:tab w:leader="none" w:pos="144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7" w:name="page48"/>
    <w:bookmarkEnd w:id="47"/>
    <w:p>
      <w:pPr>
        <w:jc w:val="both"/>
        <w:ind w:firstLine="656"/>
        <w:spacing w:after="0" w:line="236" w:lineRule="auto"/>
        <w:tabs>
          <w:tab w:leader="none" w:pos="143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i w:val="1"/>
          <w:iCs w:val="1"/>
          <w:color w:val="auto"/>
        </w:rPr>
        <w:t>Issuance of Shares</w:t>
      </w:r>
      <w:r>
        <w:rPr>
          <w:rFonts w:ascii="Times New Roman" w:cs="Times New Roman" w:eastAsia="Times New Roman" w:hAnsi="Times New Roman"/>
          <w:sz w:val="22"/>
          <w:szCs w:val="22"/>
          <w:color w:val="auto"/>
        </w:rPr>
        <w:t>. No person shall be, or have any of the rights or privileges of, a stockholder of the Company with respect to any of the Shares subject to any Option unless and until such Shares (whether represented by certificates or in book-entry or other electronic form) shall have been issued and delivered to such person.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w:t>
      </w:r>
    </w:p>
    <w:p>
      <w:pPr>
        <w:spacing w:after="0" w:line="20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i w:val="1"/>
          <w:iCs w:val="1"/>
          <w:color w:val="auto"/>
        </w:rPr>
        <w:t>Grant of Restricted Stock Awards</w:t>
      </w:r>
      <w:r>
        <w:rPr>
          <w:rFonts w:ascii="Times New Roman" w:cs="Times New Roman" w:eastAsia="Times New Roman" w:hAnsi="Times New Roman"/>
          <w:sz w:val="22"/>
          <w:szCs w:val="22"/>
          <w:color w:val="auto"/>
        </w:rPr>
        <w:t>. The Committee may from time to time grant Restricted Stock Awards to Eligible Persons.</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i w:val="1"/>
          <w:iCs w:val="1"/>
          <w:color w:val="auto"/>
        </w:rPr>
        <w:t>Terms and Conditions of Restricted Stock Awards</w:t>
      </w:r>
      <w:r>
        <w:rPr>
          <w:rFonts w:ascii="Times New Roman" w:cs="Times New Roman" w:eastAsia="Times New Roman" w:hAnsi="Times New Roman"/>
          <w:sz w:val="22"/>
          <w:szCs w:val="22"/>
          <w:color w:val="auto"/>
        </w:rPr>
        <w:t>. Each Restricted Stock Award shall specify the number of shares of Restricted Stock awarded, the price, if any, to be paid by the Participant receiving the Restricted Stock Award, the date or dates on which the Restricted Stock will vest and any other terms and conditions that the Committee may determine. The vesting and number of shares of Restricted Stock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Award or any combination of the foregoing. A Participant may elect to have Shares withheld from a Restricted Stock Award to satisfy federal or state income tax withholding requirements applicable upon the vesting of Restricted Stock.</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i w:val="1"/>
          <w:iCs w:val="1"/>
          <w:color w:val="auto"/>
        </w:rPr>
        <w:t>Restrictions on Transfer.</w:t>
      </w:r>
      <w:r>
        <w:rPr>
          <w:rFonts w:ascii="Times New Roman" w:cs="Times New Roman" w:eastAsia="Times New Roman" w:hAnsi="Times New Roman"/>
          <w:sz w:val="22"/>
          <w:szCs w:val="22"/>
          <w:color w:val="auto"/>
        </w:rPr>
        <w:t xml:space="preserve"> Unless otherwise provided in the grant relating to a Restricted Stock Award, the Restricted Stock granted to a Participant (whether represented by certificates or in book-entry or other electronic form) shall be registered in the Participant’s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Participant, or delivered to the Participant bearing a legend to restrict transfer of the certificate until the Restricted Stock has vested, as determined by the Committee. The Committee shall determine whether the Participant shall have the right to vote and/or receive dividends on the Restricted Stock before it has vested. Except as may otherwise be expressly permitted by the Committee, no share of Restricted Stock may be sold, transferred, assigned or pledged by the Participant until such share has vested in accordance with the terms of the Restricted Stock Award. Except as provided in Section 3.4 or unless the Restricted Stock Award specifies otherwise, in the event that a Participant ceases to be an Employee before all the Participant’s Restricted Stock has vested, or in the event other conditions to the vesting of Restricted Stock have not been satisfied prior to any deadline for the satisfaction of such conditions set forth in the Award, the shares of Restricted Stock that have not vested shall be forfeited and any purchase price paid by the Participant for the forfeited Shares shall be returned to the Participant. At the time Restricted Stock vests (and, if the Participant has been issued legended certificates for Restricted Stock, upon the return of such certificates to the Company), such vested shares shall be issued to the Participant (or the beneficiary designated by the Participant in the event of death), in certificated or book entry or other electronic form, free of all restrictions.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ind w:firstLine="648"/>
        <w:spacing w:after="0" w:line="261" w:lineRule="auto"/>
        <w:rPr>
          <w:sz w:val="20"/>
          <w:szCs w:val="20"/>
          <w:color w:val="auto"/>
        </w:rPr>
      </w:pPr>
      <w:r>
        <w:rPr>
          <w:rFonts w:ascii="Times New Roman" w:cs="Times New Roman" w:eastAsia="Times New Roman" w:hAnsi="Times New Roman"/>
          <w:sz w:val="22"/>
          <w:szCs w:val="22"/>
          <w:color w:val="auto"/>
        </w:rPr>
        <w:t>Section 3.4. A</w:t>
      </w:r>
      <w:r>
        <w:rPr>
          <w:rFonts w:ascii="Times New Roman" w:cs="Times New Roman" w:eastAsia="Times New Roman" w:hAnsi="Times New Roman"/>
          <w:sz w:val="22"/>
          <w:szCs w:val="22"/>
          <w:i w:val="1"/>
          <w:iCs w:val="1"/>
          <w:color w:val="auto"/>
        </w:rPr>
        <w:t>ccelerated Vesting.</w:t>
      </w:r>
      <w:r>
        <w:rPr>
          <w:rFonts w:ascii="Times New Roman" w:cs="Times New Roman" w:eastAsia="Times New Roman" w:hAnsi="Times New Roman"/>
          <w:sz w:val="22"/>
          <w:szCs w:val="22"/>
          <w:color w:val="auto"/>
        </w:rPr>
        <w:t xml:space="preserve"> Notwithstanding the vesting conditions set forth in a Restricted Stock Award, unless the Restricted Stock Award specifies otherwise:</w:t>
      </w:r>
    </w:p>
    <w:p>
      <w:pPr>
        <w:spacing w:after="0" w:line="182" w:lineRule="exact"/>
        <w:rPr>
          <w:sz w:val="20"/>
          <w:szCs w:val="20"/>
          <w:color w:val="auto"/>
        </w:rPr>
      </w:pPr>
    </w:p>
    <w:p>
      <w:pPr>
        <w:ind w:right="20" w:firstLine="656"/>
        <w:spacing w:after="0" w:line="258" w:lineRule="auto"/>
        <w:tabs>
          <w:tab w:leader="none" w:pos="14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in its discretion at any time accelerate the vesting of Restricted Stock or otherwise waive or amend any conditions of a grant of a Restricted Stock Award, and</w:t>
      </w:r>
    </w:p>
    <w:p>
      <w:pPr>
        <w:spacing w:after="0" w:line="185" w:lineRule="exact"/>
        <w:rPr>
          <w:rFonts w:ascii="Times New Roman" w:cs="Times New Roman" w:eastAsia="Times New Roman" w:hAnsi="Times New Roman"/>
          <w:sz w:val="22"/>
          <w:szCs w:val="22"/>
          <w:color w:val="auto"/>
        </w:rPr>
      </w:pPr>
    </w:p>
    <w:p>
      <w:pPr>
        <w:jc w:val="both"/>
        <w:ind w:firstLine="656"/>
        <w:spacing w:after="0" w:line="239" w:lineRule="auto"/>
        <w:tabs>
          <w:tab w:leader="none" w:pos="163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Participant’s employment is terminated without Cause by the Company, a Subsidiary or successor, or is terminated by the Participant for Good Reason, in either case in connection with or within 18 months after a Change in Control, all shares of Restricted Stock held by the Participant immediately prior to such termination shall immediately become vested.</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i w:val="1"/>
          <w:iCs w:val="1"/>
          <w:color w:val="auto"/>
        </w:rPr>
        <w:t>Section 83(b) Election</w:t>
      </w:r>
      <w:r>
        <w:rPr>
          <w:rFonts w:ascii="Times New Roman" w:cs="Times New Roman" w:eastAsia="Times New Roman" w:hAnsi="Times New Roman"/>
          <w:sz w:val="22"/>
          <w:szCs w:val="22"/>
          <w:color w:val="auto"/>
        </w:rPr>
        <w:t>. If a Participant receives Restricted Stock that is subject to a “substantial risk of forfeiture,” such Participant may elect under Section 83(b) of the Code to include in his or her gross income, for the taxable year in which the Restricted Stock is received, the excess of the Fair Market Value of such Restricted Stock on the Date of Grant (determined without regard to any restriction other than one which by its terms will never lapse), over the amount paid for the Restricted Stock. If the Participant makes the Section 83(b) election, the Participant shall (a) make such election in a manner that is satisfactory to the Committee, (b) provide the Company with a copy of such election, (c) agree to notify the Company promptly if any Internal Revenue Service or state tax agent, on audit or otherwise, questions the validity or correctness of such election or of the amount of income reportable on account of such election and (d) agree to such federal and state income tax withholding as the Committee may reasonably require in its sole discretion.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 UNITS</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i w:val="1"/>
          <w:iCs w:val="1"/>
          <w:color w:val="auto"/>
        </w:rPr>
        <w:t>Grant of Restricted Stock Unit Awards</w:t>
      </w:r>
      <w:r>
        <w:rPr>
          <w:rFonts w:ascii="Times New Roman" w:cs="Times New Roman" w:eastAsia="Times New Roman" w:hAnsi="Times New Roman"/>
          <w:sz w:val="22"/>
          <w:szCs w:val="22"/>
          <w:color w:val="auto"/>
        </w:rPr>
        <w:t>. The Committee may from time to time grant Restricted Stock Unit Awards to Eligible Persons.</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i w:val="1"/>
          <w:iCs w:val="1"/>
          <w:color w:val="auto"/>
        </w:rPr>
        <w:t>Restricted Stock Units</w:t>
      </w:r>
      <w:r>
        <w:rPr>
          <w:rFonts w:ascii="Times New Roman" w:cs="Times New Roman" w:eastAsia="Times New Roman" w:hAnsi="Times New Roman"/>
          <w:sz w:val="22"/>
          <w:szCs w:val="22"/>
          <w:color w:val="auto"/>
        </w:rPr>
        <w:t>. A Restricted Stock Unit represents the Company’s unsecured and unfunded promise to deliver Shares (or cash equal to the Fair Market Value of the Shares) to a Participant in the future, subject to the satisfaction of applicable vesting conditions and the other terms and conditions of the Plan and the Award.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9" w:name="page50"/>
    <w:bookmarkEnd w:id="49"/>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i w:val="1"/>
          <w:iCs w:val="1"/>
          <w:color w:val="auto"/>
        </w:rPr>
        <w:t>Terms and Conditions of Restricted Stock Unit Awards</w:t>
      </w:r>
      <w:r>
        <w:rPr>
          <w:rFonts w:ascii="Times New Roman" w:cs="Times New Roman" w:eastAsia="Times New Roman" w:hAnsi="Times New Roman"/>
          <w:sz w:val="22"/>
          <w:szCs w:val="22"/>
          <w:color w:val="auto"/>
        </w:rPr>
        <w:t>. Each Restricted Stock Unit Award shall specify the number of Restricted Stock Units awarded, the price, if any, to be paid by the Participant receiving the Restricted Stock Unit Award, the date or dates on which the Restricted Stock Units will vest and any other terms and conditions that the Committee may determine. The vesting and number of Restricted Stock Units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Unit Award or any combination of the foregoing. Except as provided in Section 4.6 or Section 4.7 or unless the Award specifies otherwise, in the event that a Participant ceases to be an employee of the Company or a Subsidiary before all the Participant’s Restricted Stock Units have vested, or in the event other conditions to the vesting of Restricted Stock Units have not been satisfied prior to any deadline for the satisfaction of such conditions set forth in the Award, the Restricted Stock Units that have not vested shall be forfeited and any purchase price paid by the Participant for the forfeited Restricted Stock Units shall be refunded to the Participant.</w:t>
      </w:r>
    </w:p>
    <w:p>
      <w:pPr>
        <w:spacing w:after="0" w:line="21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i w:val="1"/>
          <w:iCs w:val="1"/>
          <w:color w:val="auto"/>
        </w:rPr>
        <w:t>Rights as Stockholder.</w:t>
      </w:r>
      <w:r>
        <w:rPr>
          <w:rFonts w:ascii="Times New Roman" w:cs="Times New Roman" w:eastAsia="Times New Roman" w:hAnsi="Times New Roman"/>
          <w:sz w:val="22"/>
          <w:szCs w:val="22"/>
          <w:color w:val="auto"/>
        </w:rPr>
        <w:t xml:space="preserve"> A recipient of a Restricted Stock Unit Award shall not have any rights as a stockholder with respect to Shares covered by a Restricted Stock Unit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9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i w:val="1"/>
          <w:iCs w:val="1"/>
          <w:color w:val="auto"/>
        </w:rPr>
        <w:t>Dividends</w:t>
      </w:r>
      <w:r>
        <w:rPr>
          <w:rFonts w:ascii="Times New Roman" w:cs="Times New Roman" w:eastAsia="Times New Roman" w:hAnsi="Times New Roman"/>
          <w:sz w:val="22"/>
          <w:szCs w:val="22"/>
          <w:color w:val="auto"/>
        </w:rPr>
        <w:t>. Dividends and distributions (whether cash, stock or otherwise) on Shares underlying unvested Restricted Stock Units held by a Participant shall not be paid to the Participant, but the value thereof shall be credited by the Company for the benefit of the Participant. At such time as such Restricted Stock Units are settled, all accumulated credits for the value of dividends and distributions attributable to such vested Restricted Stock Units shall be paid to the recipient. Interest shall not be paid on any such credits for dividends or distributions made by the Company for the benefit of a Participant. The Company shall have the option of paying such credits for accumulated dividends or distributions in Shares or cash. If payment is made in Shares, the conversion to Shares shall be at the Fair Market Value on the date of payment. Credits for the value of dividends and distributions made by the Company on unvested Restricted Stock Units shall be forfeited in the same manner and at the same time as the respective Restricted Stock Units to which they are attributable are forfeited.</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Section 4.6. A</w:t>
      </w:r>
      <w:r>
        <w:rPr>
          <w:rFonts w:ascii="Times New Roman" w:cs="Times New Roman" w:eastAsia="Times New Roman" w:hAnsi="Times New Roman"/>
          <w:sz w:val="22"/>
          <w:szCs w:val="22"/>
          <w:i w:val="1"/>
          <w:iCs w:val="1"/>
          <w:color w:val="auto"/>
        </w:rPr>
        <w:t>ccelerated Vesting.</w:t>
      </w:r>
      <w:r>
        <w:rPr>
          <w:rFonts w:ascii="Times New Roman" w:cs="Times New Roman" w:eastAsia="Times New Roman" w:hAnsi="Times New Roman"/>
          <w:sz w:val="22"/>
          <w:szCs w:val="22"/>
          <w:color w:val="auto"/>
        </w:rPr>
        <w:t xml:space="preserve"> Notwithstanding the vesting conditions set forth in a Restricted Stock Unit Award, unless the Restricted Stock Unit Award specifies otherwise:</w:t>
      </w:r>
    </w:p>
    <w:p>
      <w:pPr>
        <w:spacing w:after="0" w:line="181" w:lineRule="exact"/>
        <w:rPr>
          <w:sz w:val="20"/>
          <w:szCs w:val="20"/>
          <w:color w:val="auto"/>
        </w:rPr>
      </w:pPr>
    </w:p>
    <w:p>
      <w:pPr>
        <w:ind w:firstLine="656"/>
        <w:spacing w:after="0" w:line="258" w:lineRule="auto"/>
        <w:tabs>
          <w:tab w:leader="none" w:pos="140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in its discretion at any time accelerate the vesting of Restricted Stock Units or otherwise waive or amend any conditions of a grant of a Restricted Stock Unit Award, and</w:t>
      </w:r>
    </w:p>
    <w:p>
      <w:pPr>
        <w:spacing w:after="0" w:line="185" w:lineRule="exact"/>
        <w:rPr>
          <w:rFonts w:ascii="Times New Roman" w:cs="Times New Roman" w:eastAsia="Times New Roman" w:hAnsi="Times New Roman"/>
          <w:sz w:val="22"/>
          <w:szCs w:val="22"/>
          <w:color w:val="auto"/>
        </w:rPr>
      </w:pPr>
    </w:p>
    <w:p>
      <w:pPr>
        <w:jc w:val="both"/>
        <w:ind w:firstLine="656"/>
        <w:spacing w:after="0" w:line="239" w:lineRule="auto"/>
        <w:tabs>
          <w:tab w:leader="none" w:pos="16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Participant’s employment is terminated without Cause by the Company, a Subsidiary or successor, or is terminated by the Participant for Good Reason, in either case in connection with or within 18 months after a Change in Control, all Restricted Stock Units held by the Participant immediately prior to such termination shall immediately become vested and payable.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0" w:name="page51"/>
    <w:bookmarkEnd w:id="50"/>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4.7. </w:t>
      </w:r>
      <w:r>
        <w:rPr>
          <w:rFonts w:ascii="Times New Roman" w:cs="Times New Roman" w:eastAsia="Times New Roman" w:hAnsi="Times New Roman"/>
          <w:sz w:val="21"/>
          <w:szCs w:val="21"/>
          <w:i w:val="1"/>
          <w:iCs w:val="1"/>
          <w:color w:val="auto"/>
        </w:rPr>
        <w:t>Retirement Credits</w:t>
      </w:r>
      <w:r>
        <w:rPr>
          <w:rFonts w:ascii="Times New Roman" w:cs="Times New Roman" w:eastAsia="Times New Roman" w:hAnsi="Times New Roman"/>
          <w:sz w:val="21"/>
          <w:szCs w:val="21"/>
          <w:color w:val="auto"/>
        </w:rPr>
        <w:t>. Unless otherwise provided in a Restricted Stock Unit Award, if a Participant retires as an employee of the Company or a Subsidiary with 80 or more Retirement Credits, the Restricted Stock Units held by the Participant will continue to vest after retirement on the schedule specified in the Restricted Stock Unit Award; provided that, if the Participant takes any action or engages in any activity that is detrimental to the Company, all unvested Restricted Stock Units held by the Participant will automatically be forfeited and the Participant shall cease to have any rights with respect to such Restricted Stock Units. The number of Retirement Credits a Participant has shall equal the sum of (i) the Participant’s age in whole years plus</w:t>
      </w:r>
    </w:p>
    <w:p>
      <w:pPr>
        <w:jc w:val="both"/>
        <w:ind w:firstLine="8"/>
        <w:spacing w:after="0" w:line="235" w:lineRule="auto"/>
        <w:tabs>
          <w:tab w:leader="none" w:pos="3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whole years of employment with the Company or a Subsidiary, in both cases determined as of the date of retirement. In the event of the death of the Participant after retirement, any unvested Restricted Stock Units that are subject to vesting pursuant to this Section 4.7 shall continue to vest on the schedule specified in the Restricted Stock Unit Award.</w:t>
      </w:r>
    </w:p>
    <w:p>
      <w:pPr>
        <w:spacing w:after="0" w:line="201"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4.8.</w:t>
      </w:r>
      <w:r>
        <w:rPr>
          <w:sz w:val="20"/>
          <w:szCs w:val="20"/>
          <w:color w:val="auto"/>
        </w:rPr>
        <w:tab/>
      </w:r>
      <w:r>
        <w:rPr>
          <w:rFonts w:ascii="Times New Roman" w:cs="Times New Roman" w:eastAsia="Times New Roman" w:hAnsi="Times New Roman"/>
          <w:sz w:val="21"/>
          <w:szCs w:val="21"/>
          <w:i w:val="1"/>
          <w:iCs w:val="1"/>
          <w:color w:val="auto"/>
        </w:rPr>
        <w:t>Settlement of Restricted Stock Units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right="20" w:firstLine="656"/>
        <w:spacing w:after="0" w:line="255" w:lineRule="auto"/>
        <w:tabs>
          <w:tab w:leader="none" w:pos="142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satisfaction of any withholding requirements, on the date on which a Restricted Stock Unit becomes vested in accordance with the terms of the Plan, the Participant shall be entitled to one Share or cash equal to the Fair Market Value of one Share, which shall be delivered, transferred or paid as soon as administratively practicable thereafter in exchange for such vested Restricted Stock Unit, after which the Participant shall have no further rights with respect to such Restricted Stock Unit.</w:t>
      </w:r>
    </w:p>
    <w:p>
      <w:pPr>
        <w:spacing w:after="0" w:line="189" w:lineRule="exact"/>
        <w:rPr>
          <w:rFonts w:ascii="Times New Roman" w:cs="Times New Roman" w:eastAsia="Times New Roman" w:hAnsi="Times New Roman"/>
          <w:sz w:val="21"/>
          <w:szCs w:val="21"/>
          <w:color w:val="auto"/>
        </w:rPr>
      </w:pPr>
    </w:p>
    <w:p>
      <w:pPr>
        <w:jc w:val="both"/>
        <w:ind w:firstLine="656"/>
        <w:spacing w:after="0" w:line="236" w:lineRule="auto"/>
        <w:tabs>
          <w:tab w:leader="none" w:pos="13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sole discretion to determine whether any settlement of a Restricted Stock Unit will be effected in cash or Shares. If the settlement is effected in Shares, the Company shall cause to be delivered or transferred to the Participant (or the Participant’s legal representative or heir) a stock certificate representing the Shares issued in exchange for Restricted Stock Units or shall cause the Shares to be registered on the stock transfer records of the Company in the Participant’s name. For any Restricted Stock Units settled in Shares, a Participant may elect to have Shares withheld to satisfy federal or state income tax withholding requirements applicable upon the vesting of the Restricted Stock Units.</w:t>
      </w:r>
    </w:p>
    <w:p>
      <w:pPr>
        <w:spacing w:after="0" w:line="209" w:lineRule="exact"/>
        <w:rPr>
          <w:rFonts w:ascii="Times New Roman" w:cs="Times New Roman" w:eastAsia="Times New Roman" w:hAnsi="Times New Roman"/>
          <w:sz w:val="22"/>
          <w:szCs w:val="22"/>
          <w:color w:val="auto"/>
        </w:rPr>
      </w:pPr>
    </w:p>
    <w:p>
      <w:pPr>
        <w:jc w:val="both"/>
        <w:ind w:firstLine="656"/>
        <w:spacing w:after="0" w:line="244" w:lineRule="auto"/>
        <w:tabs>
          <w:tab w:leader="none" w:pos="159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provided in Section 4.8(c)(ii) and (iii), in no event shall any delivery of Shares or payment following a Participant’s entitlement to such delivery or payment be made later than the March 15th following the end of the calendar year in which the Participant becomes entitled to such delivery or payment.</w:t>
      </w:r>
    </w:p>
    <w:p>
      <w:pPr>
        <w:spacing w:after="0" w:line="200" w:lineRule="exact"/>
        <w:rPr>
          <w:rFonts w:ascii="Times New Roman" w:cs="Times New Roman" w:eastAsia="Times New Roman" w:hAnsi="Times New Roman"/>
          <w:sz w:val="22"/>
          <w:szCs w:val="22"/>
          <w:color w:val="auto"/>
        </w:rPr>
      </w:pPr>
    </w:p>
    <w:p>
      <w:pPr>
        <w:jc w:val="both"/>
        <w:ind w:left="660" w:firstLine="645"/>
        <w:spacing w:after="0" w:line="239" w:lineRule="auto"/>
        <w:tabs>
          <w:tab w:leader="none" w:pos="201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4.8(c)(iii), with respect to Restricted Stock Units granted to a Participant who could reach 80 Retirement Credits prior to the final vesting date for such Restricted Stock Units, in no event shall any delivery of Shares or payment following such Participant’s entitlement to such delivery or payment be made later than December 31 of the year in which the vesting date for such Restricted Stock Units occurs.</w:t>
      </w:r>
    </w:p>
    <w:p>
      <w:pPr>
        <w:spacing w:after="0" w:line="207" w:lineRule="exact"/>
        <w:rPr>
          <w:rFonts w:ascii="Times New Roman" w:cs="Times New Roman" w:eastAsia="Times New Roman" w:hAnsi="Times New Roman"/>
          <w:sz w:val="22"/>
          <w:szCs w:val="22"/>
          <w:color w:val="auto"/>
        </w:rPr>
      </w:pPr>
    </w:p>
    <w:p>
      <w:pPr>
        <w:jc w:val="both"/>
        <w:ind w:left="660" w:firstLine="645"/>
        <w:spacing w:after="0" w:line="238" w:lineRule="auto"/>
        <w:tabs>
          <w:tab w:leader="none" w:pos="217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or any Award, if the Participant is a specified employee (within the meaning of Section 409A of the Code), and the Company determines that a payment hereunder is not permitted under Section 409A of the Code at the time set forth herein, no payments shall be made to the Participant due to a separation from service for any reason before the date that is six months after the date on which the Participant incurs a separation from service or, if earlier, the date of death of the Participant.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PERFORMANCE AWARDS</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i w:val="1"/>
          <w:iCs w:val="1"/>
          <w:color w:val="auto"/>
        </w:rPr>
        <w:t>Terms and Conditions of Performance Awards</w:t>
      </w:r>
      <w:r>
        <w:rPr>
          <w:rFonts w:ascii="Times New Roman" w:cs="Times New Roman" w:eastAsia="Times New Roman" w:hAnsi="Times New Roman"/>
          <w:sz w:val="22"/>
          <w:szCs w:val="22"/>
          <w:color w:val="auto"/>
        </w:rPr>
        <w:t>. The Committee may from time to time grant Awards that are intended to be “performance-based compensation,” which are payable in stock, cash or a combination thereof, at the discretion of the Committee.</w:t>
      </w:r>
    </w:p>
    <w:p>
      <w:pPr>
        <w:spacing w:after="0" w:line="198" w:lineRule="exact"/>
        <w:rPr>
          <w:sz w:val="20"/>
          <w:szCs w:val="20"/>
          <w:color w:val="auto"/>
        </w:rPr>
      </w:pPr>
    </w:p>
    <w:p>
      <w:pPr>
        <w:jc w:val="both"/>
        <w:ind w:firstLine="656"/>
        <w:spacing w:after="0" w:line="255" w:lineRule="auto"/>
        <w:tabs>
          <w:tab w:leader="none" w:pos="140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Period. The Committee shall establish a Performance Period for each Performance Award at the time such Performance Award is granted. A Performance Period may overlap with Performance Periods relating to other Performance Awards granted hereunder to the same Participant. Unless the Committee determines otherwise, the Committee shall not grant Performance Awards after the date on which the satisfaction of the Performance Objectives becomes substantially certain.</w:t>
      </w:r>
    </w:p>
    <w:p>
      <w:pPr>
        <w:spacing w:after="0" w:line="189" w:lineRule="exact"/>
        <w:rPr>
          <w:rFonts w:ascii="Times New Roman" w:cs="Times New Roman" w:eastAsia="Times New Roman" w:hAnsi="Times New Roman"/>
          <w:sz w:val="21"/>
          <w:szCs w:val="21"/>
          <w:color w:val="auto"/>
        </w:rPr>
      </w:pPr>
    </w:p>
    <w:p>
      <w:pPr>
        <w:jc w:val="both"/>
        <w:ind w:firstLine="656"/>
        <w:spacing w:after="0" w:line="235" w:lineRule="auto"/>
        <w:tabs>
          <w:tab w:leader="none" w:pos="14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Objectives. The Committee shall establish written performance objectives for the Participant at the time of the grant of each Performance Award. Each Performance Award shall be contingent upon the achievement of the Performance Objectives established by the Committee. Performance Objectives shall be based on earnings, cash flow, economic value added, total stockholder return, return on equity, return on capital, return on assets, revenues, operating profit, EBITDA, net profit, earnings per share, stock price, cost reduction goals, debt to capital ratio, financial return ratios, profit or operating margins, working capital or any combination of the foregoing, for the Company on a consolidated basis or, if applicable, for one or more Subsidiaries, divisions, departments or other units of the Company or one or more of its Subsidiaries.</w:t>
      </w:r>
    </w:p>
    <w:p>
      <w:pPr>
        <w:spacing w:after="0" w:line="210" w:lineRule="exact"/>
        <w:rPr>
          <w:rFonts w:ascii="Times New Roman" w:cs="Times New Roman" w:eastAsia="Times New Roman" w:hAnsi="Times New Roman"/>
          <w:sz w:val="22"/>
          <w:szCs w:val="22"/>
          <w:color w:val="auto"/>
        </w:rPr>
      </w:pPr>
    </w:p>
    <w:p>
      <w:pPr>
        <w:ind w:right="20" w:firstLine="656"/>
        <w:spacing w:after="0" w:line="258" w:lineRule="auto"/>
        <w:tabs>
          <w:tab w:leader="none" w:pos="151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Frequency. The Committee shall determine at the time of grant of Performance Awards the target and maximum values of Performance Awards and the date or dates when Performance Awards are earned.</w:t>
      </w:r>
    </w:p>
    <w:p>
      <w:pPr>
        <w:spacing w:after="0" w:line="185" w:lineRule="exact"/>
        <w:rPr>
          <w:rFonts w:ascii="Times New Roman" w:cs="Times New Roman" w:eastAsia="Times New Roman" w:hAnsi="Times New Roman"/>
          <w:sz w:val="22"/>
          <w:szCs w:val="22"/>
          <w:color w:val="auto"/>
        </w:rPr>
      </w:pPr>
    </w:p>
    <w:p>
      <w:pPr>
        <w:jc w:val="both"/>
        <w:ind w:firstLine="656"/>
        <w:spacing w:after="0" w:line="235" w:lineRule="auto"/>
        <w:tabs>
          <w:tab w:leader="none" w:pos="136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Following the end of each Performance Period, the holder of each Performance Award will be entitled to receive payment of an amount, not exceeding the maximum value of the Performance Award, based on the achievement of the Performance Objectives for such Performance Period, as determined in writing by the Committee. Unless otherwise provided in the Performance Award, if the Participant exceeds the specified minimum level of acceptable achievement but does not attain the Performance Objectives, the Participant shall be deemed to have partly earned the Performance Award, and shall become entitled to receive a portion of the total award, as determined by the Committee. Unless otherwise provided in the Performance Award, if a Performance Award is granted after the start of a Performance Period, the Performance Award shall be reduced to reflect the portion of the Performance Period during which the Performance Award was in effect.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jc w:val="both"/>
        <w:ind w:firstLine="656"/>
        <w:spacing w:after="0" w:line="248" w:lineRule="auto"/>
        <w:tabs>
          <w:tab w:leader="none" w:pos="147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Employment. Unless otherwise provided in the Performance Award, a Participant who receives a Performance Award and who ceases to be an Employee as a result of death, Disability or retirement before the end of the applicable Performance Period shall be entitled to receive, to the extent earned as a result of the full or partial achievement of the Performance Objectives during the Performance Period, a portion of the Performance Award that is proportional to the portion of the Performance Period during which the Participant was employed, with payment to be made following the end of the Performance Period. Unless otherwise provided in the Performance Award, a Participant who receives a Performance Award who ceases to be an Employee for any reason other than death, Disability or retirement shall not be entitled to any part of the Performance Award.</w:t>
      </w:r>
    </w:p>
    <w:p>
      <w:pPr>
        <w:spacing w:after="0" w:line="198" w:lineRule="exact"/>
        <w:rPr>
          <w:rFonts w:ascii="Times New Roman" w:cs="Times New Roman" w:eastAsia="Times New Roman" w:hAnsi="Times New Roman"/>
          <w:sz w:val="21"/>
          <w:szCs w:val="21"/>
          <w:color w:val="auto"/>
        </w:rPr>
      </w:pPr>
    </w:p>
    <w:p>
      <w:pPr>
        <w:jc w:val="both"/>
        <w:ind w:firstLine="656"/>
        <w:spacing w:after="0" w:line="247" w:lineRule="auto"/>
        <w:tabs>
          <w:tab w:leader="none" w:pos="169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Accelerated Vesting. Notwithstanding the vesting conditions set forth in a Performance Award, unless the Performance Award specifies otherwise (i) the Committee may in its discretion at any time accelerate the time at which the Performance Award is considered to have been earned or otherwise waive or amend any conditions (including but not limited to Performance Objectives) in respect of a Performance Award, and (ii) all Performance Awards shall be considered earned upon a Change in Control of the Company. In addition, upon a Change in Control of the Company, unless a Performance Award specifies otherwise, each Participant shall receive the target Performance Award such Participant could have earned for the proportionate part of the Performance Period prior to the Change in Control, and shall retain the right to earn any additional portion of his or her Performance Award if such Participant remains in the Company’s employ through the end of the Performance Period.</w:t>
      </w:r>
    </w:p>
    <w:p>
      <w:pPr>
        <w:spacing w:after="0" w:line="199" w:lineRule="exact"/>
        <w:rPr>
          <w:rFonts w:ascii="Times New Roman" w:cs="Times New Roman" w:eastAsia="Times New Roman" w:hAnsi="Times New Roman"/>
          <w:sz w:val="21"/>
          <w:szCs w:val="21"/>
          <w:color w:val="auto"/>
        </w:rPr>
      </w:pPr>
    </w:p>
    <w:p>
      <w:pPr>
        <w:ind w:left="1440" w:hanging="784"/>
        <w:spacing w:after="0"/>
        <w:tabs>
          <w:tab w:leader="none" w:pos="14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Stockholder Rights. The holder of a Performance Award shall, as such, have none of the rights of a stockholder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209" w:lineRule="exact"/>
        <w:rPr>
          <w:rFonts w:ascii="Times New Roman" w:cs="Times New Roman" w:eastAsia="Times New Roman" w:hAnsi="Times New Roman"/>
          <w:sz w:val="21"/>
          <w:szCs w:val="21"/>
          <w:color w:val="auto"/>
        </w:rPr>
      </w:pPr>
    </w:p>
    <w:p>
      <w:pPr>
        <w:jc w:val="both"/>
        <w:ind w:right="20" w:firstLine="656"/>
        <w:spacing w:after="0" w:line="244" w:lineRule="auto"/>
        <w:tabs>
          <w:tab w:leader="none" w:pos="142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Incentive Plan. Cash awards based on the attainment of the performance objectives established under the Company’s Annual Incentive Plan may, in the Committee’s discretion, be considered Performance Awards granted under the Plan, provided that such awards are subject to the terms and conditions of this Article IV.</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ADDITIONAL PROVISIONS</w:t>
      </w:r>
    </w:p>
    <w:p>
      <w:pPr>
        <w:spacing w:after="0" w:line="205"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i w:val="1"/>
          <w:iCs w:val="1"/>
          <w:color w:val="auto"/>
        </w:rPr>
        <w:t>Administration of the Plan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34" w:lineRule="auto"/>
        <w:tabs>
          <w:tab w:leader="none" w:pos="166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to establish performance criteria in respect of Awards under the Plan, to determine whether Plan requirements have been met for any Participant in the Plan and to make all other determinations and take all other actions necessary or desirable for the administration of the Plan. All decisions and acts of the Committee shall be final and binding upon all affected Participants. To the extent permitted by applicable law, the Committee may delegate authority to administer the Plan to members of the Committee, one or more subcommittees or other committees of the Board. If there is no Committee, the Board shall administer the Plan and in such case all references to the Committee shall be deemed to be references to the Board.</w:t>
      </w:r>
    </w:p>
    <w:p>
      <w:pPr>
        <w:spacing w:after="0" w:line="211"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6.1(a), for purposes of Section 2.6 and Section 4.7: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jc w:val="both"/>
        <w:ind w:left="660" w:firstLine="645"/>
        <w:spacing w:after="0" w:line="235" w:lineRule="auto"/>
        <w:tabs>
          <w:tab w:leader="none" w:pos="22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in its sole discretion whether an action or activity is detrimental to the Company. Without limiting the immediately preceding sentence, actions or activities detrimental to the Company may include (A) a material breach of any contract between the holder of an Award and the Company or a Subsidiary, (B) any direct or indirect competition with the Company or a Subsidiary or solicitation of employees of the Company or a Subsidiary or (C) performance or acceptance by the holder of an Award of duties to a third party under circumstances that create a material conflict of interest or the appearance of a material conflict of interest, which may include being employed or otherwise engaged by an entity that regulates, engages in transactions with or competes with the Company or a Subsidiary.</w:t>
      </w:r>
    </w:p>
    <w:p>
      <w:pPr>
        <w:spacing w:after="0" w:line="206" w:lineRule="exact"/>
        <w:rPr>
          <w:rFonts w:ascii="Times New Roman" w:cs="Times New Roman" w:eastAsia="Times New Roman" w:hAnsi="Times New Roman"/>
          <w:sz w:val="22"/>
          <w:szCs w:val="22"/>
          <w:color w:val="auto"/>
        </w:rPr>
      </w:pPr>
    </w:p>
    <w:p>
      <w:pPr>
        <w:ind w:left="660" w:firstLine="645"/>
        <w:spacing w:after="0" w:line="258" w:lineRule="auto"/>
        <w:tabs>
          <w:tab w:leader="none" w:pos="223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in its sole discretion whether a termination of employment constitutes “retirement” for purposes of vesting of any Options or Restricted Stock Units.</w:t>
      </w:r>
    </w:p>
    <w:p>
      <w:pPr>
        <w:spacing w:after="0" w:line="185" w:lineRule="exact"/>
        <w:rPr>
          <w:rFonts w:ascii="Times New Roman" w:cs="Times New Roman" w:eastAsia="Times New Roman" w:hAnsi="Times New Roman"/>
          <w:sz w:val="22"/>
          <w:szCs w:val="22"/>
          <w:color w:val="auto"/>
        </w:rPr>
      </w:pPr>
    </w:p>
    <w:p>
      <w:pPr>
        <w:jc w:val="both"/>
        <w:ind w:left="660" w:firstLine="645"/>
        <w:spacing w:after="0" w:line="244" w:lineRule="auto"/>
        <w:tabs>
          <w:tab w:leader="none" w:pos="204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in its sole discretion whether prior employment by an acquired company or prior noncontinuous employment by the Company or a Subsidiary shall be counted in calculating the Retirement Credits of the holder of an Award.</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6.2. </w:t>
      </w:r>
      <w:r>
        <w:rPr>
          <w:rFonts w:ascii="Times New Roman" w:cs="Times New Roman" w:eastAsia="Times New Roman" w:hAnsi="Times New Roman"/>
          <w:sz w:val="21"/>
          <w:szCs w:val="21"/>
          <w:i w:val="1"/>
          <w:iCs w:val="1"/>
          <w:color w:val="auto"/>
        </w:rPr>
        <w:t>Adjustments for Changes in Capitalization</w:t>
      </w:r>
      <w:r>
        <w:rPr>
          <w:rFonts w:ascii="Times New Roman" w:cs="Times New Roman" w:eastAsia="Times New Roman" w:hAnsi="Times New Roman"/>
          <w:sz w:val="21"/>
          <w:szCs w:val="21"/>
          <w:color w:val="auto"/>
        </w:rPr>
        <w:t>. In the event of any (a) stock dividends, stock splits, recapitalizations, combinations, exchanges of shares, mergers, consolidations, liquidations, split-ups, split-offs, spin-offs or other similar changes in capitalization, (b) distributions to stockholders, including a rights offering, other than regular cash dividends, (c) changes in the outstanding stock of the Company by reason of any increase or decrease in the number of issued Shares resulting from a split-up or consolidation of Shares or any similar capital adjustment or the payment of any stock dividend, (d) Share repurchase at a price in excess of the market price of the Shares at the time such repurchase is announced or (e) other similar increase or decrease in the number of the Shares, the Committee, in its sole discretion, shall make appropriate adjustment in the number and kind of shares authorized by the Plan in the number, price or kind of shares or units covered by the Awards and in any outstanding Awards under the Plan. In addition, upon the occurrence of any event described in this Section 6.2, the Committee, in its sole discretion, shall make appropriate adjustment in the limits specified in Section 1.3(b), (c) and (d) so that the effect of such limits is, as nearly as practicable, equivalent to the effect of such limits prior to the event in question, provided that any such adjustment complies with applicable laws and does not cause an award that is intended to satisfy the performance-based compensation exception under Section 162(m) of the Code in effect prior to December 22, 2017 to fail to satisfy the exception. 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i w:val="1"/>
          <w:iCs w:val="1"/>
          <w:color w:val="auto"/>
        </w:rPr>
        <w:t>Compliance With Section 409A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Awards shall be designed and operated in such a manner that they are either exempt from the application of, or comply with, the requirements of Section 409A of the Code. The Plan and each Award under the Plan are intended to meet the requirements of Section 409A of the Code and shall be construed and interpreted in accordance with such intent. To the extent that an Award or payment, or the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In addition, to the extent an Award is subject to Section 409A of the Code, payments under such an Award shall be made at such time as is specified in the Plan and the Award. The payment will be made (1) by a date that is no later than the date that is two and one-half (2 1/2) months after the end of the fiscal year in which the Award payment is no longer subject to a substantial risk of forfeiture or (2) at a time that is permissible under Section 409A of the Code such that the payment shall not be subject to the additional tax or interest applicable under Section 409A of the Code.</w:t>
      </w:r>
    </w:p>
    <w:p>
      <w:pPr>
        <w:spacing w:after="0" w:line="201"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i w:val="1"/>
          <w:iCs w:val="1"/>
          <w:color w:val="auto"/>
        </w:rPr>
        <w:t>Amendment.</w:t>
      </w:r>
    </w:p>
    <w:p>
      <w:pPr>
        <w:spacing w:after="0" w:line="237" w:lineRule="exact"/>
        <w:rPr>
          <w:sz w:val="20"/>
          <w:szCs w:val="20"/>
          <w:color w:val="auto"/>
        </w:rPr>
      </w:pPr>
    </w:p>
    <w:p>
      <w:pPr>
        <w:jc w:val="both"/>
        <w:ind w:firstLine="656"/>
        <w:spacing w:after="0" w:line="262" w:lineRule="auto"/>
        <w:tabs>
          <w:tab w:leader="none" w:pos="139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amend or modify the Plan in any respect at any time, subject to stockholder approval if required by applicable law or regulation or by applicable stock exchange rules. Such action shall not impair any of the rights of any Participant with respect to any Award outstanding on the date of the amendment or modification without the Participant’s written consent.</w:t>
      </w:r>
    </w:p>
    <w:p>
      <w:pPr>
        <w:spacing w:after="0" w:line="181" w:lineRule="exact"/>
        <w:rPr>
          <w:rFonts w:ascii="Times New Roman" w:cs="Times New Roman" w:eastAsia="Times New Roman" w:hAnsi="Times New Roman"/>
          <w:sz w:val="21"/>
          <w:szCs w:val="21"/>
          <w:color w:val="auto"/>
        </w:rPr>
      </w:pPr>
    </w:p>
    <w:p>
      <w:pPr>
        <w:jc w:val="both"/>
        <w:ind w:firstLine="656"/>
        <w:spacing w:after="0" w:line="244" w:lineRule="auto"/>
        <w:tabs>
          <w:tab w:leader="none" w:pos="14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authority to amend any Award to include any provision which, at the time of such amendment, is authorized under the terms of the Plan; however, no outstanding Award may be revoked or altered in a manner unfavorable to the Participant without the written consent of the Participant.</w:t>
      </w:r>
    </w:p>
    <w:p>
      <w:pPr>
        <w:spacing w:after="0" w:line="1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i w:val="1"/>
          <w:iCs w:val="1"/>
          <w:color w:val="auto"/>
        </w:rPr>
        <w:t>Transferability of Awards</w:t>
      </w:r>
      <w:r>
        <w:rPr>
          <w:rFonts w:ascii="Times New Roman" w:cs="Times New Roman" w:eastAsia="Times New Roman" w:hAnsi="Times New Roman"/>
          <w:sz w:val="22"/>
          <w:szCs w:val="22"/>
          <w:color w:val="auto"/>
        </w:rPr>
        <w:t>. An Award shall not be transferable by the Participant otherwise than by will or the laws of descent and distribution. So long as a Participant lives, only such Participant or his or her guardian or legal representative shall have the right to exercise such Award.</w:t>
      </w:r>
    </w:p>
    <w:p>
      <w:pPr>
        <w:spacing w:after="0" w:line="19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i w:val="1"/>
          <w:iCs w:val="1"/>
          <w:color w:val="auto"/>
        </w:rPr>
        <w:t>Beneficiary</w:t>
      </w:r>
      <w:r>
        <w:rPr>
          <w:rFonts w:ascii="Times New Roman" w:cs="Times New Roman" w:eastAsia="Times New Roman" w:hAnsi="Times New Roman"/>
          <w:sz w:val="22"/>
          <w:szCs w:val="22"/>
          <w:color w:val="auto"/>
        </w:rPr>
        <w:t>. A Participant may file with the Company a written designation of beneficiary, on such form as may be prescribed by the Committee, to receive any Shares, Awards or payments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i w:val="1"/>
          <w:iCs w:val="1"/>
          <w:color w:val="auto"/>
        </w:rPr>
        <w:t>Non-uniform Determinations</w:t>
      </w:r>
      <w:r>
        <w:rPr>
          <w:rFonts w:ascii="Times New Roman" w:cs="Times New Roman" w:eastAsia="Times New Roman" w:hAnsi="Times New Roman"/>
          <w:sz w:val="22"/>
          <w:szCs w:val="22"/>
          <w:color w:val="auto"/>
        </w:rPr>
        <w:t>. Determinations by the Committee under the Plan (including, without limitation, determinations of the Eligible Persons to receive Awards, the form, amount and timing of Awards, the terms and provisions of Awards and any agreements evidencing Awards and provisions with respect to termination of employment) need not be uniform and may be made by the Committee selectively among persons who receive, or are eligible to receive, Awards under the Plan, whether or not such persons are similarly situated.</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i w:val="1"/>
          <w:iCs w:val="1"/>
          <w:color w:val="auto"/>
        </w:rPr>
        <w:t>Duration and Termination.</w:t>
      </w:r>
      <w:r>
        <w:rPr>
          <w:rFonts w:ascii="Times New Roman" w:cs="Times New Roman" w:eastAsia="Times New Roman" w:hAnsi="Times New Roman"/>
          <w:sz w:val="22"/>
          <w:szCs w:val="22"/>
          <w:color w:val="auto"/>
        </w:rPr>
        <w:t xml:space="preserve"> No awards shall be made under the Plan after April 23, 2022, provided that no Incentive Stock Option shall be granted under the Plan on or after the tenth anniversary of the effective date of the Plan. The Board may suspend, discontinue or terminate the Plan at any time. The suspension, discontinuance or termination of the Plan shall not impair any of the rights of any holder of any Award outstanding on the date of the Plan’s suspension, discontinuance or termination without the holder’s written consent.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5" w:name="page56"/>
    <w:bookmarkEnd w:id="5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i w:val="1"/>
          <w:iCs w:val="1"/>
          <w:color w:val="auto"/>
        </w:rPr>
        <w:t>Withholding</w:t>
      </w:r>
      <w:r>
        <w:rPr>
          <w:rFonts w:ascii="Times New Roman" w:cs="Times New Roman" w:eastAsia="Times New Roman" w:hAnsi="Times New Roman"/>
          <w:sz w:val="22"/>
          <w:szCs w:val="22"/>
          <w:color w:val="auto"/>
        </w:rPr>
        <w:t>. Prior to the issuance of any Shares under the Plan, arrangements satisfactory to the Committee in its sole discretion shall have been made for the Participant’s payment to the Company of the amount, if any, that the Committee determines to be necessary for the Company or Subsidiary employing the Participant to withhold in accordance with applicable federal or state income tax withholding requirements. If Shares are withheld from an Award to satisfy withholding requirements, the Fair Market Value of the Shares withheld shall not exceed an amount determined based on the maximum statutory tax rate in the applicable jurisdictions. When payments under the Plan are made in cash, such payments shall be net of an amount sufficient to satisfy such withholding requirements.</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i w:val="1"/>
          <w:iCs w:val="1"/>
          <w:color w:val="auto"/>
        </w:rPr>
        <w:t>Agreements and Undertakings</w:t>
      </w:r>
      <w:r>
        <w:rPr>
          <w:rFonts w:ascii="Times New Roman" w:cs="Times New Roman" w:eastAsia="Times New Roman" w:hAnsi="Times New Roman"/>
          <w:sz w:val="22"/>
          <w:szCs w:val="22"/>
          <w:color w:val="auto"/>
        </w:rPr>
        <w:t>. As a condition of any issuance or transfer of Shares, the Committee may obtain such agreements or undertakings, if any, as it may deem necessary or advisable to assure compliance with any provision of the Plan, any agreement or any law or regulation including, but not limited to, the following:</w:t>
      </w:r>
    </w:p>
    <w:p>
      <w:pPr>
        <w:spacing w:after="0" w:line="198" w:lineRule="exact"/>
        <w:rPr>
          <w:sz w:val="20"/>
          <w:szCs w:val="20"/>
          <w:color w:val="auto"/>
        </w:rPr>
      </w:pPr>
    </w:p>
    <w:p>
      <w:pPr>
        <w:ind w:firstLine="656"/>
        <w:spacing w:after="0" w:line="258" w:lineRule="auto"/>
        <w:tabs>
          <w:tab w:leader="none" w:pos="155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warranty or agreement by the Participant to the Company that the Participant is acquiring the Shares for investment and not with a view to, or for sale in connection with, the distribution of any such Shares; and</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146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1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i w:val="1"/>
          <w:iCs w:val="1"/>
          <w:color w:val="auto"/>
        </w:rPr>
        <w:t>Uncertificated Shares.</w:t>
      </w:r>
      <w:r>
        <w:rPr>
          <w:rFonts w:ascii="Times New Roman" w:cs="Times New Roman" w:eastAsia="Times New Roman" w:hAnsi="Times New Roman"/>
          <w:sz w:val="22"/>
          <w:szCs w:val="22"/>
          <w:color w:val="auto"/>
        </w:rPr>
        <w:t xml:space="preserve"> In lieu of issuing stock certificates for Shares acquired pursuant to the Plan, the Company may issue such Shares in book-entry or other electronic or uncertificated form, unless prohibited by applicable law or regulation or by applicable stock exchange rules.</w:t>
      </w:r>
    </w:p>
    <w:p>
      <w:pPr>
        <w:spacing w:after="0" w:line="19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The Plan shall be governed by the laws of the State of Texas except to the extent that federal law or Nevada corporate law is controlling.</w:t>
      </w:r>
    </w:p>
    <w:p>
      <w:pPr>
        <w:spacing w:after="0" w:line="177"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6.13.</w:t>
      </w:r>
      <w:r>
        <w:rPr>
          <w:sz w:val="20"/>
          <w:szCs w:val="20"/>
          <w:color w:val="auto"/>
        </w:rPr>
        <w:tab/>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The Plan amends and restates the Existing Plan in its entirety, effective July 23, 2019.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Chief Executive Officer</w:t>
      </w:r>
    </w:p>
    <w:p>
      <w:pPr>
        <w:spacing w:after="0" w:line="237" w:lineRule="exact"/>
        <w:rPr>
          <w:sz w:val="20"/>
          <w:szCs w:val="20"/>
          <w:color w:val="auto"/>
        </w:rPr>
      </w:pPr>
    </w:p>
    <w:p>
      <w:pPr>
        <w:ind w:left="340" w:right="160"/>
        <w:spacing w:after="0" w:line="258" w:lineRule="auto"/>
        <w:rPr>
          <w:sz w:val="20"/>
          <w:szCs w:val="20"/>
          <w:color w:val="auto"/>
        </w:rPr>
      </w:pPr>
      <w:r>
        <w:rPr>
          <w:rFonts w:ascii="Times New Roman" w:cs="Times New Roman" w:eastAsia="Times New Roman" w:hAnsi="Times New Roman"/>
          <w:sz w:val="22"/>
          <w:szCs w:val="22"/>
          <w:color w:val="auto"/>
        </w:rPr>
        <w:t>In connection with the filing of the Quarterly Report on Form 10-Q for the quarter ended June 30, 2019 by Kirby Corporation, David W. Grzebinski certifies that:</w:t>
      </w:r>
    </w:p>
    <w:p>
      <w:pPr>
        <w:spacing w:after="0" w:line="194"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252"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Chief Financial Officer</w:t>
      </w:r>
    </w:p>
    <w:p>
      <w:pPr>
        <w:spacing w:after="0" w:line="237" w:lineRule="exact"/>
        <w:rPr>
          <w:sz w:val="20"/>
          <w:szCs w:val="20"/>
          <w:color w:val="auto"/>
        </w:rPr>
      </w:pPr>
    </w:p>
    <w:p>
      <w:pPr>
        <w:ind w:left="340" w:right="160"/>
        <w:spacing w:after="0" w:line="258" w:lineRule="auto"/>
        <w:rPr>
          <w:sz w:val="20"/>
          <w:szCs w:val="20"/>
          <w:color w:val="auto"/>
        </w:rPr>
      </w:pPr>
      <w:r>
        <w:rPr>
          <w:rFonts w:ascii="Times New Roman" w:cs="Times New Roman" w:eastAsia="Times New Roman" w:hAnsi="Times New Roman"/>
          <w:sz w:val="22"/>
          <w:szCs w:val="22"/>
          <w:color w:val="auto"/>
        </w:rPr>
        <w:t>In connection with the filing of the Quarterly Report on Form 10-Q for the quarter ended June 30, 2019 by Kirby Corporation, William G. Harvey certifies that:</w:t>
      </w:r>
    </w:p>
    <w:p>
      <w:pPr>
        <w:spacing w:after="0" w:line="194"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252"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William G. Harvey</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Section 18 U.S.C. Section 1350</w:t>
      </w:r>
    </w:p>
    <w:p>
      <w:pPr>
        <w:spacing w:after="0" w:line="23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22"/>
          <w:szCs w:val="22"/>
          <w:color w:val="auto"/>
        </w:rPr>
        <w:t>In connection with the filing of the Quarterly Report on Form 10-Q for the quarter ended June 30, 2019 (the “Report”) by Kirby Corporation (the “Company”), each of the undersigned hereby certifies that:</w:t>
      </w:r>
    </w:p>
    <w:p>
      <w:pPr>
        <w:spacing w:after="0" w:line="194"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William G. Harvey</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lvl w:ilvl="1">
      <w:lvlJc w:val="left"/>
      <w:lvlText w:val="(%2)"/>
      <w:numFmt w:val="lowerLetter"/>
      <w:start w:val="1"/>
    </w:lvl>
  </w:abstractNum>
  <w:abstractNum w:abstractNumId="3">
    <w:nsid w:val="519B500D"/>
    <w:multiLevelType w:val="hybridMultilevel"/>
    <w:lvl w:ilvl="0">
      <w:lvlJc w:val="left"/>
      <w:lvlText w:val="(%1)"/>
      <w:numFmt w:val="decimal"/>
      <w:start w:val="10"/>
    </w:lvl>
    <w:lvl w:ilvl="1">
      <w:lvlJc w:val="left"/>
      <w:lvlText w:val="%2"/>
      <w:numFmt w:val="lowerLetter"/>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Letter"/>
      <w:start w:val="1"/>
    </w:lvl>
    <w:lvl w:ilvl="1">
      <w:lvlJc w:val="left"/>
      <w:lvlText w:val="(%2)"/>
      <w:numFmt w:val="lowerRoman"/>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1)"/>
      <w:numFmt w:val="lowerLetter"/>
      <w:start w:val="5"/>
    </w:lvl>
  </w:abstractNum>
  <w:abstractNum w:abstractNumId="9">
    <w:nsid w:val="436C6125"/>
    <w:multiLevelType w:val="hybridMultilevel"/>
    <w:lvl w:ilvl="0">
      <w:lvlJc w:val="left"/>
      <w:lvlText w:val="(%1)"/>
      <w:numFmt w:val="lowerLetter"/>
      <w:start w:val="11"/>
    </w:lvl>
    <w:lvl w:ilvl="1">
      <w:lvlJc w:val="left"/>
      <w:lvlText w:val="(%2)"/>
      <w:numFmt w:val="lowerRoman"/>
      <w:start w:val="1"/>
    </w:lvl>
  </w:abstractNum>
  <w:abstractNum w:abstractNumId="10">
    <w:nsid w:val="628C895D"/>
    <w:multiLevelType w:val="hybridMultilevel"/>
    <w:lvl w:ilvl="0">
      <w:lvlJc w:val="left"/>
      <w:lvlText w:val="(%1)"/>
      <w:numFmt w:val="lowerLetter"/>
      <w:start w:val="25"/>
    </w:lvl>
  </w:abstractNum>
  <w:abstractNum w:abstractNumId="11">
    <w:nsid w:val="333AB105"/>
    <w:multiLevelType w:val="hybridMultilevel"/>
    <w:lvl w:ilvl="0">
      <w:lvlJc w:val="left"/>
      <w:lvlText w:val="(%1)"/>
      <w:numFmt w:val="lowerLetter"/>
      <w:start w:val="27"/>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lvl w:ilvl="1">
      <w:lvlJc w:val="left"/>
      <w:lvlText w:val="(%2)"/>
      <w:numFmt w:val="lowerRoman"/>
      <w:start w:val="1"/>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3"/>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lowerLetter"/>
      <w:start w:val="1"/>
    </w:lvl>
    <w:lvl w:ilvl="1">
      <w:lvlJc w:val="left"/>
      <w:lvlText w:val="(%2)"/>
      <w:numFmt w:val="lowerRoman"/>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2019-12-28T09:28:49Z</dcterms:created>
  <dcterms:modified xsi:type="dcterms:W3CDTF">2019-12-28T09:28:49Z</dcterms:modified>
</cp:coreProperties>
</file>