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45"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4"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70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Nevada</w:t>
            </w:r>
          </w:p>
        </w:tc>
        <w:tc>
          <w:tcPr>
            <w:tcW w:w="366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74-1884980</w:t>
            </w:r>
          </w:p>
        </w:tc>
      </w:tr>
      <w:tr>
        <w:trPr>
          <w:trHeight w:val="234"/>
        </w:trPr>
        <w:tc>
          <w:tcPr>
            <w:tcW w:w="5700" w:type="dxa"/>
            <w:vAlign w:val="bottom"/>
          </w:tcPr>
          <w:p>
            <w:pPr>
              <w:jc w:val="center"/>
              <w:ind w:right="9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660" w:type="dxa"/>
            <w:vAlign w:val="bottom"/>
          </w:tcPr>
          <w:p>
            <w:pPr>
              <w:jc w:val="center"/>
              <w:ind w:left="95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570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55 Waugh Drive, Suite 1000</w:t>
            </w:r>
          </w:p>
        </w:tc>
        <w:tc>
          <w:tcPr>
            <w:tcW w:w="3660" w:type="dxa"/>
            <w:vAlign w:val="bottom"/>
          </w:tcPr>
          <w:p>
            <w:pPr>
              <w:spacing w:after="0"/>
              <w:rPr>
                <w:sz w:val="24"/>
                <w:szCs w:val="24"/>
                <w:color w:val="auto"/>
              </w:rPr>
            </w:pPr>
          </w:p>
        </w:tc>
      </w:tr>
      <w:tr>
        <w:trPr>
          <w:trHeight w:val="216"/>
        </w:trPr>
        <w:tc>
          <w:tcPr>
            <w:tcW w:w="5700" w:type="dxa"/>
            <w:vAlign w:val="bottom"/>
          </w:tcPr>
          <w:p>
            <w:pPr>
              <w:jc w:val="center"/>
              <w:ind w:right="930"/>
              <w:spacing w:after="0"/>
              <w:rPr>
                <w:sz w:val="20"/>
                <w:szCs w:val="20"/>
                <w:color w:val="auto"/>
              </w:rPr>
            </w:pPr>
            <w:r>
              <w:rPr>
                <w:rFonts w:ascii="Arial" w:cs="Arial" w:eastAsia="Arial" w:hAnsi="Arial"/>
                <w:sz w:val="18"/>
                <w:szCs w:val="18"/>
                <w:b w:val="1"/>
                <w:bCs w:val="1"/>
                <w:color w:val="auto"/>
                <w:w w:val="94"/>
              </w:rPr>
              <w:t>Houston, TX</w:t>
            </w:r>
          </w:p>
        </w:tc>
        <w:tc>
          <w:tcPr>
            <w:tcW w:w="3660" w:type="dxa"/>
            <w:vAlign w:val="bottom"/>
          </w:tcPr>
          <w:p>
            <w:pPr>
              <w:jc w:val="center"/>
              <w:ind w:left="950"/>
              <w:spacing w:after="0"/>
              <w:rPr>
                <w:sz w:val="20"/>
                <w:szCs w:val="20"/>
                <w:color w:val="auto"/>
              </w:rPr>
            </w:pPr>
            <w:r>
              <w:rPr>
                <w:rFonts w:ascii="Arial" w:cs="Arial" w:eastAsia="Arial" w:hAnsi="Arial"/>
                <w:sz w:val="18"/>
                <w:szCs w:val="18"/>
                <w:b w:val="1"/>
                <w:bCs w:val="1"/>
                <w:color w:val="auto"/>
                <w:w w:val="91"/>
              </w:rPr>
              <w:t>77007</w:t>
            </w:r>
          </w:p>
        </w:tc>
      </w:tr>
      <w:tr>
        <w:trPr>
          <w:trHeight w:val="234"/>
        </w:trPr>
        <w:tc>
          <w:tcPr>
            <w:tcW w:w="5700" w:type="dxa"/>
            <w:vAlign w:val="bottom"/>
          </w:tcPr>
          <w:p>
            <w:pPr>
              <w:jc w:val="center"/>
              <w:ind w:right="9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660" w:type="dxa"/>
            <w:vAlign w:val="bottom"/>
          </w:tcPr>
          <w:p>
            <w:pPr>
              <w:jc w:val="center"/>
              <w:ind w:left="93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4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KEX</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5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98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52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498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216"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2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80" w:type="dxa"/>
            <w:vAlign w:val="bottom"/>
          </w:tcPr>
          <w:p>
            <w:pPr>
              <w:ind w:left="252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7"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As of May 7, 2020, 60,038,000 shares of the Registrant’s $0.10 par value per share common stock were outstanding.</w:t>
      </w:r>
    </w:p>
    <w:p>
      <w:pPr>
        <w:sectPr>
          <w:pgSz w:w="11900" w:h="16838" w:orient="portrait"/>
          <w:cols w:equalWidth="0" w:num="1">
            <w:col w:w="11240"/>
          </w:cols>
          <w:pgMar w:left="320" w:top="522"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 less allowance for doubtful accounts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379,174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253,688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104,175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351,401</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60,640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58,092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1,368,013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5,366,596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5,324,090</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(1,589,812)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(1,546,980)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 – net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3,776,784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3,777,110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159,641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704,098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953,826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73,694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210,682</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57,655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60,259</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6,137,577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6,079,097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205,667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236,350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25,903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27,324</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37,027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42,982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496,332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 less current portion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1,702,476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1,369,751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582,150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588,204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 less current portion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139,457</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93,208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95,978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2,516,718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2,193,390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Kirby 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$0.10 par value per share. Authorized 120,000,000 shares, issued 65,472,000 shares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837,879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835,899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(38,991)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(37,799)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2,617,471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2,865,939</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 at cost, 5,475,000 shares at March 31, 2020 and 5,513,000 at December 31, 2019</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(301,424)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(301,963)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Kirby stockholders’ equity</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3,121,482</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3,368,623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3,124,527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3,371,592</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6,137,577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6,079,097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98"/>
              </w:rPr>
              <w:t>CONDENSED STATEMENTS OF EARNINGS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256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6"/>
          </w:tcPr>
          <w:p>
            <w:pPr>
              <w:jc w:val="right"/>
              <w:ind w:right="460"/>
              <w:spacing w:after="0" w:line="198" w:lineRule="exact"/>
              <w:rPr>
                <w:sz w:val="20"/>
                <w:szCs w:val="20"/>
                <w:color w:val="auto"/>
              </w:rPr>
            </w:pPr>
            <w:r>
              <w:rPr>
                <w:rFonts w:ascii="Arial" w:cs="Arial" w:eastAsia="Arial" w:hAnsi="Arial"/>
                <w:sz w:val="18"/>
                <w:szCs w:val="18"/>
                <w:b w:val="1"/>
                <w:bCs w:val="1"/>
                <w:color w:val="auto"/>
                <w:w w:val="92"/>
              </w:rPr>
              <w:t>($ in thousands, except</w:t>
            </w: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0"/>
                <w:szCs w:val="20"/>
                <w:color w:val="auto"/>
              </w:rPr>
            </w:pPr>
          </w:p>
        </w:tc>
        <w:tc>
          <w:tcPr>
            <w:tcW w:w="23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per share amounts)</w:t>
            </w: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403,257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368,121</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240,669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376,500</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643,926</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744,621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Costs of sales and operating expenses</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453,568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536,655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72,080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72,796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Taxes, other than on income</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11,406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55,786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Impairments and other charges</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433,341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disposition of assets</w:t>
            </w: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1,025,689</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672,515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(381,763)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72,106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(12,799)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Earnings (loss) before taxes on income</w:t>
            </w:r>
          </w:p>
        </w:tc>
        <w:tc>
          <w:tcPr>
            <w:tcW w:w="2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(391,839)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58,337</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taxes on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143,649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 (loss)</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(248,190)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44,457</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22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earnings (loss) attributable to Kirby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(248,468)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44,296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Net earnings (loss) per share attributable to Kirby common stockholders: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r>
      <w:tr>
        <w:trPr>
          <w:trHeight w:val="20"/>
        </w:trPr>
        <w:tc>
          <w:tcPr>
            <w:tcW w:w="8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CONDENSED STATEMENTS OF COMPREHENSIVE INCOME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(248,190)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(1,274)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 net of taxes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 net of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(249,382)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44,997</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Comprehensive income (loss) attributable to Kirby</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(249,660)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44,836</w:t>
            </w:r>
          </w:p>
        </w:tc>
        <w:tc>
          <w:tcPr>
            <w:tcW w:w="0" w:type="dxa"/>
            <w:vAlign w:val="bottom"/>
          </w:tcPr>
          <w:p>
            <w:pPr>
              <w:spacing w:after="0"/>
              <w:rPr>
                <w:sz w:val="1"/>
                <w:szCs w:val="1"/>
                <w:color w:val="auto"/>
              </w:rPr>
            </w:pPr>
          </w:p>
        </w:tc>
      </w:tr>
      <w:tr>
        <w:trPr>
          <w:trHeight w:val="20"/>
        </w:trPr>
        <w:tc>
          <w:tcPr>
            <w:tcW w:w="8680" w:type="dxa"/>
            <w:vAlign w:val="bottom"/>
            <w:vMerge w:val="restart"/>
          </w:tcPr>
          <w:p>
            <w:pPr>
              <w:jc w:val="center"/>
              <w:ind w:left="247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STATEMENTS OF CASH FLOWS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(248,190)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earnings (loss) to net cash provided by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55,786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55,223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Provision (benefit) for deferred income taxes</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(6,082)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Impairments and other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unearned share-based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major maintenance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 cash flows resulting from changes in operating assets and liabilities,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(175,900)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(81,737)</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71,501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38,529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(49,225)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(60,932)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Acquisitions of businesses and marine equipment</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(60,422)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(247,470)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disposition of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(105,654)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(295,215)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(payments) on bank credit facilities,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(240,801)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Borrowings on long-term debt</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debt issue costs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related to tax withholding for 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(3,165)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331,987</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256,175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24,737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322,571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(received) during the period: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21,734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refunded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Operating cash outflow from operating leases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9,738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investing activity: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Capital expenditures included in accounts payable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(2,707)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Right-of-use assets obtained in exchange for lease obligations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gridSpan w:val="6"/>
            <w:vMerge w:val="restart"/>
          </w:tcPr>
          <w:p>
            <w:pPr>
              <w:ind w:left="28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186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38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Retained</w:t>
            </w:r>
          </w:p>
        </w:tc>
        <w:tc>
          <w:tcPr>
            <w:tcW w:w="1980" w:type="dxa"/>
            <w:vAlign w:val="bottom"/>
            <w:gridSpan w:val="5"/>
            <w:vMerge w:val="continue"/>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Noncontrolling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Income, Net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0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Interests</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75"/>
              </w:rPr>
              <w:t>(in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December 31,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6,547</w:t>
            </w:r>
          </w:p>
        </w:tc>
        <w:tc>
          <w:tcPr>
            <w:tcW w:w="8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835,899</w:t>
            </w:r>
          </w:p>
        </w:tc>
        <w:tc>
          <w:tcPr>
            <w:tcW w:w="120" w:type="dxa"/>
            <w:vAlign w:val="bottom"/>
            <w:shd w:val="clear" w:color="auto" w:fill="CCEEFF"/>
          </w:tcPr>
          <w:p>
            <w:pPr>
              <w:spacing w:after="0"/>
              <w:rPr>
                <w:sz w:val="20"/>
                <w:szCs w:val="20"/>
                <w:color w:val="auto"/>
              </w:rPr>
            </w:pPr>
          </w:p>
        </w:tc>
        <w:tc>
          <w:tcPr>
            <w:tcW w:w="1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(37,799)</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6"/>
              </w:rPr>
              <w:t>$ 2,865,939</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(301,963)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3,371,592</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Stock option</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exercises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for</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equity awards,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(3,377)</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Tax</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withholdings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on equity</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award vesting</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5,331</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w w:val="95"/>
              </w:rPr>
              <w:t>comprehensive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loss, net of</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taxes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(1,192)</w:t>
            </w:r>
          </w:p>
        </w:tc>
        <w:tc>
          <w:tcPr>
            <w:tcW w:w="1160" w:type="dxa"/>
            <w:vAlign w:val="bottom"/>
            <w:gridSpan w:val="5"/>
          </w:tcPr>
          <w:p>
            <w:pPr>
              <w:jc w:val="right"/>
              <w:ind w:right="160"/>
              <w:spacing w:after="0"/>
              <w:rPr>
                <w:sz w:val="20"/>
                <w:szCs w:val="20"/>
                <w:color w:val="auto"/>
              </w:rPr>
            </w:pPr>
            <w:r>
              <w:rPr>
                <w:rFonts w:ascii="Arial" w:cs="Arial" w:eastAsia="Arial" w:hAnsi="Arial"/>
                <w:sz w:val="18"/>
                <w:szCs w:val="18"/>
                <w:color w:val="auto"/>
              </w:rPr>
              <w:t>(248,468)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(249,382)</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Return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to</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2"/>
        </w:trPr>
        <w:tc>
          <w:tcPr>
            <w:tcW w:w="1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w:t>
            </w: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2020</w:t>
            </w:r>
          </w:p>
        </w:tc>
        <w:tc>
          <w:tcPr>
            <w:tcW w:w="760" w:type="dxa"/>
            <w:vAlign w:val="bottom"/>
          </w:tcPr>
          <w:p>
            <w:pPr>
              <w:jc w:val="right"/>
              <w:spacing w:after="0"/>
              <w:rPr>
                <w:sz w:val="20"/>
                <w:szCs w:val="20"/>
                <w:color w:val="auto"/>
              </w:rPr>
            </w:pPr>
            <w:r>
              <w:rPr>
                <w:rFonts w:ascii="Arial" w:cs="Arial" w:eastAsia="Arial" w:hAnsi="Arial"/>
                <w:sz w:val="18"/>
                <w:szCs w:val="18"/>
                <w:color w:val="auto"/>
              </w:rPr>
              <w:t>65,472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837,879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(38,991)</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$ 2,617,471</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(5,475)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(301,424)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3,124,527</w:t>
            </w: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gridSpan w:val="6"/>
            <w:vMerge w:val="restart"/>
          </w:tcPr>
          <w:p>
            <w:pPr>
              <w:ind w:left="28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186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Retained</w:t>
            </w:r>
          </w:p>
        </w:tc>
        <w:tc>
          <w:tcPr>
            <w:tcW w:w="1980" w:type="dxa"/>
            <w:vAlign w:val="bottom"/>
            <w:gridSpan w:val="5"/>
            <w:vMerge w:val="continue"/>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Noncontrolling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88"/>
              </w:rPr>
              <w:t>Amount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Income, Net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10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Interests</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75"/>
              </w:rPr>
              <w:t>(in thousands)</w:t>
            </w: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823,347</w:t>
            </w: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(33,511)</w:t>
            </w:r>
          </w:p>
        </w:tc>
        <w:tc>
          <w:tcPr>
            <w:tcW w:w="11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8"/>
              </w:rPr>
              <w:t>$ 2,723,592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(306,788)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3,216,301</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Stock option</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exercises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for</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equity awards,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Tax</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withholdings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on equity</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award vesting</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4,900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w w:val="95"/>
              </w:rPr>
              <w:t>comprehensive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income, net of</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taxes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540</w:t>
            </w:r>
          </w:p>
        </w:tc>
        <w:tc>
          <w:tcPr>
            <w:tcW w:w="1160" w:type="dxa"/>
            <w:vAlign w:val="bottom"/>
            <w:gridSpan w:val="5"/>
          </w:tcPr>
          <w:p>
            <w:pPr>
              <w:jc w:val="right"/>
              <w:ind w:right="200"/>
              <w:spacing w:after="0"/>
              <w:rPr>
                <w:sz w:val="20"/>
                <w:szCs w:val="20"/>
                <w:color w:val="auto"/>
              </w:rPr>
            </w:pPr>
            <w:r>
              <w:rPr>
                <w:rFonts w:ascii="Arial" w:cs="Arial" w:eastAsia="Arial" w:hAnsi="Arial"/>
                <w:sz w:val="18"/>
                <w:szCs w:val="18"/>
                <w:color w:val="auto"/>
              </w:rPr>
              <w:t>44,296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44,997</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Return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to</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2"/>
        </w:trPr>
        <w:tc>
          <w:tcPr>
            <w:tcW w:w="1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w:t>
            </w: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2019</w:t>
            </w:r>
          </w:p>
        </w:tc>
        <w:tc>
          <w:tcPr>
            <w:tcW w:w="760" w:type="dxa"/>
            <w:vAlign w:val="bottom"/>
          </w:tcPr>
          <w:p>
            <w:pPr>
              <w:jc w:val="right"/>
              <w:spacing w:after="0"/>
              <w:rPr>
                <w:sz w:val="20"/>
                <w:szCs w:val="20"/>
                <w:color w:val="auto"/>
              </w:rPr>
            </w:pPr>
            <w:r>
              <w:rPr>
                <w:rFonts w:ascii="Arial" w:cs="Arial" w:eastAsia="Arial" w:hAnsi="Arial"/>
                <w:sz w:val="18"/>
                <w:szCs w:val="18"/>
                <w:color w:val="auto"/>
              </w:rPr>
              <w:t>65,472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6,547</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827,497</w:t>
            </w: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(32,971)</w:t>
            </w:r>
          </w:p>
        </w:tc>
        <w:tc>
          <w:tcPr>
            <w:tcW w:w="1160" w:type="dxa"/>
            <w:vAlign w:val="bottom"/>
            <w:gridSpan w:val="5"/>
          </w:tcPr>
          <w:p>
            <w:pPr>
              <w:jc w:val="right"/>
              <w:ind w:right="200"/>
              <w:spacing w:after="0"/>
              <w:rPr>
                <w:sz w:val="20"/>
                <w:szCs w:val="20"/>
                <w:color w:val="auto"/>
              </w:rPr>
            </w:pPr>
            <w:r>
              <w:rPr>
                <w:rFonts w:ascii="Arial" w:cs="Arial" w:eastAsia="Arial" w:hAnsi="Arial"/>
                <w:sz w:val="18"/>
                <w:szCs w:val="18"/>
                <w:color w:val="auto"/>
                <w:w w:val="98"/>
              </w:rPr>
              <w:t>$ 2,767,888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(5,599)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(306,625)</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3,265,408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64" w:orient="portrait"/>
          <w:cols w:equalWidth="0" w:num="1">
            <w:col w:w="11240"/>
          </w:cols>
          <w:pgMar w:left="320" w:top="364" w:right="3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5"/>
          <w:szCs w:val="15"/>
          <w:color w:val="auto"/>
        </w:rPr>
        <w:t>See accompanying notes to condensed financial statements.</w:t>
      </w:r>
    </w:p>
    <w:p>
      <w:pPr>
        <w:sectPr>
          <w:pgSz w:w="11900" w:h="16838" w:orient="portrait"/>
          <w:cols w:equalWidth="0" w:num="1">
            <w:col w:w="9019"/>
          </w:cols>
          <w:pgMar w:left="1440" w:top="368"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Preparation of the Condensed Financial Statements</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condensed financial statements included herein have been prepared by Kirby Corporation and its consolidated subsidiaries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2019. Certain reclassifications have been made to reflect the current presentation of financial information.</w:t>
      </w:r>
    </w:p>
    <w:p>
      <w:pPr>
        <w:spacing w:after="0" w:line="20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Adoptions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which simplifies the accounting for income taxes by removing certain exceptions to the general principles in Topic 740, Income Taxes. The guidance is effective for fiscal years, and interim periods within those fiscal years, beginning after December 15, 2020. Early adoption is permitted. The Company is currently evaluating this guidance to determine the impact on its consolidated financial statements.</w:t>
      </w:r>
    </w:p>
    <w:p>
      <w:pPr>
        <w:spacing w:after="0" w:line="2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August 2018, the FASB issued ASU 2018-14, “Compensation – Retirement Benefits - Defined Benefit Plans – General (Subtopic 715-20): Disclosure Framework – Changes to the Disclosure Requirements for Defined Benefit Plans” which amends the annual disclosure requirements for employers that sponsor defined benefit pension or other postretirement plans by removing certain requirements, providing clarification on existing requirements and adding new requirements including adding an explanation of the reasons for significant gains and losses related to changes in the benefit obligation for the period. The guidance is effective for fiscal years ending after December 15, 2020. Early adoption is permitted. The amendments in this update are required to be applied on a retrospective basis to all periods presented. The Company is currently evaluating this guidance to determine the impact on its disclosures.</w:t>
      </w:r>
    </w:p>
    <w:p>
      <w:pPr>
        <w:spacing w:after="0" w:line="22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shall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The Company adopted ASU 2017-04 on January 1, 2020 on a prospective basis. See Note 8, Impairments and Other Charges for further details.</w:t>
      </w:r>
    </w:p>
    <w:p>
      <w:pPr>
        <w:spacing w:after="0" w:line="218"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During the three months ended March 31, 2020, the Company purchased three newly constructed inland pressure barges for $20,100,000 in cash.</w:t>
      </w:r>
    </w:p>
    <w:p>
      <w:pPr>
        <w:spacing w:after="0" w:line="2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January 3, 2020, the Company completed the acquisition of substantially all the assets of Convoy Servicing Company and Agility Fleet Services, LLC (collectively “Convoy”) for $40,322,000 in cash, reduced by a receivable due from Convoy of $3,142,000 recorded for post-closing adjustments that was settled in April 2020. Convoy is an authorized dealer for Thermo King refrigeration systems for trucks, railroad cars and other land transportation markets for North and East Texas and Colorado.</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left="500"/>
        <w:spacing w:after="0"/>
        <w:rPr>
          <w:sz w:val="20"/>
          <w:szCs w:val="20"/>
          <w:color w:val="auto"/>
        </w:rPr>
      </w:pPr>
      <w:r>
        <w:rPr>
          <w:rFonts w:ascii="Arial" w:cs="Arial" w:eastAsia="Arial" w:hAnsi="Arial"/>
          <w:sz w:val="17"/>
          <w:szCs w:val="17"/>
          <w:color w:val="auto"/>
        </w:rPr>
        <w:t>The fair values of the assets acquired and liabilities assumed from Convoy recorded at the acquisition date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10,309</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49,232</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8,339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020" w:type="dxa"/>
            <w:vAlign w:val="bottom"/>
          </w:tcPr>
          <w:p>
            <w:pPr>
              <w:ind w:left="48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37,180</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acquired intangible assets with a weighted average amortization period of 11 years, consisting of $9,000,000 for customer relationships with an amortization period of 10 years, $8,000,000 for distributorships with an amortization period of 12 years and $170,000 for non-compete agreements with an amortization period of three years.</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 forma results of the acquisitions made in the 2020 first quarter have not been presented as the pro forma revenues and net earnings attributable to Kirby would not be materially different from the Company’s actual results.</w:t>
      </w:r>
    </w:p>
    <w:p>
      <w:pPr>
        <w:spacing w:after="0" w:line="19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Company’s revenues by major source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Marine transportation segment: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Inland transportation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283,085</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Coastal transportation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84,692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85,036</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403,257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368,121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Distribution and services segment: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and gas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223,101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161,991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153,399</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i w:val="1"/>
          <w:iCs w:val="1"/>
          <w:color w:val="auto"/>
        </w:rPr>
        <w:t>Contract Assets and Liabilities</w:t>
      </w:r>
      <w:r>
        <w:rPr>
          <w:rFonts w:ascii="Arial" w:cs="Arial" w:eastAsia="Arial" w:hAnsi="Arial"/>
          <w:sz w:val="16"/>
          <w:szCs w:val="16"/>
          <w:color w:val="auto"/>
        </w:rPr>
        <w:t>. Contract liabilities represent advance consideration received from customers, and are recognized as revenue over</w:t>
      </w:r>
      <w:r>
        <w:rPr>
          <w:rFonts w:ascii="Arial" w:cs="Arial" w:eastAsia="Arial" w:hAnsi="Arial"/>
          <w:sz w:val="16"/>
          <w:szCs w:val="16"/>
          <w:i w:val="1"/>
          <w:iCs w:val="1"/>
          <w:color w:val="auto"/>
        </w:rPr>
        <w:t xml:space="preserve"> </w:t>
      </w:r>
      <w:r>
        <w:rPr>
          <w:rFonts w:ascii="Arial" w:cs="Arial" w:eastAsia="Arial" w:hAnsi="Arial"/>
          <w:sz w:val="16"/>
          <w:szCs w:val="16"/>
          <w:color w:val="auto"/>
        </w:rPr>
        <w:t>time as the related performance obligation is satisfied. Revenues recognized in the 2020 and 2019 first quarters that were included in the opening contract liability balances were $32,386,000 and $50,921,000, respectively. The Company presents all contract liabilities within the deferred revenues financial statement caption on the balance sheets. The Company did not have any contract assets at March 31, 2020 or December 31, 2019.</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applies the practical expedient that allows non-disclosure of information about remaining performance obligations that have original expected durations of one year or less.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i w:val="1"/>
          <w:iCs w:val="1"/>
          <w:color w:val="auto"/>
        </w:rPr>
        <w:t xml:space="preserve">Marine Transportation </w:t>
      </w:r>
      <w:r>
        <w:rPr>
          <w:rFonts w:ascii="Arial" w:cs="Arial" w:eastAsia="Arial" w:hAnsi="Arial"/>
          <w:sz w:val="16"/>
          <w:szCs w:val="16"/>
          <w:color w:val="auto"/>
        </w:rPr>
        <w:t>— Provides marine transportation principally by United States flag vessels of liquid cargoes throughout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inland 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1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i w:val="1"/>
          <w:iCs w:val="1"/>
          <w:color w:val="auto"/>
        </w:rPr>
        <w:t xml:space="preserve">Distribution and Services </w:t>
      </w:r>
      <w:r>
        <w:rPr>
          <w:rFonts w:ascii="Arial" w:cs="Arial" w:eastAsia="Arial" w:hAnsi="Arial"/>
          <w:sz w:val="17"/>
          <w:szCs w:val="17"/>
          <w:color w:val="auto"/>
        </w:rPr>
        <w:t>— Provides after-market services and parts for engines, transmissions, reduction gears and related equipment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oilfield service,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r>
        <w:rPr>
          <w:rFonts w:ascii="Arial" w:cs="Arial" w:eastAsia="Arial" w:hAnsi="Arial"/>
          <w:sz w:val="17"/>
          <w:szCs w:val="17"/>
          <w:i w:val="1"/>
          <w:iCs w:val="1"/>
          <w:color w:val="auto"/>
        </w:rPr>
        <w:t>.</w:t>
      </w:r>
    </w:p>
    <w:p>
      <w:pPr>
        <w:spacing w:after="0" w:line="19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$10,286,000 and $7,535,000 for the three months ended March 31, 2020 and 2019, respectively, as well as the related intersegment profit of $1,029,000 and $754,000 for the three months ending March 31, 2020 and 2019, respectively, have been eliminated from the tables below.</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set forth the Company’s revenues and profit or loss by reportable segment and total assets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368,121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240,669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376,500</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643,926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744,621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Segment profit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35,424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37,609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(446,273)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(14,696)</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(391,839)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58,337</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5" w:lineRule="exact"/>
        <w:rPr>
          <w:sz w:val="20"/>
          <w:szCs w:val="20"/>
          <w:color w:val="auto"/>
        </w:rPr>
      </w:pPr>
    </w:p>
    <w:p>
      <w:pPr>
        <w:jc w:val="center"/>
        <w:ind w:left="8840"/>
        <w:spacing w:after="0"/>
        <w:rPr>
          <w:sz w:val="20"/>
          <w:szCs w:val="20"/>
          <w:color w:val="auto"/>
        </w:rPr>
      </w:pPr>
      <w:r>
        <w:rPr>
          <w:rFonts w:ascii="Arial" w:cs="Arial" w:eastAsia="Arial" w:hAnsi="Arial"/>
          <w:sz w:val="17"/>
          <w:szCs w:val="17"/>
          <w:b w:val="1"/>
          <w:bCs w:val="1"/>
          <w:color w:val="auto"/>
        </w:rPr>
        <w:t>March 31,</w:t>
      </w:r>
    </w:p>
    <w:p>
      <w:pPr>
        <w:spacing w:after="0" w:line="39" w:lineRule="exact"/>
        <w:rPr>
          <w:sz w:val="20"/>
          <w:szCs w:val="20"/>
          <w:color w:val="auto"/>
        </w:rPr>
      </w:pPr>
    </w:p>
    <w:p>
      <w:pPr>
        <w:jc w:val="center"/>
        <w:ind w:left="884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2019</w:t>
      </w:r>
    </w:p>
    <w:p>
      <w:pPr>
        <w:spacing w:after="0" w:line="9" w:lineRule="exact"/>
        <w:rPr>
          <w:sz w:val="20"/>
          <w:szCs w:val="20"/>
          <w:color w:val="auto"/>
        </w:rPr>
      </w:pPr>
    </w:p>
    <w:p>
      <w:pPr>
        <w:sectPr>
          <w:pgSz w:w="11900" w:h="16838" w:orient="portrait"/>
          <w:cols w:equalWidth="0" w:num="2">
            <w:col w:w="9640" w:space="420"/>
            <w:col w:w="118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assets:</w:t>
            </w:r>
          </w:p>
        </w:tc>
        <w:tc>
          <w:tcPr>
            <w:tcW w:w="49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5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4,565,489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4,536,368</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1,015,924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1,422,394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120,335</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Pr>
          <w:p>
            <w:pPr>
              <w:spacing w:after="0"/>
              <w:rPr>
                <w:sz w:val="18"/>
                <w:szCs w:val="18"/>
                <w:color w:val="auto"/>
              </w:rPr>
            </w:pPr>
          </w:p>
        </w:tc>
        <w:tc>
          <w:tcPr>
            <w:tcW w:w="5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6,137,577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6,079,097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900" w:type="dxa"/>
            <w:vAlign w:val="bottom"/>
            <w:vMerge w:val="restart"/>
          </w:tcPr>
          <w:p>
            <w:pPr>
              <w:jc w:val="right"/>
              <w:ind w:right="2936"/>
              <w:spacing w:after="0"/>
              <w:rPr>
                <w:sz w:val="20"/>
                <w:szCs w:val="20"/>
                <w:color w:val="auto"/>
              </w:rPr>
            </w:pPr>
            <w:r>
              <w:rPr>
                <w:rFonts w:ascii="Arial" w:cs="Arial" w:eastAsia="Arial" w:hAnsi="Arial"/>
                <w:sz w:val="14"/>
                <w:szCs w:val="14"/>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37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780" w:type="dxa"/>
            <w:vAlign w:val="bottom"/>
            <w:tcBorders>
              <w:bottom w:val="single" w:sz="8" w:color="auto"/>
            </w:tcBorders>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The following table presents the details of “Other” segment loss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(12,799)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 and other charges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(433,341)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Gain on disposition of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8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(446,273)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(14,696)</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8320" w:type="dxa"/>
            <w:vAlign w:val="bottom"/>
            <w:vMerge w:val="restart"/>
          </w:tcPr>
          <w:p>
            <w:pPr>
              <w:ind w:left="140"/>
              <w:spacing w:after="0"/>
              <w:rPr>
                <w:sz w:val="20"/>
                <w:szCs w:val="20"/>
                <w:color w:val="auto"/>
              </w:rPr>
            </w:pPr>
            <w:r>
              <w:rPr>
                <w:rFonts w:ascii="Arial" w:cs="Arial" w:eastAsia="Arial" w:hAnsi="Arial"/>
                <w:sz w:val="18"/>
                <w:szCs w:val="18"/>
                <w:color w:val="auto"/>
              </w:rPr>
              <w:t>The following table presents the details of “Other” total assets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60" w:type="dxa"/>
            <w:vAlign w:val="bottom"/>
          </w:tcPr>
          <w:p>
            <w:pPr>
              <w:spacing w:after="0"/>
              <w:rPr>
                <w:sz w:val="24"/>
                <w:szCs w:val="24"/>
                <w:color w:val="auto"/>
              </w:rPr>
            </w:pPr>
          </w:p>
        </w:tc>
        <w:tc>
          <w:tcPr>
            <w:tcW w:w="8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Investment in affiliates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556,164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120,335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0" w:type="dxa"/>
            <w:vAlign w:val="bottom"/>
          </w:tcPr>
          <w:p>
            <w:pPr>
              <w:spacing w:after="0"/>
              <w:rPr>
                <w:sz w:val="20"/>
                <w:szCs w:val="20"/>
                <w:color w:val="auto"/>
              </w:rPr>
            </w:pPr>
            <w:r>
              <w:rPr>
                <w:rFonts w:ascii="Arial" w:cs="Arial" w:eastAsia="Arial" w:hAnsi="Arial"/>
                <w:sz w:val="18"/>
                <w:szCs w:val="18"/>
                <w:b w:val="1"/>
                <w:bCs w:val="1"/>
                <w:color w:val="auto"/>
              </w:rPr>
              <w:t>(6)</w:t>
            </w:r>
          </w:p>
        </w:tc>
        <w:tc>
          <w:tcPr>
            <w:tcW w:w="8320" w:type="dxa"/>
            <w:vAlign w:val="bottom"/>
          </w:tcPr>
          <w:p>
            <w:pPr>
              <w:ind w:left="140"/>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has an amended and restated credit agreement (the “Credit Agreement”) with a group of commercial banks, with JPMorgan Chase Bank, N.A. as the administrative agent bank, allowing for an $850,000,000 unsecured revolving credit facility (“Revolving Credit Facility”) and an unsecured term loan (“Term Loan”) with a maturity date of March 27, 2024. The Term Loan is repayable in quarterly installments currently scheduled to commence September 30, 2023, with $343,750,000 due on March 27, 2024. The Term Loan is prepayable, in whole or in part, without penalty. As of March 31, 2020, the Company had outstanding borrowings of $485,000,000 and availability of $359,637,000 under the Revolving Credit Facility and borrowings of $375,000,000 under the Term Loan. The interest rates under the Revolving Credit Facility and Term Loan were 1.9% and 2.1%, respectively, at March 31, 2020.</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February 27, 2020, upon maturity, the Company repaid in full $150,000,000 of 2.72% unsecured senior notes.</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estimated fair value of total debt outstanding at March 31, 2020 and December 31, 2019 was $1,810,159,000 and $1,421,325,000, respectively, which differs from the carrying amount of $1,702,493,000 and $1,369,767,000, respectively, included in the consolidated financial statements. The fair value of debt outstanding was determined using inputs characteristic of a Level 2 fair value measurement.</w:t>
      </w:r>
    </w:p>
    <w:p>
      <w:pPr>
        <w:spacing w:after="0" w:line="207"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currently leases various facilities and equipment under cancelable and noncancelable operating leases. The accounting for the Company’s leases may require judgments, which include determining whether a contract contains a lease, allocated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75% of the costs relate to service costs and other non-lease components. Variable lease costs relate primarily to real estate executory costs (i.e. taxes, insurance and maintenance).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jc w:val="both"/>
        <w:ind w:firstLine="486"/>
        <w:spacing w:after="0" w:line="277"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87"/>
              </w:rPr>
              <w:t>December 31,</w:t>
            </w:r>
          </w:p>
        </w:tc>
      </w:tr>
      <w:tr>
        <w:trPr>
          <w:trHeight w:val="241"/>
        </w:trPr>
        <w:tc>
          <w:tcPr>
            <w:tcW w:w="4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2021</w:t>
            </w:r>
          </w:p>
        </w:tc>
        <w:tc>
          <w:tcPr>
            <w:tcW w:w="8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27,479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25,911</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2023</w:t>
            </w:r>
          </w:p>
        </w:tc>
        <w:tc>
          <w:tcPr>
            <w:tcW w:w="8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20,492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19,162</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15,330</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94,868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92,991</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209,402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209,866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(44,615)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(43,085)</w:t>
            </w:r>
          </w:p>
        </w:tc>
      </w:tr>
      <w:tr>
        <w:trPr>
          <w:trHeight w:val="257"/>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164,787</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44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The following table sets forth lease costs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4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tcBorders>
              <w:bottom w:val="single" w:sz="8" w:color="auto"/>
            </w:tcBorders>
            <w:gridSpan w:val="9"/>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44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10,078</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7,892</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Sublease income</w:t>
            </w:r>
          </w:p>
        </w:tc>
        <w:tc>
          <w:tcPr>
            <w:tcW w:w="12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56"/>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17,226</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44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9"/>
              </w:rPr>
              <w:t>The following table summarizes other supplemental information about the Company’s operating leases: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4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rPr>
              <w:t>March 31,</w:t>
            </w:r>
          </w:p>
        </w:tc>
        <w:tc>
          <w:tcPr>
            <w:tcW w:w="13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7"/>
              </w:rPr>
              <w:t>December 31,</w:t>
            </w:r>
          </w:p>
        </w:tc>
      </w:tr>
      <w:tr>
        <w:trPr>
          <w:trHeight w:val="241"/>
        </w:trPr>
        <w:tc>
          <w:tcPr>
            <w:tcW w:w="4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Weighted average remaining lease term</w:t>
            </w:r>
          </w:p>
        </w:tc>
        <w:tc>
          <w:tcPr>
            <w:tcW w:w="12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11 years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 years</w:t>
            </w:r>
          </w:p>
        </w:tc>
      </w:tr>
      <w:tr>
        <w:trPr>
          <w:trHeight w:val="445"/>
        </w:trPr>
        <w:tc>
          <w:tcPr>
            <w:tcW w:w="440" w:type="dxa"/>
            <w:vAlign w:val="bottom"/>
          </w:tcPr>
          <w:p>
            <w:pPr>
              <w:spacing w:after="0"/>
              <w:rPr>
                <w:sz w:val="20"/>
                <w:szCs w:val="20"/>
                <w:color w:val="auto"/>
              </w:rPr>
            </w:pPr>
            <w:r>
              <w:rPr>
                <w:rFonts w:ascii="Arial" w:cs="Arial" w:eastAsia="Arial" w:hAnsi="Arial"/>
                <w:sz w:val="18"/>
                <w:szCs w:val="18"/>
                <w:b w:val="1"/>
                <w:bCs w:val="1"/>
                <w:color w:val="auto"/>
              </w:rPr>
              <w:t>(8)</w:t>
            </w:r>
          </w:p>
        </w:tc>
        <w:tc>
          <w:tcPr>
            <w:tcW w:w="8240" w:type="dxa"/>
            <w:vAlign w:val="bottom"/>
            <w:gridSpan w:val="2"/>
          </w:tcPr>
          <w:p>
            <w:pPr>
              <w:ind w:left="60"/>
              <w:spacing w:after="0"/>
              <w:rPr>
                <w:sz w:val="20"/>
                <w:szCs w:val="20"/>
                <w:color w:val="auto"/>
              </w:rPr>
            </w:pPr>
            <w:r>
              <w:rPr>
                <w:rFonts w:ascii="Arial" w:cs="Arial" w:eastAsia="Arial" w:hAnsi="Arial"/>
                <w:sz w:val="18"/>
                <w:szCs w:val="18"/>
                <w:b w:val="1"/>
                <w:bCs w:val="1"/>
                <w:color w:val="auto"/>
              </w:rPr>
              <w:t>Impairments and Other Charges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the 2020 first quarter, Kirby’s market capitalization declined significantly compared to the 2019 fourth quarter. Over the same period, the overall United States stock market also declined significantly amid market volatility. In addition, as a result of uncertainty surrounding the outbreak of COVID-19 and a sharp decline in oil prices during the 2020 first quarter, many of the Company’s oil and gas customers responded by quickly cutting 2020 capital spending budgets and activity levels quickly declined. Lower activity levels have resulted in a decline in drilling activity, resulting in lower demand for new and remanufactured oilfield equipment and related parts and service in the distribution and services segment. As a result, the Company concluded that a triggering event had occurred and performed interim quantitative impairment tests as of March 31, 2020 for certain of the distribution and services segment’s long-lived assets and goodwill.</w:t>
      </w:r>
    </w:p>
    <w:p>
      <w:pPr>
        <w:spacing w:after="0" w:line="22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determined the estimated fair value of such long-lived assets and reporting units using a discounted cash flow analysis and a market approach for comparable companies. This analysis included management’s judgment regarding short-term and long-term internal forecasts, updated for recent events, appropriate discount rates, and capital expenditures using inputs characteristic of a Level 3 fair value measurement.</w:t>
      </w:r>
    </w:p>
    <w:p>
      <w:pPr>
        <w:spacing w:after="0" w:line="192"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In performing the impairment test of long-lived assets within the distribution and services segment, the Company determined that the carrying value of certain long-lived assets, including property and equipment as well as intangible assets associated with customer relationships, tradenames, and distributorships, were no longer recoverable, resulting in an impairment charge of $165,304,000 to reduce such long-lived assets to fair value.</w:t>
      </w:r>
    </w:p>
    <w:p>
      <w:pPr>
        <w:spacing w:after="0" w:line="19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Based upon the results of the goodwill impairment test, the Company concluded that the carrying value of one reporting unit in the distribution and services segment exceeded its estimated fair value. The goodwill impairment charge of $260,037,000 was calculated as the amount that the carrying value of the reporting unit, including goodwill, and after recording impairments of long-lived assets identified above, exceeded its estimated fair value.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jc w:val="both"/>
        <w:ind w:firstLine="486"/>
        <w:spacing w:after="0" w:line="277" w:lineRule="auto"/>
        <w:rPr>
          <w:sz w:val="20"/>
          <w:szCs w:val="20"/>
          <w:color w:val="auto"/>
        </w:rPr>
      </w:pPr>
      <w:r>
        <w:rPr>
          <w:rFonts w:ascii="Arial" w:cs="Arial" w:eastAsia="Arial" w:hAnsi="Arial"/>
          <w:sz w:val="18"/>
          <w:szCs w:val="18"/>
          <w:color w:val="auto"/>
        </w:rPr>
        <w:t>In addition, the Company determined cost exceeded net realizable value for certain oilfield and pressure pumping related inventory, resulting in an $8,000,000 non-cash write-down.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The following table summarizes the changes in goodwill (in thousands):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7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Marine</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Distribution and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16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Services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 (gross)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424,149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549,846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973,995</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ind w:left="180"/>
              <w:spacing w:after="0"/>
              <w:rPr>
                <w:sz w:val="20"/>
                <w:szCs w:val="20"/>
                <w:color w:val="auto"/>
              </w:rPr>
            </w:pPr>
            <w:r>
              <w:rPr>
                <w:rFonts w:ascii="Arial" w:cs="Arial" w:eastAsia="Arial" w:hAnsi="Arial"/>
                <w:sz w:val="18"/>
                <w:szCs w:val="18"/>
                <w:color w:val="auto"/>
              </w:rPr>
              <w:t>Accumulated impairment and amortization</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(18,574)</w:t>
            </w: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(1,595)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(20,169)</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405,575</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548,251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953,826</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(260,037)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(260,037)</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Convoy acquisition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10,309</w:t>
            </w:r>
          </w:p>
        </w:tc>
      </w:tr>
      <w:tr>
        <w:trPr>
          <w:trHeight w:val="27"/>
        </w:trPr>
        <w:tc>
          <w:tcPr>
            <w:tcW w:w="7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Balance at March 31, 2020 (gross)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424,149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560,155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984,304</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impairment and amortization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(261,632)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(280,206)</w:t>
            </w:r>
          </w:p>
        </w:tc>
      </w:tr>
      <w:tr>
        <w:trPr>
          <w:trHeight w:val="27"/>
        </w:trPr>
        <w:tc>
          <w:tcPr>
            <w:tcW w:w="7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405,575</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298,523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704,098</w:t>
            </w:r>
          </w:p>
        </w:tc>
      </w:tr>
      <w:tr>
        <w:trPr>
          <w:trHeight w:val="20"/>
        </w:trPr>
        <w:tc>
          <w:tcPr>
            <w:tcW w:w="7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w:t>
        <w:tab/>
        <w:t>Stock Award Plans</w:t>
      </w:r>
    </w:p>
    <w:p>
      <w:pPr>
        <w:spacing w:after="0" w:line="2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March 31, 2020, the Company granted 151,845 restricted stock units (“RSUs”) and 114,600 stock options to selected officers and other key employees under its employee stock award plan. The RSUs vest ratably over five years and the stock options become exercisable ratably over three years and expire after seven years.</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May 2020, the Company granted 39,913 shares of restricted stock to nonemployee directors of the Company under the director stock award plan. The restricted stock vests six months after the date of grant except that restricted stock granted in lieu of cash director fees vests in equal quarterly increments through March 31, 2021.</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5,331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1,262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r>
    </w:tbl>
    <w:p>
      <w:pPr>
        <w:spacing w:after="0" w:line="21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March 27, 2020, the United States Congress passed and the President signed the Coronavirus Aid, Relief, and Economic Security Act (“CARES Act”) into law to address the COVID-19 pandemic. One provision of the CARES Act allows net operating losses generated in 2018 through 2020 to be carried back up to five years. Pursuant to this provision of the CARES Act, the Company recorded a federal current benefit for taxes on income for the three months ended March 31, 2020 due to carrying back net operating losses generated between 2018 and 2020 used to offset taxable income generated between 2013 and 2017. This caused a reduction in the effective tax rate during the three months ended March 31, 2020 as net operating losses carried back to tax years 2013 through 2017 are applied at a federal tax rate of 35% applicable to those tax years, compared to a 21% tax rate effective at March 31, 2020. Net operating losses generated in 2018 and 2019 were used to offset taxable income generated between 2013 and 2017 taxed at 35% resulting in a tax benefit of $50,284,000. As a result, during the three months ended March 31, 2020, the Company’s deferred tax asset related to federal net operating losses decreased by $77,262,000.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18"/>
          <w:szCs w:val="18"/>
          <w:color w:val="auto"/>
        </w:rPr>
        <w:t>Earnings (loss) before taxes on income and details of the provision (benefit) for taxes on income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Earnings (loss) before taxes on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(391,556)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58,752</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Provision (benefit) for taxes on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(137,696)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(143,649)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13,880</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components of basic and diluted earnings (loss) per share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attributable to Kirby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available to Kirby common stockholders – basic</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(248,468)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reallocated to restricted shares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(loss) available to Kirby common stockholders – diluted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(248,468)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44,177</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outstanding: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issued and outstanding</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59,869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Weighted average unvested restricted stock</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 – basic</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 units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diluted</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attributable to Kirby common stockholders: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0"/>
                <w:szCs w:val="20"/>
                <w:color w:val="auto"/>
              </w:rPr>
            </w:pP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Certain outstanding options to purchase approximately 681,000 and 479,000 shares of common stock were excluded in the computation of diluted earnings per share as of March 31, 2020 and 2019, respectively, as such stock options would have been antidilutive. Certain outstanding RSUs to convert to 344,000 and 1,000 shares of common stock were also excluded in the computation of diluted earnings per share as of March 31, 2020 and 2019, respectively, as such RSUs would have been antidilutive.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details of inventories – net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291,214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66,728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60,187</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341,498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2020.</w:t>
      </w:r>
    </w:p>
    <w:p>
      <w:pPr>
        <w:spacing w:after="0" w:line="21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a contribution of $483,000 to the Higman pension plan in the 2020 first quarter for the 2019 plan year. In addition, the Company made a contribution of $479,000 to the Higman pension plan during April 2020 for the 2020 plan year. The Company expects to make an additional contribution of $314,000 to the Higman pension plan during 2020 for the 2019 plan year and contributions of $958,000 for the 2020 plan year.</w:t>
      </w:r>
    </w:p>
    <w:p>
      <w:pPr>
        <w:spacing w:after="0" w:line="2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color w:val="auto"/>
        </w:rPr>
        <w:t>The components of net periodic benefit cost for the Company’s defined benefit plans were as follows (in thousands):</w:t>
      </w:r>
    </w:p>
    <w:p>
      <w:pPr>
        <w:spacing w:after="0" w:line="248"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2746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jc w:val="right"/>
        <w:ind w:right="1100"/>
        <w:spacing w:after="0"/>
        <w:tabs>
          <w:tab w:leader="none" w:pos="440" w:val="left"/>
        </w:tabs>
        <w:rPr>
          <w:sz w:val="20"/>
          <w:szCs w:val="20"/>
          <w:color w:val="auto"/>
        </w:rPr>
      </w:pPr>
      <w:r>
        <w:rPr>
          <w:rFonts w:ascii="Arial" w:cs="Arial" w:eastAsia="Arial" w:hAnsi="Arial"/>
          <w:sz w:val="18"/>
          <w:szCs w:val="18"/>
          <w:b w:val="1"/>
          <w:bCs w:val="1"/>
          <w:color w:val="auto"/>
        </w:rPr>
        <w:t>Pension Plan</w:t>
      </w:r>
      <w:r>
        <w:rPr>
          <w:sz w:val="20"/>
          <w:szCs w:val="20"/>
          <w:color w:val="auto"/>
        </w:rPr>
        <w:tab/>
      </w:r>
      <w:r>
        <w:rPr>
          <w:rFonts w:ascii="Arial" w:cs="Arial" w:eastAsia="Arial" w:hAnsi="Arial"/>
          <w:sz w:val="16"/>
          <w:szCs w:val="16"/>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2746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36" w:lineRule="exact"/>
        <w:rPr>
          <w:sz w:val="20"/>
          <w:szCs w:val="20"/>
          <w:color w:val="auto"/>
        </w:rPr>
      </w:pPr>
    </w:p>
    <w:p>
      <w:pPr>
        <w:jc w:val="center"/>
        <w:ind w:left="61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159448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ind w:left="6360"/>
        <w:spacing w:after="0"/>
        <w:tabs>
          <w:tab w:leader="none" w:pos="77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5715</wp:posOffset>
            </wp:positionV>
            <wp:extent cx="15430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tabs>
          <w:tab w:leader="none" w:pos="130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50" w:lineRule="exact"/>
        <w:rPr>
          <w:sz w:val="20"/>
          <w:szCs w:val="20"/>
          <w:color w:val="auto"/>
        </w:rPr>
      </w:pPr>
    </w:p>
    <w:p>
      <w:pPr>
        <w:sectPr>
          <w:pgSz w:w="11900" w:h="16838" w:orient="portrait"/>
          <w:cols w:equalWidth="0" w:num="2">
            <w:col w:w="8360" w:space="720"/>
            <w:col w:w="216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4,207</w:t>
            </w:r>
          </w:p>
        </w:tc>
        <w:tc>
          <w:tcPr>
            <w:tcW w:w="5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(5,224)</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Amortization of actuarial loss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5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56"/>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periodic benefit cost for the Company’s postretirement benefit plan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120" w:type="dxa"/>
            <w:vAlign w:val="bottom"/>
            <w:gridSpan w:val="4"/>
          </w:tcPr>
          <w:p>
            <w:pPr>
              <w:jc w:val="center"/>
              <w:ind w:left="236"/>
              <w:spacing w:after="0"/>
              <w:rPr>
                <w:sz w:val="20"/>
                <w:szCs w:val="20"/>
                <w:color w:val="auto"/>
              </w:rPr>
            </w:pPr>
            <w:r>
              <w:rPr>
                <w:rFonts w:ascii="Arial" w:cs="Arial" w:eastAsia="Arial" w:hAnsi="Arial"/>
                <w:sz w:val="18"/>
                <w:szCs w:val="18"/>
                <w:b w:val="1"/>
                <w:bCs w:val="1"/>
                <w:color w:val="auto"/>
                <w:w w:val="91"/>
              </w:rPr>
              <w:t>Other Postretirement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7"/>
              </w:rPr>
              <w:t>Benefits</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2120" w:type="dxa"/>
            <w:vAlign w:val="bottom"/>
            <w:gridSpan w:val="4"/>
          </w:tcPr>
          <w:p>
            <w:pPr>
              <w:jc w:val="center"/>
              <w:ind w:left="236"/>
              <w:spacing w:after="0" w:line="198" w:lineRule="exact"/>
              <w:rPr>
                <w:sz w:val="20"/>
                <w:szCs w:val="20"/>
                <w:color w:val="auto"/>
              </w:rPr>
            </w:pPr>
            <w:r>
              <w:rPr>
                <w:rFonts w:ascii="Arial" w:cs="Arial" w:eastAsia="Arial" w:hAnsi="Arial"/>
                <w:sz w:val="18"/>
                <w:szCs w:val="18"/>
                <w:b w:val="1"/>
                <w:bCs w:val="1"/>
                <w:color w:val="auto"/>
                <w:w w:val="91"/>
              </w:rPr>
              <w:t>Postretirement Welfare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94"/>
              </w:rPr>
              <w:t>Plan</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2120" w:type="dxa"/>
            <w:vAlign w:val="bottom"/>
            <w:gridSpan w:val="4"/>
          </w:tcPr>
          <w:p>
            <w:pPr>
              <w:jc w:val="center"/>
              <w:ind w:left="256"/>
              <w:spacing w:after="0" w:line="198" w:lineRule="exact"/>
              <w:rPr>
                <w:sz w:val="20"/>
                <w:szCs w:val="20"/>
                <w:color w:val="auto"/>
              </w:rPr>
            </w:pPr>
            <w:r>
              <w:rPr>
                <w:rFonts w:ascii="Arial" w:cs="Arial" w:eastAsia="Arial" w:hAnsi="Arial"/>
                <w:sz w:val="18"/>
                <w:szCs w:val="18"/>
                <w:b w:val="1"/>
                <w:bCs w:val="1"/>
                <w:color w:val="auto"/>
                <w:w w:val="89"/>
              </w:rPr>
              <w:t>Three months ended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93"/>
              </w:rPr>
              <w:t>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actuarial gain</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(131)</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(135)</w:t>
            </w:r>
          </w:p>
        </w:tc>
      </w:tr>
      <w:tr>
        <w:trPr>
          <w:trHeight w:val="27"/>
        </w:trPr>
        <w:tc>
          <w:tcPr>
            <w:tcW w:w="86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periodic benefit cost</w:t>
            </w: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(125)</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(127)</w:t>
            </w:r>
          </w:p>
        </w:tc>
      </w:tr>
      <w:tr>
        <w:trPr>
          <w:trHeight w:val="20"/>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changes in other comprehensive income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w w:val="92"/>
              </w:rPr>
              <w:t>Three months ended March 31,</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7"/>
                <w:szCs w:val="17"/>
                <w:color w:val="auto"/>
              </w:rPr>
            </w:pPr>
          </w:p>
        </w:tc>
        <w:tc>
          <w:tcPr>
            <w:tcW w:w="116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Income Tax</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Provision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Net Amount</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Provision</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(1,274)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Actuarial gains/(losses) are amortized into other income (expense). (See Note 13, Retirement Plans)</w:t>
      </w:r>
    </w:p>
    <w:p>
      <w:pPr>
        <w:spacing w:after="0" w:line="248"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On May 10, 2019, two tank barges and a towboat, the M/V Voyager, owned and operated by Kirby Inland Marine, LP (“Kirby Inland Marine”), a</w:t>
      </w:r>
    </w:p>
    <w:p>
      <w:pPr>
        <w:spacing w:after="0" w:line="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wholly owned subsidiary of the Company, were struck by the LPG tanker, the Genesis River, in the Houston Ship Channel. The bow of the Genesis River penetrated the Kirby 30015T and capsized the MMI 3014. The collision penetrated the hull of the Kirby 30015T causing its cargo, reformate, to be discharged into the water. The United States Coast Guard (“USCG”) and the National Transportation Safety Board (“NTSB”) designated the owner and pilot of the Genesis River as well as the subsidiary of the Company as parties of interest in their investigation into the cause of the incident. On June 19, 2019, the Company filed a limitation action in the U.S. District Court of the Southern District of Texas - Galveston Division seeking limitation of liability and asserting that the Genesis River and her owner/manager are at fault for damages including removal costs and claims under the Oil Pollution Act of 1990 and maritime law. Multiple claimants have filed claims in the limitation seeking damages under the Oil Pollution Act of 1990. The Company has various insurance policies covering liabilities including pollution, marine and general liability and believes that it has satisfactory insurance coverage for the potential liabilities arising from the incident. The Company believes it has accrued adequate reserves for the incident and does not expect the incident to have a material adverse effect on its business or financial condition.</w:t>
      </w:r>
    </w:p>
    <w:p>
      <w:pPr>
        <w:sectPr>
          <w:pgSz w:w="11900" w:h="16838" w:orient="portrait"/>
          <w:cols w:equalWidth="0" w:num="1">
            <w:col w:w="11240"/>
          </w:cols>
          <w:pgMar w:left="320" w:top="368" w:right="339" w:bottom="1440" w:gutter="0" w:footer="0" w:header="0"/>
          <w:type w:val="continuous"/>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7" w:name="page18"/>
    <w:bookmarkEnd w:id="17"/>
    <w:p>
      <w:pPr>
        <w:jc w:val="both"/>
        <w:ind w:firstLine="486"/>
        <w:spacing w:after="0" w:line="268" w:lineRule="auto"/>
        <w:rPr>
          <w:sz w:val="20"/>
          <w:szCs w:val="20"/>
          <w:color w:val="auto"/>
        </w:rPr>
      </w:pPr>
      <w:r>
        <w:rPr>
          <w:rFonts w:ascii="Arial" w:cs="Arial" w:eastAsia="Arial" w:hAnsi="Arial"/>
          <w:sz w:val="17"/>
          <w:szCs w:val="17"/>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21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March 22, 2014, two tank barges and a towboat, the M/V Miss Susan, owned by Kirby Inland Marine, were involved in a collision with the M/S Summer Wind on the Houston Ship Channel near Texas City, Texas. The lead tank barge was damaged in the collision resulting in a discharge of intermediate fuel oil from one of its cargo tanks.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1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$23,219,000 at March 31, 2020, including $11,344,000 in letters of credit and $11,875,000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211"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April 1, 2020, the Company completed the acquisition of the inland tank barge fleet of Savage Inland Marine, LLC (“Savage”) for $277,931,000 in cash, subject to certain post-closing adjustments. Savage’s tank barge fleet consisted of 92 inland tank barges with approximately 2.6 million barrels of capacity and 46 inland towboats. The Savage assets that were acquired primarily move petrochemicals, refined products, and crude oil on the Mississippi River, its tributaries, and the Gulf Intracoastal Waterway. The Company also acquired Savage’s ship bunkering business and barge fleeting business along the Gulf Coast.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Statements contained in this Form 10-Q that are not historical facts, including, but not limited to, any projections contained herein, are forward-looking statements. These statements reflect management’s reasonable judgment with respect to future events. Forward-looking statements involve risks and uncertainties. Such statements can be identified by the use of forward-looking terminology such as “may,” “will,” “expect,” “anticipate,” “estimate,” or “continue,” or the negative thereof or other variations thereon or comparable terminology. Actual results could differ materially from those anticipated as a result of various factors including cyclical or other downturns in demand, significant pricing competition, unanticipated additions to industry capacity, changes in the Jones Act or in United States maritime policy and practice, fuel costs, interest rates, weather conditions and timing, magnitude and number of acquisitions made by the Company, and the impact of the COVID-19 pandemic and the related response of governments on global and regional market conditions. Forward-looking statements are based on currently available information and Kirby assumes no obligation to update any such statements. A list of additional risk factors can be found in the Company’s Annual Report on Form 10-K for the year ended December 31, 2019 and Item 1A — Risk Factors below.</w:t>
      </w:r>
    </w:p>
    <w:p>
      <w:pPr>
        <w:spacing w:after="0" w:line="2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purposes of the Management’s Discussion, all net earnings (loss) per share attributable to Kirby common stockholders are “diluted earnings (loss) per share.” The weighted average number of common shares applicable to diluted earnings (loss) per share for the three months ended March 31, 2020 and 2019 were 59,883,000 and 59,823,000, respectively. The increase in the weighted average number of common shares for the 2020 first quarter compared with the 2019 first quarter primarily reflected the issuance of restricted stock, the issuance of common stock for the vesting of RSUs and the exercise of stock options, partially offset by the exclusion of anti-dilutive stock options and RSUs outstanding during the 2020 first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March 31, 2020, the Company operated a fleet of 1,065 inland tank barges with 23.7 million barrels of capacity, and operated an average of 311 inland towboats. The Company’s coastal fleet consisted of 49 tank barges with 4.7 million barrels of capacity and 47 coastal tugboats. The Company also owns and operates four offshore dry-bulk cargo barges, four offshore tugboats and one docking tugboat transporting dry-bulk commodities in United States coastal trade. Through its distribution and services segment,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2020 first quarter, the net loss attributable to Kirby was $248,468,000, or $4.15 per share, on revenues of $643,926,000, compared with 2019 first quarter net earnings attributable to Kirby of $44,296,000, or $0.74 per share, on revenues of $744,621,000. The 2020 first quarter included $433,341,000 before taxes, $334,568,000 after taxes, or $5.59 per share, non-cash charges related to inventory write-downs, impairment of long-lived assets, including intangible assets and property and equipment, and impairment of goodwill in the distribution and services segment. See Note 8, Impairments and Other Charges for additional information. In addition, the 2020 first quarter was favorably impacted by an income tax benefit of $50,824,000, or $0.85 per share related to net operating losses generated in 2018 and 2019 used to offset taxable income generated between 2013 and 2017. See Note 10, Taxes on Income for additional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2020 first quarter, the Company’s marine transportation segment generated 63% of the Company’s revenue.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both"/>
        <w:ind w:firstLine="324"/>
        <w:spacing w:after="0" w:line="254" w:lineRule="auto"/>
        <w:rPr>
          <w:sz w:val="20"/>
          <w:szCs w:val="20"/>
          <w:color w:val="auto"/>
        </w:rPr>
      </w:pPr>
      <w:r>
        <w:rPr>
          <w:rFonts w:ascii="Arial" w:cs="Arial" w:eastAsia="Arial" w:hAnsi="Arial"/>
          <w:sz w:val="18"/>
          <w:szCs w:val="18"/>
          <w:color w:val="auto"/>
        </w:rPr>
        <w:t>The Company’s marine transportation segment’s revenues for the 2020 first quarter increased 10% and operating income increased 43% compared with the 2019 first quarter revenues and operating income. The increases were primarily due to the addition of the Cenac Marine Services, LLC (“Cenac”) fleet acquired on March 14, 2019, and increased spot and term contract pricing in the inland and coastal markets. The 2020 and 2019 first quarters were impacted by poor operating conditions and high delay days due to heavy fog and wind along the Gulf Coast, high water on the Mississippi River System, and closures of key waterways as a result of lock maintenance projects, as well as increased shipyard days on large capacity coastal vessels. The 2019 first quarter was also impacted by prolonged periods of ice on the Illinois River and a fire at a chemical storage facility on the Houston Ship Channel. For the 2020 and 2019 first quarters, the inland tank barge fleet contributed 79% and 77%, respectively, and the coastal fleet contributed 21% and 23%, respectively, of marine transportation revenues.</w:t>
      </w:r>
    </w:p>
    <w:p>
      <w:pPr>
        <w:spacing w:after="0" w:line="21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Inland tank barge utilization levels averaged in the low to mid-90% range during the 2020 first quarter compared with the low 90% range during the 2019 fourth quarter and mid-90% range during the 2019 first quarter. The 2020 and 2019 first quarters each experienced strong demand from petrochemicals, black oil, and refined petroleum products customers. Extensive delay days due to poor operating conditions and lock maintenance projects in the 2020 and 2019 first quarters slowed the transport of customer cargoes and contributed to strong utilization during the 2020 and 2019 first quarters.</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Coastal tank barge utilization levels averaged in the low to mid-80% range during the 2020 first quarter compared with the mid-80% range during the 2019 fourth quarter and the low 80% range in the 2019 first quarter. Utilization in the coastal marine fleet continued to be impacted by the oversupply of smaller tank barges in the coastal industry.</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2020 and 2019 first quarters, approximately 60% and 65%, respectively, of marine transportation’s inland revenues were under term contracts, which have contract terms of 12 months or longer, and 40% and 35%, respectively, were spot contract revenues, which have contract terms of less than 12 months. Inland time charters during the 2020 first quarter represented 65% of the inland revenues under term contracts compared with 62% in the 2019 first quarter. Rates on inland term contracts renewed in the 2020 first quarter increased in the 1% to 3% average range compared with term contracts renewed in the 2019 first quarter. Spot contract rates in the 2020 first quarter increased in the 4% to 6% average range compared to both the 2019 fourth quarter and the 2019 first quarter. There was no material rate increase on January 1, 2020 related to annual escalators for labor and the producer price index on a number of inland multi-year contracts.</w:t>
      </w:r>
    </w:p>
    <w:p>
      <w:pPr>
        <w:spacing w:after="0" w:line="22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2020 and 2019 first quarters, approximately 85% and 80%, respectively, of the coastal revenues were under term contracts and 15% and 20%, respectively, were spot contract revenues. Coastal time charters represented approximately 90% and 85% of coastal revenues under term contracts during the 2020 and 2019 first quarters, respectively. Spot and term contract pricing in the coastal market are contingent on various factors including geographic location, vessel capacity, vessel type, and product serviced. Rates on coastal term contracts renewed in the 2020 first quarter increased in the 10% to 15% average range compared with term contracts renewed in the 2019 first quarter. Spot market rates in the 2020 first quarter improved in the 10% to 15% average range compared to the 2019 first quarter and were generally unchanged compared to the 2019 fourth quarter.</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marine transportation segment operating margin was 12.6% for the 2020 first quarter compared with 9.6% for the 2019 first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2020 first quarter, the distribution and services segment generated 37% of the Company’s revenue, of which 91% was generated from service and parts and 9% from manufacturing. The results of the distribution and services segment are largely influenced by the economic cycles of the oilfield service and oil and gas operator and producer markets, marine, power generation, on-highway, and other industrial markets.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both"/>
        <w:ind w:firstLine="324"/>
        <w:spacing w:after="0" w:line="254" w:lineRule="auto"/>
        <w:rPr>
          <w:sz w:val="20"/>
          <w:szCs w:val="20"/>
          <w:color w:val="auto"/>
        </w:rPr>
      </w:pPr>
      <w:r>
        <w:rPr>
          <w:rFonts w:ascii="Arial" w:cs="Arial" w:eastAsia="Arial" w:hAnsi="Arial"/>
          <w:sz w:val="18"/>
          <w:szCs w:val="18"/>
          <w:color w:val="auto"/>
        </w:rPr>
        <w:t>Distribution and services revenues for the 2020 first quarter decreased 36% and operating income decreased 90% compared with the 2019 first quarter revenue and operating income. The decreases were primarily attributable to reduced activity in the oilfield as a result of oil price volatility throughout 2019 and into the 2020 first quarter, the extensive downturn in oil and gas exploration due to the COVID-19 pandemic, an oversupply of pressure pumping equipment in North America, and reduced spending and enhanced cash flow discipline for the Company’s major oilfield customers. As a result, customer demand and incremental orders for new and remanufactured pressure pumping equipment and sales of new and overhauled transmissions and related parts and service declined during the 2020 first quarter. For the 2020 first quarter, the oil and gas market contributed 33% of the distribution and services revenues.</w:t>
      </w:r>
    </w:p>
    <w:p>
      <w:pPr>
        <w:spacing w:after="0" w:line="2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commercial and industrial market, which contributed 67% of the distribution and services revenues for the 2020 first quarter, increased compared to the 2019 first quarter, primarily due to the contribution from the Convoy acquisition. This incremental revenue was partially offset by reductions in on-highway and power generation service demand as a result of the COVID-19 economic slowdown and nationwide, state, and local stay-at-home orders. Demand in the nuclear power generation market was stable compared to the 2019 first quarter.</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distribution and services segment operating margin for the 2020 first quarter was 1.5% compared with 10.0% for the 2019 first quarter.</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and Capital Expenditures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continued to generate favorable operating cash flows during the 2020 first quarter with net cash provided by operating activities of $71,501,000 compared with $38,529,000 for the 2019 first quarter, an 86% increase. The improvement was driven by increased revenues and operating income in the marine transportation segment driven by the Cenac acquisition in March 2019 and increased inland and coastal pricing. The improvement was also due to changes in operating assets and liabilities primarily related to reduced incentive compensation payouts in the 2020 first quarter and smaller increases in trade accounts receivable, partially offset by reduced business activity levels in the oil and gas market. In addition, during the 2020 and 2019 first quarters, the Company generated cash of $3,993,000 and $13,187,000, respectively, from proceeds from the disposition of assets, and $353,000 and $1,415,000, respectively, from proceeds from the exercise of stock options.</w:t>
      </w:r>
    </w:p>
    <w:p>
      <w:pPr>
        <w:spacing w:after="0" w:line="2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2020 first quarter, cash generated and borrowings under the Company’s Revolving Credit Facility were used for capital expenditures of $49,225,000 (net of an increase of accrued capital expenditures of $2,707,000), including $3,094,000 for inland towboat construction and $46,131,000 primarily for upgrading existing marine equipment and marine transportation and distribution and services facilities. The Company also used $60,422,000 for acquisitions of businesses and marine equipment, more fully described under Acquisitions below.</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debt-to-capitalization ratio increased to 35.3% at March 31, 2020 from 28.9% at December 31, 2019, primarily due to borrowings under the Revolving Credit Facility to purchase the Savage fleet, which was completed on April 1, 2020, and the Convoy acquisition in the 2020 first quarter and the decrease in total equity, primarily from the net loss attributable to Kirby for the 2020 first quarter of $248,468,000. The Company’s debt outstanding as of March 31, 2020 and December 31, 2019 is detailed in Long-Term Financing below.</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2020 first quarter, the Company purchased three newly constructed inland pressure barges, retired one inland tank barge, and brought back into service 10 inland tank barges. The net result was an increase of 12 inland tank barges and approximately 334,000 barrels of capacity during the 2020 first quarter.</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Given the current uncertainty surrounding the impact of the COVID-19 pandemic, the Company projects that capital expenditures for 2020 will be at or below the low end of the previously disclosed $155,000,000 to $175,000,000 range. The 2020 construction program will consist of $15,000,000 to $20,000,000 in progress payments on the construction of six inland towboats to be placed in service in 2020 and 2021. Approximately $125,000,000 to $135,000,000 is primarily capital upgrades and improvements to existing marine equipment and facilities. The balance of $15,000,000 to $20,000,000 will be for new machinery and equipment, facilities improvements and information technology projects in the distribution and services segment and corporate. Funding for future capital expenditures is expected to be provided through operating cash flows and borrowings under the Company’s Revolving Credit Facility.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there remains significant uncertainty around the full impact of the COVID-19 pandemic, in the inland marine transportation market, the Company anticipates reduced consumer demand for petrochemicals, crude oil, and refined products associated with COVID-19. With refineries and petrochemical plants reducing utilization rates to align with declining demand, the Company’s inland barge utilization has declined to levels around 90% during April, and further volume declines may occur going forward. However, the long-term nature of many of the Company’s inland contracts and flexibility of the Company’s inland barge fleet should help insulate some of the decline in business activity. Opportunities for storage, product relocations, and upcoming lock maintenance projects should also help mitigate lower demand. The Company has also implemented cost saving measures, including reductions in the charter boat fleet, which represents approximately one-fourth of operating towboat capacity. The Company is also integrating and pursuing cost synergies with the newly acquired Savage fleet.</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2020, the Company estimated there were approximately 4,000 inland tank barges in the industry fleet, of which approximately 350 were over 30 years old and approximately 260 of those over 40 years old. The Company estimates that approximately 130 tank barges have been ordered for delivery throughout 2020 and many older tank barges, including an expected 10 by the Company, will be retired, dependent on 2020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21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coastal marine transportation market, although approximately 85% of revenues are under long-term contracts, the Company expects quarterly revenues and barge utilization to decline in 2020 as a result of COVID-19. In April, the Company has experienced a decline in utilization related to spot moves of refined products as customer refinery runs and global demand have declined. Labor constraints in the shipyard industry due to excessive absenteeism as a result of COVID-19 have also resulted in some delays and extended shipyard periods for some of the Company’s large capacity vessels. During 2020, the Company expects to retire four aging coastal ATBs, three of which are large capacity vessels that would have required uneconomic ballast water management systems at their next shipyard date. These retirements are expected to have a negative impact on coastal revenues and operating income during the year. The Company also expects volumes in its coal transportation business to decline compared to 2019.</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2020, the Company estimated there were approximately 280 tank barges operating in the 195,000 barrels or less coastal industry fleet, the sector of the market in which the Company operates, and approximately 20 of those were over 25 years old. The Company is aware of one announced coastal tank barge and tugboat unit in the 195,000 barrels or less category delivered during the 2020 second quarter in addition to one under construction by a competitor for delivery in 2021.</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the distribution and services segment are largely influenced by the economic cycles of the land-based oilfield service and oil and gas operator and producer markets, marine, power generation, on-highway and other industrial markets. Activity in oil and gas is expected to materially decline with all major customers curtailing spending for the duration of 2020. This is likely to result in only minimal levels of service and parts sales in distribution, as well as very few, if any, new orders for pressure pumping equipment in manufacturing.</w:t>
      </w: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distribution and services commercial and industrial market, the Company anticipates its core markets will be impacted by reduced activity as a result of COVID-19, however, the commercial marine repair markets and the Thermo-King refrigeration businesses are expected to remain relatively stable for the near term. The most significant impacts in commercial and industrial are expected to be seen in the on-highway sector with reduced demand for bus repair and in lower power generation activity as customers defer some of their large capital projects. The Company is actively managing the distribution and services segment’s cost structure through workforce reductions, furloughs, reduced work schedules, and pay freezes. Additionally, the Company expects to consolidate additional facilities and maintain tight discretionary spending restrictions.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April 1, 2020, the Company completed the acquisition of the inland tank barge fleet of Savage for $277,931,000 in cash, subject to certain post-closing adjustments. Savage’s tank barge fleet consisted of 92 inland tank barges with approximately 2.6 million barrels of capacity and 46 inland towboats. The Savage assets that were acquired primarily move petrochemicals, refined products, and crude oil on the Mississippi River, its tributaries, and the Gulf Intracoastal Waterway. The Company also acquired Savage’s ship bunkering business and barge fleeting business along the Gulf Coast.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2020, the Company purchased three newly constructed inland pressure barges for $20,100,000 in cash.</w:t>
      </w:r>
    </w:p>
    <w:p>
      <w:pPr>
        <w:spacing w:after="0" w:line="2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January 3, 2020, the Company completed the acquisition of substantially all the assets of Convoy for $40,322,000 in cash, reduced by a receivable due from Convoy of $3,142,000 recorded for post-closing adjustments that was settled in April 2020. Convoy is an authorized dealer for Thermo King refrigeration systems for trucks, railroad cars and other land transportation markets for North and East Texas and Colorado.</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of the acquisitions was through borrowings under the Company’s Revolving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2020 first quarter, the net loss attributable to Kirby was $248,468,000, or $4.15 per share, on revenues of $643,926,000, compared with 2019 first quarter net earnings attributable to Kirby of $44,296,000, or $0.74 per share, on revenues of $744,621,000. The 2020 first quarter included $433,341,000 before taxes, $334,568,000 after taxes, or $5.59 per share, non-cash charges related to inventory write-downs, impairment of long-lived assets, including intangible assets and property and equipment, and impairment of goodwill in the distribution and services segment. See Note 8, Impairments and Other Charges for additional information. In addition, the 2020 first quarter was favorably impacted by an income tax benefit of $50,824,000, or $0.85 per share related to net operating losses generated in 2018 and 2019 used to offset taxable income generated between 2013 and 2017. See Note 10, Taxes on Income for additional information.</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marine transportation and distribution and services revenues and the percentage of each to total revenues for the comparable periods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403,257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368,121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Distribution and services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240,669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376,500</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r>
        <w:trPr>
          <w:trHeight w:val="236"/>
        </w:trPr>
        <w:tc>
          <w:tcPr>
            <w:tcW w:w="59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643,926</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744,621</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through its marine transportation segment, provides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March 31, 2020, the Company operated 1,065 inland tank barges, of which 24 were leased, with a total capacity of 23.7 million barrels, and an average of 311 towboats, of which an average of 77 were chartered. This compares with 1,061 inland tank barges operated as of March 31, 2019, of which 28 were leased, with a total capacity of 23.6 million barrels, and an average of 286 towboats, of which an average of 81 were chartered.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324"/>
        <w:spacing w:after="0" w:line="272" w:lineRule="auto"/>
        <w:rPr>
          <w:sz w:val="20"/>
          <w:szCs w:val="20"/>
          <w:color w:val="auto"/>
        </w:rPr>
      </w:pPr>
      <w:r>
        <w:rPr>
          <w:rFonts w:ascii="Arial" w:cs="Arial" w:eastAsia="Arial" w:hAnsi="Arial"/>
          <w:sz w:val="17"/>
          <w:szCs w:val="17"/>
          <w:color w:val="auto"/>
        </w:rPr>
        <w:t>The Company’s coastal tank barge fleet as of March 31, 2020, consisted of 49 tank barges, of which two were leased, with 4.7 million barrels of capacity, and an average of 47 tugboats, of which an average of five were chartered. This compares with 51 coastal tank barges operated as of March 31, 2019, of which three were leased, with 4.9 million barrels of capacity, and an average of 47 tugboats, of which an average of four were chartered. The Company owns and operates four offshore dry-bulk cargo barge and tugboat units engaged in the offshore transportation of dry-bulk cargoes. 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Line, L.L.C., which transports project cargoes and cargo containers by barge.</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20" w:type="dxa"/>
            <w:vAlign w:val="bottom"/>
          </w:tcPr>
          <w:p>
            <w:pPr>
              <w:spacing w:after="0"/>
              <w:rPr>
                <w:sz w:val="20"/>
                <w:szCs w:val="20"/>
                <w:color w:val="auto"/>
              </w:rPr>
            </w:pP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Three months ended March 31,</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23"/>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403,257</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368,121</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ind w:left="140"/>
              <w:spacing w:after="0"/>
              <w:rPr>
                <w:sz w:val="20"/>
                <w:szCs w:val="20"/>
                <w:color w:val="auto"/>
              </w:rPr>
            </w:pPr>
            <w:r>
              <w:rPr>
                <w:rFonts w:ascii="Arial" w:cs="Arial" w:eastAsia="Arial" w:hAnsi="Arial"/>
                <w:sz w:val="18"/>
                <w:szCs w:val="18"/>
                <w:color w:val="auto"/>
              </w:rPr>
              <w:t>Costs of sales and operating expenses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265,895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246,190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33,217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7220" w:type="dxa"/>
            <w:vAlign w:val="bottom"/>
          </w:tcPr>
          <w:p>
            <w:pPr>
              <w:ind w:left="140"/>
              <w:spacing w:after="0"/>
              <w:rPr>
                <w:sz w:val="20"/>
                <w:szCs w:val="20"/>
                <w:color w:val="auto"/>
              </w:rPr>
            </w:pPr>
            <w:r>
              <w:rPr>
                <w:rFonts w:ascii="Arial" w:cs="Arial" w:eastAsia="Arial" w:hAnsi="Arial"/>
                <w:sz w:val="18"/>
                <w:szCs w:val="18"/>
                <w:color w:val="auto"/>
              </w:rPr>
              <w:t>Taxes, other than on income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7,966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45,299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45,324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7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7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352,541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332,697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57"/>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50,716</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35,424</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10"/>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margins</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453"/>
        </w:trPr>
        <w:tc>
          <w:tcPr>
            <w:tcW w:w="72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Marine Transportation Revenues</w:t>
            </w: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products moved and the drivers of the demand for the products the Company transports: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2020 First</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Quarter</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Revenue</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41"/>
        </w:trPr>
        <w:tc>
          <w:tcPr>
            <w:tcW w:w="3060" w:type="dxa"/>
            <w:vAlign w:val="bottom"/>
            <w:gridSpan w:val="2"/>
          </w:tcPr>
          <w:p>
            <w:pPr>
              <w:ind w:left="820"/>
              <w:spacing w:after="0"/>
              <w:rPr>
                <w:sz w:val="20"/>
                <w:szCs w:val="20"/>
                <w:color w:val="auto"/>
              </w:rPr>
            </w:pPr>
            <w:r>
              <w:rPr>
                <w:rFonts w:ascii="Arial" w:cs="Arial" w:eastAsia="Arial" w:hAnsi="Arial"/>
                <w:sz w:val="18"/>
                <w:szCs w:val="18"/>
                <w:b w:val="1"/>
                <w:bCs w:val="1"/>
                <w:color w:val="auto"/>
              </w:rPr>
              <w:t>Markets Serviced</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Distribution</w:t>
            </w:r>
          </w:p>
        </w:tc>
        <w:tc>
          <w:tcPr>
            <w:tcW w:w="3860" w:type="dxa"/>
            <w:vAlign w:val="bottom"/>
            <w:gridSpan w:val="2"/>
          </w:tcPr>
          <w:p>
            <w:pPr>
              <w:ind w:left="1260"/>
              <w:spacing w:after="0"/>
              <w:rPr>
                <w:sz w:val="20"/>
                <w:szCs w:val="20"/>
                <w:color w:val="auto"/>
              </w:rPr>
            </w:pPr>
            <w:r>
              <w:rPr>
                <w:rFonts w:ascii="Arial" w:cs="Arial" w:eastAsia="Arial" w:hAnsi="Arial"/>
                <w:sz w:val="18"/>
                <w:szCs w:val="18"/>
                <w:b w:val="1"/>
                <w:bCs w:val="1"/>
                <w:color w:val="auto"/>
              </w:rPr>
              <w:t>Products Moved</w:t>
            </w:r>
          </w:p>
        </w:tc>
        <w:tc>
          <w:tcPr>
            <w:tcW w:w="3220" w:type="dxa"/>
            <w:vAlign w:val="bottom"/>
          </w:tcPr>
          <w:p>
            <w:pPr>
              <w:ind w:left="1320"/>
              <w:spacing w:after="0"/>
              <w:rPr>
                <w:sz w:val="20"/>
                <w:szCs w:val="20"/>
                <w:color w:val="auto"/>
              </w:rPr>
            </w:pPr>
            <w:r>
              <w:rPr>
                <w:rFonts w:ascii="Arial" w:cs="Arial" w:eastAsia="Arial" w:hAnsi="Arial"/>
                <w:sz w:val="18"/>
                <w:szCs w:val="18"/>
                <w:b w:val="1"/>
                <w:bCs w:val="1"/>
                <w:color w:val="auto"/>
              </w:rPr>
              <w:t>Drivers</w:t>
            </w:r>
          </w:p>
        </w:tc>
      </w:tr>
      <w:tr>
        <w:trPr>
          <w:trHeight w:val="202"/>
        </w:trPr>
        <w:tc>
          <w:tcPr>
            <w:tcW w:w="2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51%</w:t>
            </w:r>
          </w:p>
        </w:tc>
        <w:tc>
          <w:tcPr>
            <w:tcW w:w="8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Benzene, Styrene, Methanol, Acrylonitrile, Xylene,</w:t>
            </w:r>
          </w:p>
        </w:tc>
        <w:tc>
          <w:tcPr>
            <w:tcW w:w="8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Consumer non-durables — 70%, Consumer</w:t>
            </w:r>
          </w:p>
        </w:tc>
      </w:tr>
      <w:tr>
        <w:trPr>
          <w:trHeight w:val="230"/>
        </w:trPr>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Naphtha, Caustic Soda, Butadiene, Propylene</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durables — 30%</w:t>
            </w: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 Oil</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26%</w:t>
            </w:r>
          </w:p>
        </w:tc>
        <w:tc>
          <w:tcPr>
            <w:tcW w:w="8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Residual Fuel Oil, Coker Feedstock, Vacuum Gas</w:t>
            </w: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Fuel for Power Plants and Ships, Feedstock</w:t>
            </w:r>
          </w:p>
        </w:tc>
      </w:tr>
      <w:tr>
        <w:trPr>
          <w:trHeight w:val="216"/>
        </w:trPr>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Oil, Asphalt, Carbon Black Feedstock, Crude Oil,</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for Refineries, Road Construction</w:t>
            </w:r>
          </w:p>
        </w:tc>
      </w:tr>
      <w:tr>
        <w:trPr>
          <w:trHeight w:val="230"/>
        </w:trPr>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Condensate, Ship Bunkers</w:t>
            </w:r>
          </w:p>
        </w:tc>
        <w:tc>
          <w:tcPr>
            <w:tcW w:w="3220" w:type="dxa"/>
            <w:vAlign w:val="bottom"/>
            <w:shd w:val="clear" w:color="auto" w:fill="CCEEFF"/>
          </w:tcPr>
          <w:p>
            <w:pPr>
              <w:spacing w:after="0"/>
              <w:rPr>
                <w:sz w:val="20"/>
                <w:szCs w:val="20"/>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Refined Petroleum Products</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20%</w:t>
            </w:r>
          </w:p>
        </w:tc>
        <w:tc>
          <w:tcPr>
            <w:tcW w:w="8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Gasoline, No. 2 Oil, Jet Fuel, Heating Oil, Diesel</w:t>
            </w: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Vehicle Usage, Air Travel, Weather</w:t>
            </w:r>
          </w:p>
        </w:tc>
      </w:tr>
      <w:tr>
        <w:trPr>
          <w:trHeight w:val="230"/>
        </w:trPr>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Ethanol</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Conditions, Refinery Utilization</w:t>
            </w: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Agricultural Chemicals</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3%</w:t>
            </w:r>
          </w:p>
        </w:tc>
        <w:tc>
          <w:tcPr>
            <w:tcW w:w="8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Anhydrous Ammonia, Nitrogen-Based Liquid</w:t>
            </w: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Corn, Cotton and Wheat Production,</w:t>
            </w:r>
          </w:p>
        </w:tc>
      </w:tr>
      <w:tr>
        <w:trPr>
          <w:trHeight w:val="230"/>
        </w:trPr>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Fertilizer, Industrial Ammonia</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Chemical Feedstock Usage</w:t>
            </w:r>
          </w:p>
        </w:tc>
      </w:tr>
    </w:tbl>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Marine transportation revenues for the 2020 first quarter increased 10% compared with the 2019 first quarter. The increase was primarily due to the addition of the Cenac fleet acquired on March 14, 2019 and increased spot and term contract pricing in the inland and coastal markets. The 2020 and 2019 first quarters were impacted by poor operating conditions and high delay days due to heavy fog and wind along the Gulf Coast, high water on the Mississippi River System, and closures of key waterways as a result of lock maintenance projects, as well as increased shipyard days on large capacity coastal vessels. The 2019 first quarter was also impacted by prolonged periods of ice on the Illinois River and a fire at a chemical storage facility on the Houston Ship Channel. For the 2020 and 2019 first quarters, the inland tank barge fleet contributed 79% and 77%, respectively, and the coastal fleet contributed 21% and 23%, respectively, of marine transportation revenues.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both"/>
        <w:ind w:firstLine="324"/>
        <w:spacing w:after="0" w:line="301" w:lineRule="auto"/>
        <w:rPr>
          <w:sz w:val="20"/>
          <w:szCs w:val="20"/>
          <w:color w:val="auto"/>
        </w:rPr>
      </w:pPr>
      <w:r>
        <w:rPr>
          <w:rFonts w:ascii="Arial" w:cs="Arial" w:eastAsia="Arial" w:hAnsi="Arial"/>
          <w:sz w:val="16"/>
          <w:szCs w:val="16"/>
          <w:color w:val="auto"/>
        </w:rPr>
        <w:t>Inland tank barge utilization levels averaged in the low to mid-90% range during the 2020 first quarter compared with the low 90% range during the 2019 fourth quarter and mid-90% range during the 2019 first quarter. The 2020 and 2019 first quarters each experienced strong demand from petrochemicals, black oil, and refined petroleum products customers. Extensive delay days due to poor operating conditions and lock maintenance projects in the 2020 and 2019 first quarters slowed the transport of customer cargoes, and contributed to strong utilization during the 2020 and 2019 first quarters.</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Coastal tank barge utilization levels averaged in the low to mid-80% range during the 2020 first quarter compared with the mid-80% range during the 2019 fourth quarter and the low 80% range in the 2019 first quarter. Utilization in the coastal marine fleet continued to be impacted by the oversupply of smaller tank barges in the coastal industry.</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petrochemical market, the Company’s largest market, contributed 51% of marine transportation revenues for the 2020 first quarter, reflecting continued stable volumes from Gulf Coast petrochemical plants for both domestic consumption and to terminals for export destinations. The decrease compared to the 2019 first quarter reflects a change in product mix as a result of the purchase of the Cenac fleet in March 2019. Low priced domestic natural gas, a basic feedstock for the United States petrochemical industry, provides the industry with a competitive advantage relative to naphtha-based foreign petrochemical producers. In addition, favorable commodity prices and the addition of new petrochemical industry capacity during 2019 and the 2020 first quarter benefited the market.</w:t>
      </w:r>
    </w:p>
    <w:p>
      <w:pPr>
        <w:spacing w:after="0" w:line="2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black oil market, which contributed 26% of marine transportation revenues for the 2020 first quarter, reflected continued stable demand from steady refinery production levels and the export of refined petroleum products and fuel oils. The increase compared to the 2019 first quarter reflects a change in product mix as a result of the purchase of the Cenac fleet in March 2019. The Company continued to transport crude oil and natural gas condensate produced from the Eagle Ford and Permian Basin shale formations in Texas, both along the Gulf Intracoastal Waterway with inland vessels and in the Gulf of Mexico with coastal equipment. Additionally, the Company transported increased volumes of Utica natural gas condensate downriver from the Mid-Atlantic to the Gulf Coast and Canadian and Bakken crude downriver from the Midwest to the Gulf Coast.</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refined petroleum products market, which contributed 20% of marine transportation revenues for the 2020 first quarter reflected increased volumes in the inland market, due in part to the acquisition of the Cenac fleet, and stable volumes in coastal.</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agricultural chemical market, which contributed 3% of marine transportation revenues for the 2020 first quarter, saw typical seasonal demand for transportation of both domestically produced and imported products during the quarter.</w:t>
      </w:r>
    </w:p>
    <w:p>
      <w:pPr>
        <w:spacing w:after="0" w:line="19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the 2020 first quarter, the inland operations incurred 4,490 delay days, 3% fewer than the 4,613 delay days that occurred during the 2019 first quarter. Delay days measure the lost time incurred by a tow (towboat and one or more tank barges) during transit when the tow is stopped due to weather, lock conditions, or other navigational factors. Delay days for the 2020 and 2019 first quarter reflected poor operating conditions due to heavy fog and wind along the Gulf Coast, high water conditions on the Mississippi River System, and closures of key waterways as a result of lock maintenance projects. The 2019 first quarter was also impacted by prolonged periods of ice on the Illinois River and a fire at a chemical storage facility on the Houston Ship Channel.</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2020 and 2019 first quarters, approximately 60% and 65%, respectively, of marine transportation’s inland revenues were under term contracts, which have contract terms of 12 months or longer, and 40% and 35%, respectively, were spot contract revenues, which have contract terms of less than 12 months. Inland time charters during the 2020 first quarter represented 65% of the inland revenues under term contracts compared with 62% in the 2019 first quarter. Rates on inland term contracts renewed in the 2020 first quarter increased in the 1% to 3% average range compared with term contracts renewed in the 2019 first quarter. Spot contract rates in the 2020 first quarter increased in the 4% to 6% average range compared to both the 2019 fourth quarter and the 2019 first quarter. There was no material rate increase on January 1, 2020 related to annual escalators for labor and the producer price index on a number of inland multi-year contracts.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both"/>
        <w:ind w:firstLine="324"/>
        <w:spacing w:after="0" w:line="293" w:lineRule="auto"/>
        <w:rPr>
          <w:sz w:val="20"/>
          <w:szCs w:val="20"/>
          <w:color w:val="auto"/>
        </w:rPr>
      </w:pPr>
      <w:r>
        <w:rPr>
          <w:rFonts w:ascii="Arial" w:cs="Arial" w:eastAsia="Arial" w:hAnsi="Arial"/>
          <w:sz w:val="16"/>
          <w:szCs w:val="16"/>
          <w:color w:val="auto"/>
        </w:rPr>
        <w:t>During the 2020 and 2019 first quarters, approximately 85% and 80%, respectively, of the coastal revenues were under term contracts and 15% and 20%, respectively, were spot contract revenues. Coastal time charters represented approximately 90% and 85% of coastal revenues under term contracts during the 2020 and 2019 first quarters, respectively. Spot and term contract pricing in the coastal market are contingent on various factors including geographic location, vessel capacity, vessel type, and product serviced. Rates on coastal term contracts renewed in the 2020 first quarter increased in the 10% to 15% average range compared with term contracts renewed in the 2019 first quarter. Spot market rates in the 2020 first quarter improved in the 10% to 15% average range compared to the 2019 first quarter and were generally unchanged compared to the 2019 fourth quarter.</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Costs and expenses for the 2020 first quarter increased 6% compared with the 2019 first quarter. Costs of sales and operating expenses for the 2020 first quarter increased 8% compared with the 2019 first quarter, primarily due to the addition of the Cenac fleet in March 2019.</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inland marine transportation fleet operated an average of 311 towboats during the 2020 first quarter, of which an average of 77 were chartered, compared with 286 during the 2019 first quarter, of which an average of 81 were chartered. The increase was primarily due to the addition of inland towboats with the Cenac acquisition on March 14, 2019. Generally, as demand or anticipated demand increases or decreases, as new tank barges are added to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2020 first quarter, the inland operations consumed 12.6 million gallons of diesel fuel compared to 11.4 million gallons consumed during the 2019 first quarter. The average price per gallon of diesel fuel consumed during the 2020 first quarter was $2.00 per gallon compared with $1.93 per gallon for the 2019 first quarter. Fuel escalation and de-escalation clauses on term contracts are designed to rebate fuel costs when prices decline and recover additional fuel costs when fuel prices rise; however, there is generally a 30 to 90 day delay before contracts are adjusted. Spot contracts do not have escalators for fuel.</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general and administrative expenses for the 2020 first quarter decreased 4% compared with the 2019 first quarter. The Company experienced higher professional fees in the 2019 first quarter including Cenac acquisition related costs of $247,000.</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Taxes, other than on income, for the 2020 first quarter increased 18% compared with the 2019 first quarter, primarily due to higher property taxes on marine transportation equipment, including the Cenac fleet, and higher waterway use taxes due to higher business activity levels, primarily due to the Cenac acquisition.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Marine transportation operating income for the 2020 first quarter increased 43% compared with the 2019 first quarter. The 2020 first quarter operating margin was 12.6% compared with 9.6% for the 2019 first quarter. The operating income increase in the 2020 first quarter, compared to the 2019 first quarter, was primarily due to the acquisition of Cenac and increased spot and term contract pricing in the inland and coastal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right="580" w:firstLine="324"/>
        <w:spacing w:after="0" w:line="277" w:lineRule="auto"/>
        <w:rPr>
          <w:sz w:val="20"/>
          <w:szCs w:val="20"/>
          <w:color w:val="auto"/>
        </w:rPr>
      </w:pPr>
      <w:r>
        <w:rPr>
          <w:rFonts w:ascii="Arial" w:cs="Arial" w:eastAsia="Arial" w:hAnsi="Arial"/>
          <w:sz w:val="18"/>
          <w:szCs w:val="18"/>
          <w:color w:val="auto"/>
        </w:rPr>
        <w:t>The following table sets forth the Company’s distribution and services segment’s revenues, costs and expenses, operating income and operating margins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60" w:type="dxa"/>
            <w:vAlign w:val="bottom"/>
          </w:tcPr>
          <w:p>
            <w:pPr>
              <w:spacing w:after="0"/>
              <w:rPr>
                <w:sz w:val="20"/>
                <w:szCs w:val="20"/>
                <w:color w:val="auto"/>
              </w:rPr>
            </w:pP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Three months ended March 31,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1320" w:type="dxa"/>
            <w:vAlign w:val="bottom"/>
            <w:gridSpan w:val="2"/>
          </w:tcPr>
          <w:p>
            <w:pPr>
              <w:jc w:val="right"/>
              <w:ind w:right="29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r>
      <w:tr>
        <w:trPr>
          <w:trHeight w:val="223"/>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 and services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240,669</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376,500</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Arial" w:cs="Arial" w:eastAsia="Arial" w:hAnsi="Arial"/>
                <w:sz w:val="18"/>
                <w:szCs w:val="18"/>
                <w:color w:val="auto"/>
              </w:rPr>
              <w:t>Costs of sales and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187,673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290,465</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(35)</w:t>
            </w:r>
          </w:p>
        </w:tc>
      </w:tr>
      <w:tr>
        <w:trPr>
          <w:trHeight w:val="216"/>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37,972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37,391</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r>
      <w:tr>
        <w:trPr>
          <w:trHeight w:val="216"/>
        </w:trPr>
        <w:tc>
          <w:tcPr>
            <w:tcW w:w="7160" w:type="dxa"/>
            <w:vAlign w:val="bottom"/>
          </w:tcPr>
          <w:p>
            <w:pPr>
              <w:ind w:left="14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2,017</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9,018</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r>
      <w:tr>
        <w:trPr>
          <w:trHeight w:val="27"/>
        </w:trPr>
        <w:tc>
          <w:tcPr>
            <w:tcW w:w="7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236,951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338,891</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36"/>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26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37,609</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7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160" w:type="dxa"/>
            <w:vAlign w:val="bottom"/>
          </w:tcPr>
          <w:p>
            <w:pPr>
              <w:ind w:left="14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markets serviced by the Company’s distribution and services segment, the revenue distribution, and the customers for each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2020 First</w:t>
            </w:r>
          </w:p>
        </w:tc>
        <w:tc>
          <w:tcPr>
            <w:tcW w:w="54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Quarter</w:t>
            </w:r>
          </w:p>
        </w:tc>
        <w:tc>
          <w:tcPr>
            <w:tcW w:w="54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c>
          <w:tcPr>
            <w:tcW w:w="5400" w:type="dxa"/>
            <w:vAlign w:val="bottom"/>
          </w:tcPr>
          <w:p>
            <w:pPr>
              <w:spacing w:after="0"/>
              <w:rPr>
                <w:sz w:val="18"/>
                <w:szCs w:val="18"/>
                <w:color w:val="auto"/>
              </w:rPr>
            </w:pPr>
          </w:p>
        </w:tc>
      </w:tr>
      <w:tr>
        <w:trPr>
          <w:trHeight w:val="241"/>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Markets Serviced</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Distribution</w:t>
            </w:r>
          </w:p>
        </w:tc>
        <w:tc>
          <w:tcPr>
            <w:tcW w:w="5400" w:type="dxa"/>
            <w:vAlign w:val="bottom"/>
          </w:tcPr>
          <w:p>
            <w:pPr>
              <w:ind w:left="2280"/>
              <w:spacing w:after="0"/>
              <w:rPr>
                <w:sz w:val="20"/>
                <w:szCs w:val="20"/>
                <w:color w:val="auto"/>
              </w:rPr>
            </w:pPr>
            <w:r>
              <w:rPr>
                <w:rFonts w:ascii="Arial" w:cs="Arial" w:eastAsia="Arial" w:hAnsi="Arial"/>
                <w:sz w:val="18"/>
                <w:szCs w:val="18"/>
                <w:b w:val="1"/>
                <w:bCs w:val="1"/>
                <w:color w:val="auto"/>
              </w:rPr>
              <w:t>Customers</w:t>
            </w:r>
          </w:p>
        </w:tc>
      </w:tr>
      <w:tr>
        <w:trPr>
          <w:trHeight w:val="216"/>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Oil and Gas</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33%</w:t>
            </w:r>
          </w:p>
        </w:tc>
        <w:tc>
          <w:tcPr>
            <w:tcW w:w="10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Oilfield Services, Oil and Gas Operators and Producers</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02"/>
        </w:trPr>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Commercial and Industrial</w:t>
            </w:r>
          </w:p>
        </w:tc>
        <w:tc>
          <w:tcPr>
            <w:tcW w:w="13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67%</w:t>
            </w:r>
          </w:p>
        </w:tc>
        <w:tc>
          <w:tcPr>
            <w:tcW w:w="10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Inland River Carriers — Dry and Liquid, Offshore Towing — Dry and</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Liquid, Offshore Oilfield Services — Drilling Rigs &amp; Supply Boats,</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2"/>
              </w:rPr>
              <w:t>Harbor Towing, Dredging, Great Lakes Ore Carriers, Pleasure Crafts, On</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9"/>
              </w:rPr>
              <w:t>and Off-Highway Transportation, Power Generation, Standby Power</w:t>
            </w:r>
          </w:p>
        </w:tc>
      </w:tr>
      <w:tr>
        <w:trPr>
          <w:trHeight w:val="230"/>
        </w:trPr>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Generation, Pumping Stations</w:t>
            </w:r>
          </w:p>
        </w:tc>
      </w:tr>
    </w:tbl>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Distribution and services revenues for the 2020 first quarter decreased 36% compared with the 2019 first quarter. The decrease was primarily attributable to reduced activity in the oilfield as a result of oil price volatility throughout 2019 and into the 2020 first quarter, an oversupply of pressure pumping equipment in North America, and reduced spending and enhanced cash flow discipline for the Company’s major oilfield customers in addition to the impact of COVID-19 later in the quarter. As a result, customer demand and incremental orders for new and remanufactured pressure pumping equipment and sales of new and overhauled transmissions and related parts and service declined during the 2020 first quarter. For the 2020 first quarter, the oil and gas market contributed 33% of the distribution and services revenues.</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commercial and industrial market, which contributed 67% of the distribution and services revenues for the 2020 first quarter, increased compared to the 2019 first quarter, primarily due to the contribution from the Convoy acquisition. This incremental revenue was partially offset by reductions in on-highway and power generation service demand as a result of the COVID-19 economic slowdown and nationwide stay-at-home orders. Demand in the nuclear power generation market was stable compared to the 2019 first quarter.</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Costs and expenses for the 2020 first quarter decreased 30% compared with the 2019 first quarter. Costs of sales and operating expenses for the 2020 first quarter decreased 35%, compared with the 2019 first quarter, reflecting lower demand for new and overhauled transmissions and related parts and service and reduced demand for new pressure pumping equipment in the oil and gas market.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income for the distribution and services segment for the 2020 first quarter decreased 90% compared with the 2019 first quarter. The operating margin for the 2020 first quarter was 1.5% compared with 10.0% for the 2019 first quarter. The results primarily reflected a small decrease in margins in the commercial and industrial market and losses in oil and gas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reported a net gain on disposition of assets of $492,000 for the 2020 first quarter compared with a net gain of $2,157,000 for the 2019 first quarter. The net gains were primarily from sales of marine equipment. The 2019 first quarter also included sales of distribution and services’ properties.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impairments and other charges, other income (expense), noncontrolling interests and interest expense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8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w w:val="98"/>
              </w:rPr>
              <w:t>Three months ended March 31,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Impairments and other charges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(433,341)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(12,799)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(13,201)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w:t>
            </w: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and Other Charges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Impairment and other charges includes $433,341,000 before taxes, $334,568,000 after taxes, or $5.59 per share, non-cash charges related to inventory write-downs, impairment of long-lived assets, including intangible assets and property and equipment, and impairment of goodwill in the distribution and services segment. See Note 8, Impairments and Other Charges for additional information.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for the 2020 and 2019 first quarters includes income of $2,172,000 and $446,000, respectively, for all components of net benefit costs except the service cost component related to the Company’s defined benefit plans.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for the 2020 first quarter decreased 3% compared with the 2019 first quarter, primarily due to a lower average debt outstanding as a result of debt repayments throughout 2019, partially offset by borrowings to finance the Convoy acquisition in January 2020 and the Savage acquisition which closed April 1, 2020. During the 2020 and 2019 first quarters, the average debt and average interest rate (excluding capitalized interest) were $1,442,032,000 and 3.5%, and $1,459,373,000 and 3.8%, respectively. Interest expense excludes capitalized interest of $643,000 for the 2019 first quarter. No interest was capitalized for the 2020 first quarter.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assets as of March 31, 2020 were $6,137,577,000 compared with $6,079,097,000 as of December 31, 2019. The following table sets forth the significant components of the balance sheets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7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1,368,013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917,579</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3,776,784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3,777,110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159,641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704,098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953,826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73,694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210,682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r>
      <w:tr>
        <w:trPr>
          <w:trHeight w:val="223"/>
        </w:trPr>
        <w:tc>
          <w:tcPr>
            <w:tcW w:w="728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57,655</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60,259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57"/>
        </w:trPr>
        <w:tc>
          <w:tcPr>
            <w:tcW w:w="7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6,137,577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6,079,097</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514,115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Long-term debt, net – less current portion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1,702,476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1,369,751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588,204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Operating lease liabilities – less current portion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138,884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139,457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93,208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95,978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23"/>
        </w:trPr>
        <w:tc>
          <w:tcPr>
            <w:tcW w:w="7280" w:type="dxa"/>
            <w:vAlign w:val="bottom"/>
          </w:tcPr>
          <w:p>
            <w:pPr>
              <w:ind w:left="14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3,124,527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3,371,592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57"/>
        </w:trPr>
        <w:tc>
          <w:tcPr>
            <w:tcW w:w="7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6,137,577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6,079,097</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Current assets as of March 31, 2020 increased 49% compared with December 31, 2019. Cash and cash equivalents increased to $322,571,000 at March 31, 2020 from $24,737,000 at December 31, 2019, primarily due to borrowings under the Revolving Credit Facility for the purchase of the Savage fleet, which was completed April 1, 2020. Trade accounts receivable increased 3% primarily due to increased activities in the inland marine transportation market and the Convoy acquisition. Other accounts receivable increased 144%, primarily due to income taxes receivable recorded for net operating losses generated during tax years 2018 through 2020 offset against taxable income during tax years 2013 through 2017 under provisions of the CARES Act. Inventories, net decreased by 3% primarily due to reduced business activity levels in the oil and gas market and write downs of oilfield and pressure pumping related inventory, partially offset by inventory acquired from Convoy.</w:t>
      </w:r>
    </w:p>
    <w:p>
      <w:pPr>
        <w:spacing w:after="0" w:line="2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Property and equipment, net of accumulated depreciation, at March 31, 2020 decreased slightly compared with December 31, 2019. The decrease reflected $51,616,000 of depreciation expense, $16,395,000 of impairment charges, and $4,762,000 of property disposals during the 2020 first quarter, offset by $51,932,000 of capital expenditures (inclusive of accrued capital expenditures) for the 2020 first quarter, more fully described under Cash Flows and Capital Expenditures above, the three newly constructed inland pressure barges purchased in the 2020 first quarter for $20,100,000, and the aggregate fair value of the property and equipment acquired in the Convoy acquisition of $415,000.</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as of March 31, 2020 decreased 26% compared with December 31, 2019, primarily due to a goodwill impairment in the distribution and services segment, partially offset by goodwill recorded as part of the Convoy acquisition.</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intangibles, net, as of March 31, 2020 decreased 65% compared with December 31, 2019, primarily due to impairments of customer relationship, tradename, and distributorship assets in the distribution and services segment as well as amortization of intangibles, partially offset by intangible assets recorded as part of the Convoy acquisition.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324"/>
        <w:spacing w:after="0" w:line="301" w:lineRule="auto"/>
        <w:rPr>
          <w:sz w:val="20"/>
          <w:szCs w:val="20"/>
          <w:color w:val="auto"/>
        </w:rPr>
      </w:pPr>
      <w:r>
        <w:rPr>
          <w:rFonts w:ascii="Arial" w:cs="Arial" w:eastAsia="Arial" w:hAnsi="Arial"/>
          <w:sz w:val="16"/>
          <w:szCs w:val="16"/>
          <w:color w:val="auto"/>
        </w:rPr>
        <w:t>Current liabilities as of March 31, 2020 decreased 3% compared with December 31, 2019. Accounts payable increased 10%, primarily due to the Convoy acquisition and increased activity levels in the inland market, partially offset by decreased shipyard maintenance accruals on coastal equipment. Accrued liabilities decreased 13% primarily from payment during the 2020 first quarter of employee incentive compensation bonuses accrued during 2019. Deferred revenues decreased 14%, primarily reflecting reduced business activity levels in the distribution and services oil and gas market.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Long-term debt, net – less current portion, as of March 31, 2020 increased 24% compared with December 31, 2019, primarily reflecting additional borrowings of $485,000,000 under the Revolving Credit Facility, partially offset by the repayment of $150,000,000 of 2.72% unsecured senior notes upon maturity. Net debt discount and deferred issuance costs were $7,524,000 at March 31, 2020 and $5,249,000 (excluding $2,650,000 attributable to the Revolving Credit Facility included in other assets on the balance sheet) at December 31, 2019.</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income taxes as of March 31, 2020 decreased 1% compared with December 31, 2019, primarily reflecting the 2020 first quarter deferred tax benefit of $6,082,000.</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long-term liabilities as of March 31, 2020 decreased 3% compared with December 31, 2019. The decrease was primarily due to amortization of intangible liabilities and a decrease in pension liabilities.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Total equity as of March 31, 2020 decreased 7% compared with December 31, 2019. The decrease was primarily the result of a net loss attributable to Kirby of $248,468,000 for the 2020 first quarter and tax withholdings of $3,165,000 on restricted stock and RSU vestings, partially offset by an increase in additional paid-in capital due to amortization of unearned share-based compensation of $5,331,000.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Long-Term Financing</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ind w:left="340"/>
              <w:spacing w:after="0"/>
              <w:rPr>
                <w:sz w:val="20"/>
                <w:szCs w:val="20"/>
                <w:color w:val="auto"/>
              </w:rPr>
            </w:pPr>
            <w:r>
              <w:rPr>
                <w:rFonts w:ascii="Arial" w:cs="Arial" w:eastAsia="Arial" w:hAnsi="Arial"/>
                <w:sz w:val="18"/>
                <w:szCs w:val="18"/>
                <w:color w:val="auto"/>
              </w:rPr>
              <w:t>The following table summarizes the Company’s outstanding debt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Revolving Credit Facility due March 27, 2024 (a)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Term Loan due March 27, 2024 (b)</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2.72% senior notes due February 27, 2020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3.29% senior notes due February 27, 2023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4.2% senior notes due March 1, 2028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Credit line due June 30, 2021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Bank notes payable</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1,710,017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1,375,016</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debt discount and issuance costs (c)</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(5,249)</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1,702,493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1,369,767</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Variable interest rate of 1.9% and 2.9% at March 31, 2020 and December 31, 2019, respectively.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Variable interest rate of 2.1% and 2.9% at March 31, 2020 and December 31, 2019, respectively.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$2,650,000 attributable to the Revolving Credit Facility included in other assets at December 31, 2019.</w:t>
      </w:r>
    </w:p>
    <w:p>
      <w:pPr>
        <w:spacing w:after="0" w:line="2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has a Credit Agreement with a group of commercial banks, with JPMorgan Chase Bank, N.A. as the administrative agent bank, allowing for an $850,000,000 Revolving Credit Facility and a Term Loan with a maturity date of March 27, 2024. The Term Loan is repayable in quarterly installments currently scheduled to commence September 30, 2023, with $343,750,000 due on March 27, 2024. The Term Loan is prepayable, in whole or in part, without penalty. The Revolving Credit Facility includes a $25,000,000 commitment which may be used for standby letters of credit. Outstanding letters of credit under the Revolving Credit Facility were $5,363,000 and available borrowing capacity was $359,637,000 as of March 31, 2020.</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color w:val="auto"/>
        </w:rPr>
        <w:t>On February 27, 2020, upon maturity, the Company repaid in full $150,000,000 of 2.72% unsecured senior notes.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Outstanding letters of credit under the $10,000,000 credit line were $1,171,000 and available borrowing capacity was $8,829,000 as of March 31, 2020.</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2020, the Company was in compliance with all covenants under its debt instruments. For additional information about the Company’s debt instruments, see “Long-Term Financing” in Item 7 — Management’s Discussion and Analysis of Financial Condition and Results of Operations and Note 8, Long-Term Debt, in the Company’s Annual Report on Form 10-K for the year ended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did not purchase any treasury stock during the 2020 first quarter. As of May 7, 2020, the Company had approximately 1,400,000 shares available under its existing repurchase authorization.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generated net cash provided by operating activities of $71,501,000 and $38,529,000 for the 2020 and 2019 first quarters, respectively. The increase was driven by increased revenues and operating income in the marine transportation segment driven by the Cenac acquisition in March 2019 and increased inland and coastal pricing. The improvement was also due to changes in operating assets and liabilities primarily related to reduced incentive compensation payouts in the 2020 first quarter and smaller increases in trade accounts receivable, partially offset by reduced business activity levels in the oil and gas market of the distribution and services segment.</w:t>
      </w:r>
    </w:p>
    <w:p>
      <w:pPr>
        <w:spacing w:after="0" w:line="21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Funds generated from operations are available for acquisitions, capital expenditure projects, common stock repurchases, repayments of borrowings, and for other corporate and operating requirements. In addition to net cash flows provided by operating activities, as of May 7, 2020, the Company also had cash equivalents of $73,818,000, availability of $359,637,000 under its Revolving Credit Facility, and $8,829,000 available under its Credit Line.</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Credit Agreement.</w:t>
      </w:r>
    </w:p>
    <w:p>
      <w:pPr>
        <w:spacing w:after="0" w:line="19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Revolving Credit Facility’s commitment is in the amount of $850,000,000 and expires March 27, 2024. As of March 31, 2020, the Company had $359,637,000 available under the Revolving Credit Facility. The 3.29% senior unsecured notes do not mature until February 27, 2023 and require no prepayments. The 4.2% senior unsecured notes do not mature until March 1, 2028 and require no prepayments. The outstanding balance of the Term Loan is subject to quarterly installments, currently scheduled to commence September 30, 2023, with $343,750,000 due on March 27, 2024. The Term Loan is prepayable, in whole or in part, without penalty.</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numerous factors that may negatively impact the Company’s cash flows in 2020. For a list of significant risks and uncertainties that could impact cash flows, see Item 1A — Risk Factors below and Note 15, Contingencies, in the financial statements, and Item 1A — Risk Factors and Note 15, Contingencies and Commitments, in the Company’s Annual Report on Form 10-K for the year ended December 31, 2019. Amounts available under the Company’s existing financial arrangements are subject to the Company continuing to meet the covenants of the credit facilities as described in Item 7, Management’s Discussion and Analysis of Financial Condition and Results of Operations under Long-Term Financing in the Company’s Annual Report on Form 10-K for the year ended December 31, 2019.</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ind w:firstLine="324"/>
        <w:spacing w:after="0" w:line="275" w:lineRule="auto"/>
        <w:rPr>
          <w:sz w:val="20"/>
          <w:szCs w:val="20"/>
          <w:color w:val="auto"/>
        </w:rPr>
      </w:pPr>
      <w:r>
        <w:rPr>
          <w:rFonts w:ascii="Arial" w:cs="Arial" w:eastAsia="Arial" w:hAnsi="Arial"/>
          <w:sz w:val="17"/>
          <w:szCs w:val="17"/>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$23,219,000 at March 31, 2020, including $11,344,000 in letters of credit and $11,875,000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2020 interest expense by $206,000 based on balances outstanding at December 31, 2019, and would change the fair value of the Company’s debt by less than 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Chief Executive Officer and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has evaluated the Company’s disclosure controls and procedures (as defined in Rule 13a-15(e) under the Securities Exchange Act of 1934 (“Exchange Act”)), as of March 31, 2020, as required by Rule 13a-15(b) under the Exchange Act. Based on that evaluation, the Chief Executive Officer and the Chief Financial Officer concluded that, as of March 31, 2020,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first quarter of 2020, certain distribution and services branch locations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the preparation and implementation of a series of changes to their financial reporting systems and processes. Certain other distribution and services branch locations are expected to complete similar implementations in future periods throughout 2020. There were no other changes in the Company’s internal control over financial reporting during the quarter ended March 31, 2020 that have materially affected, or are reasonably likely to materially affect, the Company’s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discussion of the legal proceedings related to the M/V Voyager and the legal proceedings related to the tug Nathan E. Stewart and barge DBL 55 in Note 15, Contingencies, of the Notes to Unaudited Consolidated Financial Statements in this Quarterly Report are incorporated by reference into this Item 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Widespread health developments and economic uncertainty resulting from the recent global COVID-19 pandemic could materially and adversely affect our business, financial condition and results of operations.</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December 2019, COVID-19 surfaced in Wuhan, China. In response to the resulting pandemic, various countries, including the United States, have either mandated or recommended business closures, travel restrictions or limitations, social distancing, and/or self-quarantine, among other actions. Additionally, various state and local governments in locations where the Company operates have taken similar actions. The full impact and duration of the outbreak is unknown and the situation is rapidly evolving as some governments are in the early stages of removing or easing these actions, but there has been a negative impact on the global and United States economies, including the oil and gas industry, which has reduced demand for the Company’s products and services. The extent and duration of these impacts is unknown at this time.</w:t>
      </w:r>
    </w:p>
    <w:p>
      <w:pPr>
        <w:spacing w:after="0" w:line="20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These impacts could place limitations on the Company’s ability to execute on its business plan and materially and adversely affect its business, financial condition and results of operations. The Company continues to monitor the situation, has actively implemented policies and procedures to address the situation, including its pandemic response plan and business continuity plan, and has taken steps to reduce costs. As the pandemic continues to further unfold, the Company may adjust its current policies and procedures as government mandates or recommendations change or as more information and guidance become available. The impact of COVID-19 may also exacerbate other risks discussed in Item 1A of the Company’s Annual Report on Form 10-K for the year ended December 31, 2019, any of which could have a material effect on the Company. This situation is changing rapidly and additional impacts may arise that the Company is not aware of currently.</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other material changes that the Company is aware of from the risk factors previously disclosed in its “Risk Factors” in the Company’s Annual Report on Form 10-K for the year ended December 31, 2019.</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4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c>
          <w:tcPr>
            <w:tcW w:w="9800" w:type="dxa"/>
            <w:vAlign w:val="bottom"/>
          </w:tcPr>
          <w:p>
            <w:pPr>
              <w:spacing w:after="0"/>
              <w:rPr>
                <w:sz w:val="20"/>
                <w:szCs w:val="20"/>
                <w:color w:val="auto"/>
              </w:rPr>
            </w:pPr>
          </w:p>
        </w:tc>
      </w:tr>
      <w:tr>
        <w:trPr>
          <w:trHeight w:val="459"/>
        </w:trPr>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0" w:type="dxa"/>
            <w:vAlign w:val="bottom"/>
          </w:tcPr>
          <w:p>
            <w:pPr>
              <w:ind w:left="34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600" w:type="dxa"/>
            <w:vAlign w:val="bottom"/>
          </w:tcPr>
          <w:p>
            <w:pPr>
              <w:spacing w:after="0"/>
              <w:rPr>
                <w:sz w:val="20"/>
                <w:szCs w:val="20"/>
                <w:color w:val="auto"/>
              </w:rPr>
            </w:pPr>
            <w:r>
              <w:rPr>
                <w:rFonts w:ascii="Arial" w:cs="Arial" w:eastAsia="Arial" w:hAnsi="Arial"/>
                <w:sz w:val="18"/>
                <w:szCs w:val="18"/>
                <w:b w:val="1"/>
                <w:bCs w:val="1"/>
                <w:color w:val="auto"/>
                <w:w w:val="96"/>
              </w:rPr>
              <w:t>Exhibit</w:t>
            </w:r>
          </w:p>
        </w:tc>
        <w:tc>
          <w:tcPr>
            <w:tcW w:w="84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23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800" w:type="dxa"/>
            <w:vAlign w:val="bottom"/>
          </w:tcPr>
          <w:p>
            <w:pPr>
              <w:ind w:left="140"/>
              <w:spacing w:after="0"/>
              <w:rPr>
                <w:sz w:val="20"/>
                <w:szCs w:val="20"/>
                <w:color w:val="auto"/>
              </w:rPr>
            </w:pPr>
            <w:r>
              <w:rPr>
                <w:rFonts w:ascii="Arial" w:cs="Arial" w:eastAsia="Arial" w:hAnsi="Arial"/>
                <w:sz w:val="18"/>
                <w:szCs w:val="18"/>
                <w:b w:val="1"/>
                <w:bCs w:val="1"/>
                <w:color w:val="auto"/>
              </w:rPr>
              <w:t>Description of Exhibits</w:t>
            </w:r>
          </w:p>
        </w:tc>
      </w:tr>
      <w:tr>
        <w:trPr>
          <w:trHeight w:val="216"/>
        </w:trPr>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02"/>
        </w:trPr>
        <w:tc>
          <w:tcPr>
            <w:tcW w:w="600" w:type="dxa"/>
            <w:vAlign w:val="bottom"/>
            <w:shd w:val="clear" w:color="auto" w:fill="CCEEFF"/>
          </w:tcPr>
          <w:p>
            <w:pPr>
              <w:spacing w:after="0" w:line="201" w:lineRule="exact"/>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3.1</w:t>
              </w:r>
            </w:hyperlink>
          </w:p>
        </w:tc>
        <w:tc>
          <w:tcPr>
            <w:tcW w:w="8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w:t>
            </w:r>
          </w:p>
        </w:tc>
        <w:tc>
          <w:tcPr>
            <w:tcW w:w="98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Restated Articles of Incorporation of the Company with all amendments to date (incorporated by reference to Exhibit 3.1 to the</w:t>
            </w:r>
          </w:p>
        </w:tc>
      </w:tr>
      <w:tr>
        <w:trPr>
          <w:trHeight w:val="230"/>
        </w:trPr>
        <w:tc>
          <w:tcPr>
            <w:tcW w:w="6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Registrant’s Annual Report on Form 10-K for the year ended December 31, 2014)</w:t>
            </w:r>
          </w:p>
        </w:tc>
      </w:tr>
      <w:tr>
        <w:trPr>
          <w:trHeight w:val="202"/>
        </w:trPr>
        <w:tc>
          <w:tcPr>
            <w:tcW w:w="600" w:type="dxa"/>
            <w:vAlign w:val="bottom"/>
          </w:tcPr>
          <w:p>
            <w:pPr>
              <w:spacing w:after="0" w:line="201" w:lineRule="exact"/>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3.2</w:t>
              </w:r>
            </w:hyperlink>
          </w:p>
        </w:tc>
        <w:tc>
          <w:tcPr>
            <w:tcW w:w="840" w:type="dxa"/>
            <w:vAlign w:val="bottom"/>
          </w:tcPr>
          <w:p>
            <w:pPr>
              <w:ind w:left="600"/>
              <w:spacing w:after="0" w:line="201" w:lineRule="exact"/>
              <w:rPr>
                <w:sz w:val="20"/>
                <w:szCs w:val="20"/>
                <w:color w:val="auto"/>
              </w:rPr>
            </w:pPr>
            <w:r>
              <w:rPr>
                <w:rFonts w:ascii="Arial" w:cs="Arial" w:eastAsia="Arial" w:hAnsi="Arial"/>
                <w:sz w:val="18"/>
                <w:szCs w:val="18"/>
                <w:color w:val="auto"/>
              </w:rPr>
              <w:t>–</w:t>
            </w:r>
          </w:p>
        </w:tc>
        <w:tc>
          <w:tcPr>
            <w:tcW w:w="9800" w:type="dxa"/>
            <w:vAlign w:val="bottom"/>
          </w:tcPr>
          <w:p>
            <w:pPr>
              <w:ind w:left="140"/>
              <w:spacing w:after="0" w:line="201" w:lineRule="exact"/>
              <w:rPr>
                <w:sz w:val="20"/>
                <w:szCs w:val="20"/>
                <w:color w:val="auto"/>
              </w:rPr>
            </w:pPr>
            <w:r>
              <w:rPr>
                <w:rFonts w:ascii="Arial" w:cs="Arial" w:eastAsia="Arial" w:hAnsi="Arial"/>
                <w:sz w:val="18"/>
                <w:szCs w:val="18"/>
                <w:color w:val="auto"/>
                <w:w w:val="92"/>
              </w:rPr>
              <w:t>Bylaws of the Company, as amended to March 17, 2020 (incorporated by reference to Exhibit 3.2 to the Registrant’s Annual Report</w:t>
            </w:r>
          </w:p>
        </w:tc>
      </w:tr>
      <w:tr>
        <w:trPr>
          <w:trHeight w:val="230"/>
        </w:trPr>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on Form 10-K for the year ended December 31, 2014)</w:t>
            </w:r>
          </w:p>
        </w:tc>
      </w:tr>
      <w:tr>
        <w:trPr>
          <w:trHeight w:val="202"/>
        </w:trPr>
        <w:tc>
          <w:tcPr>
            <w:tcW w:w="600" w:type="dxa"/>
            <w:vAlign w:val="bottom"/>
            <w:shd w:val="clear" w:color="auto" w:fill="CCEEFF"/>
          </w:tcPr>
          <w:p>
            <w:pPr>
              <w:spacing w:after="0" w:line="201" w:lineRule="exact"/>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3.3</w:t>
              </w:r>
            </w:hyperlink>
          </w:p>
        </w:tc>
        <w:tc>
          <w:tcPr>
            <w:tcW w:w="8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w:t>
            </w:r>
          </w:p>
        </w:tc>
        <w:tc>
          <w:tcPr>
            <w:tcW w:w="98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Amendment to Bylaws of Kirby Corporation dated March 18, 2020 (incorporated by reference to Exhibit 3.1 to the Registrant’s</w:t>
            </w:r>
          </w:p>
        </w:tc>
      </w:tr>
      <w:tr>
        <w:trPr>
          <w:trHeight w:val="230"/>
        </w:trPr>
        <w:tc>
          <w:tcPr>
            <w:tcW w:w="6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Report on Form 8-K filed with the Commission on March 19, 2020)</w:t>
            </w:r>
          </w:p>
        </w:tc>
      </w:tr>
      <w:tr>
        <w:trPr>
          <w:trHeight w:val="202"/>
        </w:trPr>
        <w:tc>
          <w:tcPr>
            <w:tcW w:w="600" w:type="dxa"/>
            <w:vAlign w:val="bottom"/>
          </w:tcPr>
          <w:p>
            <w:pPr>
              <w:spacing w:after="0" w:line="201" w:lineRule="exact"/>
              <w:rPr>
                <w:sz w:val="20"/>
                <w:szCs w:val="20"/>
                <w:color w:val="auto"/>
              </w:rPr>
            </w:pPr>
            <w:r>
              <w:rPr>
                <w:rFonts w:ascii="Arial" w:cs="Arial" w:eastAsia="Arial" w:hAnsi="Arial"/>
                <w:sz w:val="18"/>
                <w:szCs w:val="18"/>
                <w:color w:val="auto"/>
              </w:rPr>
              <w:t>4.1</w:t>
            </w:r>
          </w:p>
        </w:tc>
        <w:tc>
          <w:tcPr>
            <w:tcW w:w="840" w:type="dxa"/>
            <w:vAlign w:val="bottom"/>
          </w:tcPr>
          <w:p>
            <w:pPr>
              <w:ind w:left="600"/>
              <w:spacing w:after="0" w:line="201" w:lineRule="exact"/>
              <w:rPr>
                <w:sz w:val="20"/>
                <w:szCs w:val="20"/>
                <w:color w:val="auto"/>
              </w:rPr>
            </w:pPr>
            <w:r>
              <w:rPr>
                <w:rFonts w:ascii="Arial" w:cs="Arial" w:eastAsia="Arial" w:hAnsi="Arial"/>
                <w:sz w:val="18"/>
                <w:szCs w:val="18"/>
                <w:color w:val="auto"/>
              </w:rPr>
              <w:t>–</w:t>
            </w:r>
          </w:p>
        </w:tc>
        <w:tc>
          <w:tcPr>
            <w:tcW w:w="9800" w:type="dxa"/>
            <w:vAlign w:val="bottom"/>
          </w:tcPr>
          <w:p>
            <w:pPr>
              <w:ind w:left="140"/>
              <w:spacing w:after="0" w:line="201" w:lineRule="exact"/>
              <w:rPr>
                <w:sz w:val="20"/>
                <w:szCs w:val="20"/>
                <w:color w:val="auto"/>
              </w:rPr>
            </w:pPr>
            <w:r>
              <w:rPr>
                <w:rFonts w:ascii="Arial" w:cs="Arial" w:eastAsia="Arial" w:hAnsi="Arial"/>
                <w:sz w:val="18"/>
                <w:szCs w:val="18"/>
                <w:color w:val="auto"/>
                <w:w w:val="92"/>
              </w:rPr>
              <w:t>See Exhibits 3.1, 3.2, and 3.3 hereof for provisions of our Restated Articles of Incorporation of the Company with all amendments to</w:t>
            </w:r>
          </w:p>
        </w:tc>
      </w:tr>
      <w:tr>
        <w:trPr>
          <w:trHeight w:val="216"/>
        </w:trPr>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0"/>
              </w:rPr>
              <w:t>date, the Bylaws of the Company, as amended to March 17, 2020, and Amendment to Bylaws of the Company dated March 18, 2020</w:t>
            </w:r>
          </w:p>
        </w:tc>
      </w:tr>
      <w:tr>
        <w:trPr>
          <w:trHeight w:val="216"/>
        </w:trPr>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(incorporated by reference to Exhibit 3.1 and 3.2, respectively, to the Registrant's Annual Report on Form 10-K for the year ended</w:t>
            </w:r>
          </w:p>
        </w:tc>
      </w:tr>
      <w:tr>
        <w:trPr>
          <w:trHeight w:val="230"/>
        </w:trPr>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December 31, 2014 and Exhibit 3.1 to the Registrant’s Current Report on Form 8-K filed with the Commission on March 19, 2020 ).</w:t>
            </w: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31.1</w:t>
              </w:r>
            </w:hyperlink>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Certification of Chief Executive Officer Pursuant to Rule 13a-14(a)</w:t>
            </w:r>
          </w:p>
        </w:tc>
      </w:tr>
      <w:tr>
        <w:trPr>
          <w:trHeight w:val="218"/>
        </w:trPr>
        <w:tc>
          <w:tcPr>
            <w:tcW w:w="6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31.2</w:t>
              </w:r>
            </w:hyperlink>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Rule 13a-14(a)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0" w:hanging="1192"/>
        <w:spacing w:after="0"/>
        <w:tabs>
          <w:tab w:leader="none" w:pos="1200" w:val="left"/>
        </w:tabs>
        <w:numPr>
          <w:ilvl w:val="0"/>
          <w:numId w:val="18"/>
        </w:numPr>
        <w:rPr>
          <w:rFonts w:ascii="Arial" w:cs="Arial" w:eastAsia="Arial" w:hAnsi="Arial"/>
          <w:sz w:val="18"/>
          <w:szCs w:val="18"/>
          <w:u w:val="single" w:color="auto"/>
          <w:color w:val="0000EE"/>
        </w:rPr>
      </w:pPr>
      <w:r>
        <w:rPr>
          <w:rFonts w:ascii="Arial" w:cs="Arial" w:eastAsia="Arial" w:hAnsi="Arial"/>
          <w:sz w:val="18"/>
          <w:szCs w:val="18"/>
          <w:color w:val="auto"/>
        </w:rPr>
        <w:t>–   Certification Pursuant to 18 U.S.C. Section 1350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tcPr>
          <w:p>
            <w:pPr>
              <w:ind w:left="260"/>
              <w:spacing w:after="0"/>
              <w:rPr>
                <w:sz w:val="20"/>
                <w:szCs w:val="20"/>
                <w:color w:val="auto"/>
              </w:rPr>
            </w:pPr>
            <w:r>
              <w:rPr>
                <w:rFonts w:ascii="Arial" w:cs="Arial" w:eastAsia="Arial" w:hAnsi="Arial"/>
                <w:sz w:val="18"/>
                <w:szCs w:val="18"/>
                <w:color w:val="auto"/>
                <w:w w:val="95"/>
              </w:rPr>
              <w:t>–   Inline XBRL Instance Document – the instance document does not appear in the Interactive Data File because its XBRL tags are</w:t>
            </w:r>
          </w:p>
        </w:tc>
      </w:tr>
      <w:tr>
        <w:trPr>
          <w:trHeight w:val="230"/>
        </w:trPr>
        <w:tc>
          <w:tcPr>
            <w:tcW w:w="940" w:type="dxa"/>
            <w:vAlign w:val="bottom"/>
          </w:tcPr>
          <w:p>
            <w:pPr>
              <w:spacing w:after="0"/>
              <w:rPr>
                <w:sz w:val="20"/>
                <w:szCs w:val="20"/>
                <w:color w:val="auto"/>
              </w:rPr>
            </w:pPr>
          </w:p>
        </w:tc>
        <w:tc>
          <w:tcPr>
            <w:tcW w:w="10300" w:type="dxa"/>
            <w:vAlign w:val="bottom"/>
          </w:tcPr>
          <w:p>
            <w:pPr>
              <w:ind w:left="640"/>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Inline XBRL Taxonomy Extension Schema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300" w:type="dxa"/>
            <w:vAlign w:val="bottom"/>
          </w:tcPr>
          <w:p>
            <w:pPr>
              <w:ind w:left="26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300" w:type="dxa"/>
            <w:vAlign w:val="bottom"/>
          </w:tcPr>
          <w:p>
            <w:pPr>
              <w:ind w:left="26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223"/>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103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Cover Page Interactive Data File (embedded within the Inline XBRL document)</w:t>
            </w:r>
          </w:p>
        </w:tc>
      </w:tr>
      <w:tr>
        <w:trPr>
          <w:trHeight w:val="582"/>
        </w:trPr>
        <w:tc>
          <w:tcPr>
            <w:tcW w:w="940" w:type="dxa"/>
            <w:vAlign w:val="bottom"/>
          </w:tcPr>
          <w:p>
            <w:pPr>
              <w:spacing w:after="0"/>
              <w:rPr>
                <w:sz w:val="24"/>
                <w:szCs w:val="24"/>
                <w:color w:val="auto"/>
              </w:rPr>
            </w:pPr>
          </w:p>
        </w:tc>
        <w:tc>
          <w:tcPr>
            <w:tcW w:w="10300" w:type="dxa"/>
            <w:vAlign w:val="bottom"/>
          </w:tcPr>
          <w:p>
            <w:pPr>
              <w:ind w:left="4620"/>
              <w:spacing w:after="0"/>
              <w:rPr>
                <w:sz w:val="20"/>
                <w:szCs w:val="20"/>
                <w:color w:val="auto"/>
              </w:rPr>
            </w:pPr>
            <w:r>
              <w:rPr>
                <w:rFonts w:ascii="Arial" w:cs="Arial" w:eastAsia="Arial" w:hAnsi="Arial"/>
                <w:sz w:val="14"/>
                <w:szCs w:val="14"/>
                <w:color w:val="auto"/>
              </w:rPr>
              <w:t>31</w:t>
            </w:r>
          </w:p>
        </w:tc>
      </w:tr>
      <w:tr>
        <w:trPr>
          <w:trHeight w:val="46"/>
        </w:trPr>
        <w:tc>
          <w:tcPr>
            <w:tcW w:w="940" w:type="dxa"/>
            <w:vAlign w:val="bottom"/>
            <w:tcBorders>
              <w:bottom w:val="single" w:sz="8" w:color="auto"/>
            </w:tcBorders>
          </w:tcPr>
          <w:p>
            <w:pPr>
              <w:spacing w:after="0"/>
              <w:rPr>
                <w:sz w:val="4"/>
                <w:szCs w:val="4"/>
                <w:color w:val="auto"/>
              </w:rPr>
            </w:pPr>
          </w:p>
        </w:tc>
        <w:tc>
          <w:tcPr>
            <w:tcW w:w="103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61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340"/>
          </w:cols>
          <w:pgMar w:left="320" w:top="121" w:right="12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39" w:lineRule="exact"/>
        <w:rPr>
          <w:sz w:val="20"/>
          <w:szCs w:val="20"/>
          <w:color w:val="auto"/>
        </w:rPr>
      </w:pPr>
    </w:p>
    <w:p>
      <w:pPr>
        <w:ind w:left="340" w:right="960"/>
        <w:spacing w:after="0" w:line="250" w:lineRule="auto"/>
        <w:rPr>
          <w:sz w:val="20"/>
          <w:szCs w:val="20"/>
          <w:color w:val="auto"/>
        </w:rPr>
      </w:pPr>
      <w:r>
        <w:rPr>
          <w:rFonts w:ascii="Arial" w:cs="Arial" w:eastAsia="Arial" w:hAnsi="Arial"/>
          <w:sz w:val="22"/>
          <w:szCs w:val="22"/>
          <w:color w:val="auto"/>
        </w:rPr>
        <w:t>In connection with the filing of the Quarterly Report on Form 10-Q for the quarter ended March 31, 2020 by Kirby Corporation, David W. Grzebinski certifies that:</w:t>
      </w:r>
    </w:p>
    <w:p>
      <w:pPr>
        <w:spacing w:after="0" w:line="20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8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40" w:hanging="328"/>
        <w:spacing w:after="0" w:line="342"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340" w:right="3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39" w:lineRule="exact"/>
        <w:rPr>
          <w:sz w:val="20"/>
          <w:szCs w:val="20"/>
          <w:color w:val="auto"/>
        </w:rPr>
      </w:pPr>
    </w:p>
    <w:p>
      <w:pPr>
        <w:ind w:left="340" w:right="960"/>
        <w:spacing w:after="0" w:line="250" w:lineRule="auto"/>
        <w:rPr>
          <w:sz w:val="20"/>
          <w:szCs w:val="20"/>
          <w:color w:val="auto"/>
        </w:rPr>
      </w:pPr>
      <w:r>
        <w:rPr>
          <w:rFonts w:ascii="Arial" w:cs="Arial" w:eastAsia="Arial" w:hAnsi="Arial"/>
          <w:sz w:val="22"/>
          <w:szCs w:val="22"/>
          <w:color w:val="auto"/>
        </w:rPr>
        <w:t>In connection with the filing of the Quarterly Report on Form 10-Q for the quarter ended March 31, 2020 by Kirby Corporation, William G. Harvey certifies that:</w:t>
      </w:r>
    </w:p>
    <w:p>
      <w:pPr>
        <w:spacing w:after="0" w:line="20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8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40" w:hanging="328"/>
        <w:spacing w:after="0" w:line="342"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340" w:right="32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18 U.S.C. Section 1350</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 connection with the filing of the Quarterly Report on Form 10-Q for the quarter ended March 31, 2020 (the “Report”) by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Kirby Corporation (the “Company”), each of the undersigned hereby certifies that:</w:t>
      </w:r>
    </w:p>
    <w:p>
      <w:pPr>
        <w:spacing w:after="0" w:line="22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1)"/>
      <w:numFmt w:val="decimal"/>
      <w:start w:val="11"/>
    </w:lvl>
  </w:abstractNum>
  <w:abstractNum w:abstractNumId="10">
    <w:nsid w:val="6B68079A"/>
    <w:multiLevelType w:val="hybridMultilevel"/>
    <w:lvl w:ilvl="0">
      <w:lvlJc w:val="left"/>
      <w:lvlText w:val="(%1)"/>
      <w:numFmt w:val="decimal"/>
      <w:start w:val="12"/>
    </w:lvl>
  </w:abstractNum>
  <w:abstractNum w:abstractNumId="11">
    <w:nsid w:val="4E6AFB66"/>
    <w:multiLevelType w:val="hybridMultilevel"/>
    <w:lvl w:ilvl="0">
      <w:lvlJc w:val="left"/>
      <w:lvlText w:val="(%1)"/>
      <w:numFmt w:val="decimal"/>
      <w:start w:val="13"/>
    </w:lvl>
  </w:abstractNum>
  <w:abstractNum w:abstractNumId="12">
    <w:nsid w:val="25E45D32"/>
    <w:multiLevelType w:val="hybridMultilevel"/>
    <w:lvl w:ilvl="0">
      <w:lvlJc w:val="left"/>
      <w:lvlText w:val="(%1)"/>
      <w:numFmt w:val="decimal"/>
      <w:start w:val="14"/>
    </w:lvl>
  </w:abstractNum>
  <w:abstractNum w:abstractNumId="13">
    <w:nsid w:val="519B500D"/>
    <w:multiLevelType w:val="hybridMultilevel"/>
    <w:lvl w:ilvl="0">
      <w:lvlJc w:val="left"/>
      <w:lvlText w:val="%1"/>
      <w:numFmt w:val="decimal"/>
      <w:start w:val="1"/>
    </w:lvl>
    <w:lvl w:ilvl="1">
      <w:lvlJc w:val="left"/>
      <w:lvlText w:val="(%2)"/>
      <w:numFmt w:val="lowerLetter"/>
      <w:start w:val="1"/>
    </w:lvl>
  </w:abstractNum>
  <w:abstractNum w:abstractNumId="14">
    <w:nsid w:val="431BD7B7"/>
    <w:multiLevelType w:val="hybridMultilevel"/>
    <w:lvl w:ilvl="0">
      <w:lvlJc w:val="left"/>
      <w:lvlText w:val="(%1)"/>
      <w:numFmt w:val="decimal"/>
      <w:start w:val="15"/>
    </w:lvl>
    <w:lvl w:ilvl="1">
      <w:lvlJc w:val="left"/>
      <w:lvlText w:val="%2"/>
      <w:numFmt w:val="lowerLetter"/>
      <w:start w:val="1"/>
    </w:lvl>
  </w:abstractNum>
  <w:abstractNum w:abstractNumId="15">
    <w:nsid w:val="3F2DBA31"/>
    <w:multiLevelType w:val="hybridMultilevel"/>
    <w:lvl w:ilvl="0">
      <w:lvlJc w:val="left"/>
      <w:lvlText w:val="(%1)"/>
      <w:numFmt w:val="decimal"/>
      <w:start w:val="16"/>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32"/>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1" Type="http://schemas.openxmlformats.org/officeDocument/2006/relationships/hyperlink" Target="http://www.sec.gov/Archives/edgar/data/56047/000114036115008395/ex3_1.htm" TargetMode="External"/><Relationship Id="rId52" Type="http://schemas.openxmlformats.org/officeDocument/2006/relationships/hyperlink" Target="http://www.sec.gov/Archives/edgar/data/56047/000114036115008395/ex3_2.htm" TargetMode="External"/><Relationship Id="rId53" Type="http://schemas.openxmlformats.org/officeDocument/2006/relationships/hyperlink" Target="http://www.sec.gov/Archives/edgar/data/56047/000114036120006365/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2020-05-08T14:10:08Z</dcterms:created>
  <dcterms:modified xsi:type="dcterms:W3CDTF">2020-05-08T14:10:08Z</dcterms:modified>
</cp:coreProperties>
</file>