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38735</wp:posOffset>
            </wp:positionV>
            <wp:extent cx="2183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right="2720" w:firstLine="21"/>
        <w:spacing w:after="0" w:line="325" w:lineRule="auto"/>
        <w:tabs>
          <w:tab w:leader="none" w:pos="60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right="2380" w:firstLine="21"/>
        <w:spacing w:after="0" w:line="334" w:lineRule="auto"/>
        <w:tabs>
          <w:tab w:leader="none" w:pos="60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1-07615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64770</wp:posOffset>
            </wp:positionV>
            <wp:extent cx="2183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5"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62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74-1884980</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62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55 Waugh Drive, Suite 1000</w:t>
            </w:r>
          </w:p>
        </w:tc>
        <w:tc>
          <w:tcPr>
            <w:tcW w:w="3620" w:type="dxa"/>
            <w:vAlign w:val="bottom"/>
          </w:tcPr>
          <w:p>
            <w:pPr>
              <w:spacing w:after="0"/>
              <w:rPr>
                <w:sz w:val="19"/>
                <w:szCs w:val="19"/>
                <w:color w:val="auto"/>
              </w:rPr>
            </w:pP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362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77007</w:t>
            </w:r>
          </w:p>
        </w:tc>
      </w:tr>
      <w:tr>
        <w:trPr>
          <w:trHeight w:val="229"/>
        </w:trPr>
        <w:tc>
          <w:tcPr>
            <w:tcW w:w="53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62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73"/>
        </w:trPr>
        <w:tc>
          <w:tcPr>
            <w:tcW w:w="3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KEX</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2479675</wp:posOffset>
            </wp:positionH>
            <wp:positionV relativeFrom="paragraph">
              <wp:posOffset>58420</wp:posOffset>
            </wp:positionV>
            <wp:extent cx="2183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76" w:lineRule="exact"/>
        <w:rPr>
          <w:sz w:val="24"/>
          <w:szCs w:val="24"/>
          <w:color w:val="auto"/>
        </w:rPr>
      </w:pPr>
    </w:p>
    <w:p>
      <w:pPr>
        <w:ind w:left="380" w:right="2080"/>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74"/>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74"/>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Accelerated filer</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72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jc w:val="both"/>
        <w:ind w:firstLine="374"/>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74"/>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 w:lineRule="exact"/>
        <w:rPr>
          <w:sz w:val="24"/>
          <w:szCs w:val="24"/>
          <w:color w:val="auto"/>
        </w:rPr>
      </w:pPr>
    </w:p>
    <w:p>
      <w:pPr>
        <w:jc w:val="both"/>
        <w:ind w:right="20" w:firstLine="374"/>
        <w:spacing w:after="0" w:line="21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as of June 30, 2023, based on the closing sales price of such stock on the New York Stock Exchange on June 30, 2023, was $4.5 billion.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February 16, 2024, 58,522,000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jc w:val="both"/>
        <w:ind w:firstLine="374"/>
        <w:spacing w:after="0" w:line="280" w:lineRule="auto"/>
        <w:rPr>
          <w:sz w:val="20"/>
          <w:szCs w:val="20"/>
          <w:color w:val="auto"/>
        </w:rPr>
      </w:pPr>
      <w:r>
        <w:rPr>
          <w:rFonts w:ascii="Times New Roman" w:cs="Times New Roman" w:eastAsia="Times New Roman" w:hAnsi="Times New Roman"/>
          <w:sz w:val="16"/>
          <w:szCs w:val="16"/>
          <w:color w:val="auto"/>
        </w:rPr>
        <w:t>Portions of the Company’s definitive proxy statement in connection with the Annual Meeting of Stockholders to be held April 26, 2024, to be filed with the Commission pursuant to Regulation 14A, and the related annual report for the fiscal year ended December 31, 2023, to be provided to the Company's stockholders pursuant to Rule 14a-3(b) are incorporated by reference into Parts II and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KIRBY CORPORATION</w:t>
            </w:r>
          </w:p>
        </w:tc>
        <w:tc>
          <w:tcPr>
            <w:tcW w:w="4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6"/>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2023 FORM 10-K</w:t>
            </w:r>
          </w:p>
        </w:tc>
        <w:tc>
          <w:tcPr>
            <w:tcW w:w="4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80" w:type="dxa"/>
            <w:vAlign w:val="bottom"/>
          </w:tcPr>
          <w:p>
            <w:pPr>
              <w:spacing w:after="0"/>
              <w:rPr>
                <w:sz w:val="20"/>
                <w:szCs w:val="20"/>
                <w:color w:val="auto"/>
              </w:rPr>
            </w:pPr>
          </w:p>
        </w:tc>
      </w:tr>
      <w:tr>
        <w:trPr>
          <w:trHeight w:val="393"/>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
        </w:trPr>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36"/>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shd w:val="clear" w:color="auto" w:fill="CFF0FC"/>
          </w:tcPr>
          <w:p>
            <w:pPr>
              <w:spacing w:after="0"/>
              <w:rPr>
                <w:sz w:val="20"/>
                <w:szCs w:val="20"/>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THE COMPANY</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Documents and Information Available on Website</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BUSINESS AND PROPERTY</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MARINE TRANSPORTATION</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5</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320" w:type="dxa"/>
            <w:vAlign w:val="bottom"/>
            <w:tcBorders>
              <w:bottom w:val="single" w:sz="8" w:color="0000FF"/>
            </w:tcBorders>
            <w:gridSpan w:val="3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Marine Transportation Industry Fundamentals</w:t>
            </w:r>
          </w:p>
        </w:tc>
        <w:tc>
          <w:tcPr>
            <w:tcW w:w="6800" w:type="dxa"/>
            <w:vAlign w:val="bottom"/>
            <w:tcBorders>
              <w:bottom w:val="single" w:sz="8" w:color="CFF0FC"/>
            </w:tcBorders>
            <w:gridSpan w:val="10"/>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6</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Inland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6</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0000FF"/>
            </w:tcBorders>
            <w:gridSpan w:val="1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Coastal Tank Barge Industry</w:t>
            </w:r>
          </w:p>
        </w:tc>
        <w:tc>
          <w:tcPr>
            <w:tcW w:w="8060" w:type="dxa"/>
            <w:vAlign w:val="bottom"/>
            <w:tcBorders>
              <w:bottom w:val="single" w:sz="8" w:color="CFF0FC"/>
            </w:tcBorders>
            <w:gridSpan w:val="22"/>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Competition in the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0000FF"/>
            </w:tcBorders>
            <w:gridSpan w:val="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Products Transported</w:t>
            </w:r>
          </w:p>
        </w:tc>
        <w:tc>
          <w:tcPr>
            <w:tcW w:w="8580" w:type="dxa"/>
            <w:vAlign w:val="bottom"/>
            <w:tcBorders>
              <w:bottom w:val="single" w:sz="8" w:color="CFF0FC"/>
            </w:tcBorders>
            <w:gridSpan w:val="32"/>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8</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Demand Drivers in the Tank Barge Industry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8</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0000FF"/>
            </w:tcBorders>
            <w:gridSpan w:val="2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Marine Transportation Operations</w:t>
            </w:r>
          </w:p>
        </w:tc>
        <w:tc>
          <w:tcPr>
            <w:tcW w:w="7660" w:type="dxa"/>
            <w:vAlign w:val="bottom"/>
            <w:tcBorders>
              <w:bottom w:val="single" w:sz="8" w:color="CFF0FC"/>
            </w:tcBorders>
            <w:gridSpan w:val="16"/>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9</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Contracts and Customers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DISTRIBUTION AND SERVICES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Commercial and Industrial Operations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120" w:type="dxa"/>
            <w:vAlign w:val="bottom"/>
            <w:gridSpan w:val="4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Commercial and Industrial Customers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Commercial and Industrial Competitive Conditions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0000FF"/>
            </w:tcBorders>
            <w:gridSpan w:val="1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Oil and Gas Operations</w:t>
            </w:r>
          </w:p>
        </w:tc>
        <w:tc>
          <w:tcPr>
            <w:tcW w:w="8420" w:type="dxa"/>
            <w:vAlign w:val="bottom"/>
            <w:tcBorders>
              <w:bottom w:val="single" w:sz="8" w:color="CFF0FC"/>
            </w:tcBorders>
            <w:gridSpan w:val="28"/>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Oil and Gas Customers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120" w:type="dxa"/>
            <w:vAlign w:val="bottom"/>
            <w:gridSpan w:val="4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Oil and Gas Competitive Conditions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Governmental Regulations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Environmental Regulations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16</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40" w:type="dxa"/>
            <w:vAlign w:val="bottom"/>
            <w:gridSpan w:val="42"/>
          </w:tcPr>
          <w:p>
            <w:pPr>
              <w:ind w:left="200"/>
              <w:spacing w:after="0" w:line="189" w:lineRule="exact"/>
              <w:rPr>
                <w:sz w:val="20"/>
                <w:szCs w:val="20"/>
                <w:color w:val="auto"/>
              </w:rPr>
            </w:pPr>
            <w:r>
              <w:rPr>
                <w:rFonts w:ascii="Times New Roman" w:cs="Times New Roman" w:eastAsia="Times New Roman" w:hAnsi="Times New Roman"/>
                <w:sz w:val="18"/>
                <w:szCs w:val="18"/>
                <w:color w:val="0000FF"/>
              </w:rPr>
              <w:t>Human Capital</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shd w:val="clear" w:color="auto" w:fill="CFF0FC"/>
          </w:tcPr>
          <w:p>
            <w:pPr>
              <w:spacing w:after="0"/>
              <w:rPr>
                <w:sz w:val="16"/>
                <w:szCs w:val="16"/>
                <w:color w:val="auto"/>
              </w:rPr>
            </w:pPr>
          </w:p>
        </w:tc>
        <w:tc>
          <w:tcPr>
            <w:tcW w:w="10440" w:type="dxa"/>
            <w:vAlign w:val="bottom"/>
            <w:gridSpan w:val="42"/>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0000FF"/>
              </w:rPr>
              <w:t>Information about the Company’s Executive Officers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19</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1C. Cybersecurity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240"/>
        </w:trPr>
        <w:tc>
          <w:tcPr>
            <w:tcW w:w="10760" w:type="dxa"/>
            <w:vAlign w:val="bottom"/>
            <w:gridSpan w:val="4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80" w:type="dxa"/>
            <w:vAlign w:val="bottom"/>
          </w:tcPr>
          <w:p>
            <w:pPr>
              <w:spacing w:after="0"/>
              <w:rPr>
                <w:sz w:val="20"/>
                <w:szCs w:val="20"/>
                <w:color w:val="auto"/>
              </w:rPr>
            </w:pPr>
          </w:p>
        </w:tc>
      </w:tr>
      <w:tr>
        <w:trPr>
          <w:trHeight w:val="191"/>
        </w:trPr>
        <w:tc>
          <w:tcPr>
            <w:tcW w:w="10760" w:type="dxa"/>
            <w:vAlign w:val="bottom"/>
            <w:gridSpan w:val="43"/>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4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1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0" w:type="dxa"/>
            <w:vAlign w:val="bottom"/>
            <w:tcBorders>
              <w:top w:val="single" w:sz="8" w:color="0000FF"/>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33</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1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10760" w:type="dxa"/>
            <w:vAlign w:val="bottom"/>
            <w:gridSpan w:val="43"/>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96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240"/>
        </w:trPr>
        <w:tc>
          <w:tcPr>
            <w:tcW w:w="10760" w:type="dxa"/>
            <w:vAlign w:val="bottom"/>
            <w:gridSpan w:val="4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0" w:type="dxa"/>
            <w:vAlign w:val="bottom"/>
          </w:tcPr>
          <w:p>
            <w:pPr>
              <w:spacing w:after="0"/>
              <w:rPr>
                <w:sz w:val="20"/>
                <w:szCs w:val="20"/>
                <w:color w:val="auto"/>
              </w:rPr>
            </w:pPr>
          </w:p>
        </w:tc>
      </w:tr>
      <w:tr>
        <w:trPr>
          <w:trHeight w:val="191"/>
        </w:trPr>
        <w:tc>
          <w:tcPr>
            <w:tcW w:w="10760" w:type="dxa"/>
            <w:vAlign w:val="bottom"/>
            <w:gridSpan w:val="43"/>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0000FF"/>
              </w:rPr>
              <w:t>Items 10 Through 14</w:t>
            </w:r>
          </w:p>
        </w:tc>
        <w:tc>
          <w:tcPr>
            <w:tcW w:w="4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240"/>
        </w:trPr>
        <w:tc>
          <w:tcPr>
            <w:tcW w:w="10760" w:type="dxa"/>
            <w:vAlign w:val="bottom"/>
            <w:gridSpan w:val="43"/>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80" w:type="dxa"/>
            <w:vAlign w:val="bottom"/>
          </w:tcPr>
          <w:p>
            <w:pPr>
              <w:spacing w:after="0"/>
              <w:rPr>
                <w:sz w:val="20"/>
                <w:szCs w:val="20"/>
                <w:color w:val="auto"/>
              </w:rPr>
            </w:pPr>
          </w:p>
        </w:tc>
      </w:tr>
      <w:tr>
        <w:trPr>
          <w:trHeight w:val="191"/>
        </w:trPr>
        <w:tc>
          <w:tcPr>
            <w:tcW w:w="10760" w:type="dxa"/>
            <w:vAlign w:val="bottom"/>
            <w:gridSpan w:val="43"/>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4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78</w:t>
            </w:r>
          </w:p>
        </w:tc>
      </w:tr>
      <w:tr>
        <w:trPr>
          <w:trHeight w:val="34"/>
        </w:trPr>
        <w:tc>
          <w:tcPr>
            <w:tcW w:w="3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r>
      <w:tr>
        <w:trPr>
          <w:trHeight w:val="189"/>
        </w:trPr>
        <w:tc>
          <w:tcPr>
            <w:tcW w:w="10760" w:type="dxa"/>
            <w:vAlign w:val="bottom"/>
            <w:gridSpan w:val="43"/>
          </w:tcPr>
          <w:p>
            <w:pPr>
              <w:ind w:left="320"/>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79</w:t>
            </w:r>
          </w:p>
        </w:tc>
      </w:tr>
      <w:tr>
        <w:trPr>
          <w:trHeight w:val="641"/>
        </w:trPr>
        <w:tc>
          <w:tcPr>
            <w:tcW w:w="320" w:type="dxa"/>
            <w:vAlign w:val="bottom"/>
          </w:tcPr>
          <w:p>
            <w:pPr>
              <w:spacing w:after="0"/>
              <w:rPr>
                <w:sz w:val="24"/>
                <w:szCs w:val="24"/>
                <w:color w:val="auto"/>
              </w:rPr>
            </w:pPr>
          </w:p>
        </w:tc>
        <w:tc>
          <w:tcPr>
            <w:tcW w:w="2180" w:type="dxa"/>
            <w:vAlign w:val="bottom"/>
            <w:tcBorders>
              <w:top w:val="single" w:sz="8" w:color="0000FF"/>
            </w:tcBorders>
            <w:gridSpan w:val="17"/>
          </w:tcPr>
          <w:p>
            <w:pPr>
              <w:spacing w:after="0"/>
              <w:rPr>
                <w:sz w:val="24"/>
                <w:szCs w:val="24"/>
                <w:color w:val="auto"/>
              </w:rPr>
            </w:pPr>
          </w:p>
        </w:tc>
        <w:tc>
          <w:tcPr>
            <w:tcW w:w="3380" w:type="dxa"/>
            <w:vAlign w:val="bottom"/>
            <w:gridSpan w:val="21"/>
          </w:tcPr>
          <w:p>
            <w:pPr>
              <w:jc w:val="center"/>
              <w:ind w:left="2770"/>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762"/>
        </w:trPr>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Kirby Corporation (the “Company”) is the nation’s largest domestic tank barge operator, transporting bulk liquid products throughout the Mississippi River System, on the Gulf Intracoastal Waterway, and coastwise along all three United States coasts. The Company, through its marine transportation segment (“KMT”), transports petrochemicals, black oil, refined petroleum products, and agricultural chemicals by tank barge. Through its distribution and services segment (“KDS”), the Company sells after-market service and genuine replacement parts for engines, transmissions, reduction gears, and power generation equipment used in oil and gas and commercial and industrial applications. The Company also rents a variety of power generation and industrial equipment, manufactures and remanufactures oilfield service equipment, including pressure pumping units, and manufactures electric power generation equipment for oilfield service customers.</w:t>
      </w:r>
    </w:p>
    <w:p>
      <w:pPr>
        <w:spacing w:after="0" w:line="14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the Company include the Company and its subsidiaries. The Company’s principal executive office is located at 55 Waugh Drive, Suite 1000, Houston, Texas 77007, and its telephone number is 713-435-1000. The Company’s mailing address is P.O. Box 1745, Houston, Texas 77251-1745. Kirby Corporation is a Nevada corporation and was incorporated in 1969 although the history of the Company goes back to 1921.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and Information Available on Website</w:t>
      </w:r>
    </w:p>
    <w:p>
      <w:pPr>
        <w:spacing w:after="0" w:line="20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Internet address of the Company’s website is http://www.kirbycorp.com. The Company makes available free of charge through its website, all of its filings with the Securities and Exchange Commission (“SEC”), including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as soon as reasonably practicable after they are electronically filed with or furnished to the SEC. The SEC maintains an internet site at http://www.sec.gov that contains reports, proxy and information statements, and other information regarding issuers that file electronically with the SEC.</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available on the Company’s website in the Investor Relations section under Governance Documents: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 Committee Charter</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Corporate Governance Guidelines</w:t>
            </w:r>
          </w:p>
        </w:tc>
      </w:tr>
      <w:tr>
        <w:trPr>
          <w:trHeight w:val="229"/>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Committee Charter</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Clawback Policy</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ESG and Nominating Committee Charter</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Insider Trading Policy</w:t>
            </w:r>
          </w:p>
        </w:tc>
      </w:tr>
    </w:tbl>
    <w:p>
      <w:pPr>
        <w:ind w:left="760" w:hanging="34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Ethics Guidelines</w:t>
      </w:r>
    </w:p>
    <w:p>
      <w:pPr>
        <w:spacing w:after="0" w:line="19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AND PROPERTY</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Company, through its subsidiaries, conducts operations in two reportable business segments: marine transportation and distribution and services.</w:t>
      </w:r>
    </w:p>
    <w:p>
      <w:pPr>
        <w:spacing w:after="0" w:line="1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through KMT, is a provider of marine transportation services, operating tank barges and towing vessels transporting bulk liquid products throughout the Mississippi River System, on the Gulf Intracoastal Waterway, and coastwise along all three United States coasts.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through KDS, sells after-market services and genuine replacement parts for engines, transmissions, reduction gears, electric motors, drives, and controls, specialized electrical distribution and control systems, energy storage battery systems,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and manufacturers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approximately 5,450 employees, the large majority of whom are in the United States.</w:t>
      </w:r>
    </w:p>
    <w:p>
      <w:pPr>
        <w:spacing w:after="0" w:line="1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KMT is primarily a provider of transportation services by tank barge for the inland and coastal markets. As of December 31, 2023, the equipment owned or operated by KMT consisted of 1,076 inland tank barges with 23.7 million barrels of capacity, and an average of 281 inland towboats during the fourth quarter of 2023, as well as 28 coastal tank barges with 2.9 million barrels of capacity, 25 coastal tugboats, four offshore dry-bulk cargo barges, four offshore tugboats and one docking tugboat with the following specifications and capacities: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equipment</w:t>
            </w:r>
          </w:p>
        </w:tc>
        <w:tc>
          <w:tcPr>
            <w:tcW w:w="120" w:type="dxa"/>
            <w:vAlign w:val="bottom"/>
          </w:tcPr>
          <w:p>
            <w:pPr>
              <w:spacing w:after="0"/>
              <w:rPr>
                <w:sz w:val="13"/>
                <w:szCs w:val="13"/>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 in</w:t>
            </w:r>
          </w:p>
        </w:tc>
        <w:tc>
          <w:tcPr>
            <w:tcW w:w="220" w:type="dxa"/>
            <w:vAlign w:val="bottom"/>
          </w:tcPr>
          <w:p>
            <w:pPr>
              <w:spacing w:after="0"/>
              <w:rPr>
                <w:sz w:val="13"/>
                <w:szCs w:val="13"/>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Average age</w:t>
            </w:r>
          </w:p>
        </w:tc>
        <w:tc>
          <w:tcPr>
            <w:tcW w:w="22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Barrel</w:t>
            </w:r>
          </w:p>
        </w:tc>
        <w:tc>
          <w:tcPr>
            <w:tcW w:w="0" w:type="dxa"/>
            <w:vAlign w:val="bottom"/>
          </w:tcPr>
          <w:p>
            <w:pPr>
              <w:spacing w:after="0"/>
              <w:rPr>
                <w:sz w:val="1"/>
                <w:szCs w:val="1"/>
                <w:color w:val="auto"/>
              </w:rPr>
            </w:pPr>
          </w:p>
        </w:tc>
      </w:tr>
      <w:tr>
        <w:trPr>
          <w:trHeight w:val="187"/>
        </w:trPr>
        <w:tc>
          <w:tcPr>
            <w:tcW w:w="6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6"/>
                <w:szCs w:val="16"/>
                <w:color w:val="auto"/>
              </w:rPr>
            </w:pPr>
          </w:p>
        </w:tc>
        <w:tc>
          <w:tcPr>
            <w:tcW w:w="13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capacities</w:t>
            </w:r>
          </w:p>
        </w:tc>
        <w:tc>
          <w:tcPr>
            <w:tcW w:w="0" w:type="dxa"/>
            <w:vAlign w:val="bottom"/>
          </w:tcPr>
          <w:p>
            <w:pPr>
              <w:spacing w:after="0"/>
              <w:rPr>
                <w:sz w:val="1"/>
                <w:szCs w:val="1"/>
                <w:color w:val="auto"/>
              </w:rPr>
            </w:pPr>
          </w:p>
        </w:tc>
      </w:tr>
      <w:tr>
        <w:trPr>
          <w:trHeight w:val="236"/>
        </w:trPr>
        <w:tc>
          <w:tcPr>
            <w:tcW w:w="6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 (owned and leased):</w:t>
            </w:r>
          </w:p>
        </w:tc>
        <w:tc>
          <w:tcPr>
            <w:tcW w:w="1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double hull:</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20,000 barrels and under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 20,000 barrels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double hull</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inland tank barges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Inland towboats (owned and chartered):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800 to 1300 horsepower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1400 to 1900 horsepower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2000 to 2400 horsepower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2500 to 3200 horsepower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3300 to 4800 horsepower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Greater than 5000 horsepower</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inland towboats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4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Coastal tank barges (owned):</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30,000 barrels and under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50,000 to 70,000 barrels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80,000 to 90,000 barrels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100,000 to 110,000 barrels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120,000 to 150,000 barrels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Over 150,000 barrels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coastal tank barges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tugboats (owned and chartered):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2000 to 2900 horsepower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3000 to 3900 horsepower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4000 to 4900 horsepower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 to 6900 horsepower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than 7000 horsepower</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coastal tugboats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Deadweight</w:t>
            </w:r>
          </w:p>
        </w:tc>
        <w:tc>
          <w:tcPr>
            <w:tcW w:w="0" w:type="dxa"/>
            <w:vAlign w:val="bottom"/>
          </w:tcPr>
          <w:p>
            <w:pPr>
              <w:spacing w:after="0" w:line="20" w:lineRule="exact"/>
              <w:rPr>
                <w:sz w:val="1"/>
                <w:szCs w:val="1"/>
                <w:color w:val="auto"/>
              </w:rPr>
            </w:pPr>
          </w:p>
        </w:tc>
      </w:tr>
      <w:tr>
        <w:trPr>
          <w:trHeight w:val="367"/>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Tonnage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4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-5179695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-5179695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-5179695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-3595370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-3578225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-3595370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-3578225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-2336800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-2336800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-1069975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-1069975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-358775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-341630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-358775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-341630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281 inland towboats, 25 coastal tugboats, four offshore tugboats and one docking tugboat provide the power source and the 1,076 inland tank barges, 28 coastal tank barges and four offshore dry-bulk cargo barges provide the freight capacity for KMT. When the power source and freight capacity are combined, the unit is called a tow. The Company’s inland tows generally consist of one towboat and from one to up to 25 tank barges, depending upon the horsepower of the towboat, the waterway infrastructure capacity and conditions, and customer requirements. The Company’s coastal and offshore tows primarily consist of one tugboat and one tank barge or dry-bulk cargo barge.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Marine Transportation Industry Fundamentals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one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14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whereas black oil, including crude oil and natural gas condensate, is distributed regionally from refineries and terminals along the United States coast to refineries, power plants and distribution terminals.</w:t>
      </w:r>
    </w:p>
    <w:p>
      <w:pPr>
        <w:spacing w:after="0" w:line="14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Based on cost, safety, and level of emissions, barge transportation is often the most efficient and safest means of surface transportation of bulk commodities when compared to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23.7 million barrels equates to approximately 39,700 railroad tank cars or approximately 124,000 tractor-trailer tank trucks. Furthermore, barging is much more energy efficient. One ton of bulk product can be carried 675 miles by inland barge on one gallon of fuel on a typical tow, compared to 472 miles by railcar or 151 miles by truck for typical transits. From an emissions perspective, transport by rail and tractor-trailer tank trucks emit approximately 40% and 800%, respectively, more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ton mile of cargo transported than by inland tank barge. In the coastal trade, the carrying capacity of a 100,000 barrel tank barge is the equivalent of approximately 165 railroad tank cars or approximately 525 tractor-trailer tank trucks. The Company’s coastal tank barge fleet capacity of 2.9 million barrels equates to approximately 4,800 railroad tank cars or approximately 15,300 tractor-trailer tank trucks. Marine transportation generally involves less urban exposure than railroad or truck transportation and operates on a system with few crossing junctures and often in areas relatively remote from population centers. These factors generally help to reduce the number of waterway incidents.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Inland Tank Barge Industry</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operates within the United States inland tank barge industry, a diverse and independent mixture of approximately 25 large integrated transportation companies and small operators, as well as captive fleets owned by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14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number of tank barges that operate on the inland waterways of the United States increased from 2,750 in 2006 to approximately 4,000 by the end of 2019. The increase from 2,750 tank barges in 2006 to approximately 4,000 by the end of 2019 primarily resulted from increased barge construction and deferred retirements due to strong demand and resulting capacity shortages. The number of industry tank barges has remained relatively constant from 2019 through the end of 2023. The Company’s 1,076 inland tank barges represent approximately 27% of the industry’s approximately 4,007 inland tank barges.</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2022, the Company estimates that industry-wide, 22 new tank barges were placed in service and retirements, net of reactivations, were flat. For 2023, the Company estimates that industry-wide 27 new tank barges were placed in service and 48 tank barges were retired. During 2021, the Company’s inland barge utilization improved to the mid-to high 80% range by the fourth quarter as the economy began to recover from the COVID-19 pandemic. During 2022, the Company’s inland barge utilization improved to the low 90% range reflecting increased activity levels as a result of higher refinery and petrochemical plant utilization. During 2023, the Company’s inland barge utilization remained in the low 90% range as improved activity levels were offset by lock closures and several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refinery outages. The Company estimates that approximately 25 to 30 new tank barges have currently been ordered for delivery in 2024. Generally, the risk of an oversupply of tank barges may be mitigated by increased petrochemical, black oil and refined petroleum products volumes from increased production from current facilities, plant expansions, the opening of new facilities, and the fact that the inland tank barge industry has approximately 600 tank barges that are 30 years old or older and approximately 400 of those are 40 years old or older, which could lead to retirement of these older tank barges. The average age of the nation’s inland tank barge fleet is approximately 18 years.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inland division of KMT also owns a shifting operation and fleeting facility for dry cargo barges and tank barges on the Houston Ship Channel, in Freeport and Port Arthur, Texas, and Lake Charles, Louisiana, and a shipyard for building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Coastal Tank Barge Industry</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also operates in the United States coastal tank barge industry, operating tank barges in the 195,000 barrels or less category. This market is composed of approximately 20 large integrated transportation companies and small operators. The 195,000 barrels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number of coastal tank barges that operate in the 195,000 barrels or less category is approximately 264, of which the Company operates 28 or approximately 11%. The average age of the nation’s coastal tank barge fleet is approximately 15 years. The Company is aware of no specialized coastal articulated tank barge and tugboat units (“ATB”) that were delivered in 2023 with no further ATBs currently under construction. The coastal tank barge fleet has approximately 20 tank barges that are over 25 years old industry-wide. The number of older tank barges, coupled with ballast water treatment regulations, could lead to further retirements of these older tank barges in the next few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Tank Barge Industry</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tank barge industry is very competitive. Competition in this business is based on price and reliability, with many of the industry’s customers emphasizing enhanced vetting requirements, an increased emphasis on safety, the environment, and high-quality service consistent with the customer’s operational standards. Customers also require that their supplier of tank barge services have the ability to handle a variety of requirements, including distribution capabilities throughout the inland waterway system and coastal markets, high levels of flexibility, and an emphasis on safety, environmental and financial responsibility, as well as appropriate insurance coverage.</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inland markets, the Company’s direct competitors are primarily noncaptive inland tank barge operators. “Captive” fleets are owned by refining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1,076 tank barges as of December 31, 2023, or approximately 27% of the estimated total number of domestic inland tank barges.</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coastal markets, the Company’s direct competitors are the operators of United States tank barges in the 195,000 barrels or less category. Coastal tank barges in the 195,000 barrels or less category have the ability to enter the majority of coastal ports. Ocean-going tank barges and United States product tankers in the 300,000 barrels plus category, excluding the fleet of large tankers dedicated to Alaska crude oil transportation, occasionally compete in the 195,000 barrels or less market to move large volumes of refined petroleum products within the Gulf of Mexico with occasional movements from the Gulf Coast to the East Coast, along the West Coast and from Texas and Louisiana to Florida. However, access to United States ports of approximately 45 such product tankers is limited by terminal size and draft restrictions.</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on a barrel per mile basis.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 Transported</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transports petrochemicals, black oil, refined petroleum products, and agricultural chemicals by tank barge throughout the Mississippi River System, on the Gulf Intracoastal Waterway, and coastwise along all three United States coasts. During 2023, the Company’s inland marine transportation operation moved over 56 million tons of liquid cargo on the United States inland waterway system.</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Petrochemicals. </w:t>
      </w:r>
      <w:r>
        <w:rPr>
          <w:rFonts w:ascii="Times New Roman" w:cs="Times New Roman" w:eastAsia="Times New Roman" w:hAnsi="Times New Roman"/>
          <w:sz w:val="18"/>
          <w:szCs w:val="18"/>
          <w:color w:val="auto"/>
        </w:rPr>
        <w:t>Bulk liquid petrochemicals transported include such products as benzene, styrene, methanol, acrylonitrile, xylene, naphtha and caustic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soda. These products are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51% of the segment’s 2023 revenues. Customers shipping these products are petrochemical and refining companies.</w:t>
      </w:r>
    </w:p>
    <w:p>
      <w:pPr>
        <w:spacing w:after="0" w:line="13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Black Oil. </w:t>
      </w:r>
      <w:r>
        <w:rPr>
          <w:rFonts w:ascii="Times New Roman" w:cs="Times New Roman" w:eastAsia="Times New Roman" w:hAnsi="Times New Roman"/>
          <w:sz w:val="18"/>
          <w:szCs w:val="18"/>
          <w:color w:val="auto"/>
        </w:rPr>
        <w:t>Black oil transported includes such products as residual fuel oil, No. 6 fuel oil, coker feedstock, vacuum gas oil, asphalt, carbon black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crude oil, natural gas condensate and ship bunkers (engine fuel). Such products represented 26% of the segment’s 2023 revenues. Black oil customers are refining companies, marketers, and end users that require the transportation of black oil between refineries and storage terminals, to other refineries and to power plants. Ship bunker customers are oil companies and oil traders in the bunkering business.</w:t>
      </w:r>
    </w:p>
    <w:p>
      <w:pPr>
        <w:spacing w:after="0" w:line="151"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Petroleum Products. </w:t>
      </w:r>
      <w:r>
        <w:rPr>
          <w:rFonts w:ascii="Times New Roman" w:cs="Times New Roman" w:eastAsia="Times New Roman" w:hAnsi="Times New Roman"/>
          <w:sz w:val="18"/>
          <w:szCs w:val="18"/>
          <w:color w:val="auto"/>
        </w:rPr>
        <w:t>Refined petroleum products transported include the various blends of finished gasoline, gasoline blendstocks, jet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 oil, heating oil and diesel fuel, and represented 20% of the segment’s 2023 revenues. The Company also classifies ethanol in the refined petroleum products category. Customers are oil and refining companies, marketers and ethanol producers.</w:t>
      </w:r>
    </w:p>
    <w:p>
      <w:pPr>
        <w:spacing w:after="0" w:line="132"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Agricultural Chemicals. </w:t>
      </w:r>
      <w:r>
        <w:rPr>
          <w:rFonts w:ascii="Times New Roman" w:cs="Times New Roman" w:eastAsia="Times New Roman" w:hAnsi="Times New Roman"/>
          <w:sz w:val="18"/>
          <w:szCs w:val="18"/>
          <w:color w:val="auto"/>
        </w:rPr>
        <w:t>Agricultural chemicals transported represented 3% of the segment’s 2023 revenues. Agricultural chemicals include anhydrous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ammonia and nitrogen-based liquid fertilizer, as well as industrial ammonia. Agricultural chemical customers consist mainly of domestic and foreign producers of such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in the Tank Barge Industry</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volumes of the bulk liquid commodities.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black oil markets as needed.</w:t>
      </w:r>
    </w:p>
    <w:p>
      <w:pPr>
        <w:spacing w:after="0" w:line="14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Petrochemical products are used in both consumer non-durable and durable goods. Bulk petrochemical volumes have historically tracked the general domestic economy and correlate to the United States Gross Domestic Product. During 2021, inland barge utilization improved from the mid-70% range during the 2021 first quarter to the mid-to high 80% range in the 2021 fourth quarter as the economy recovered from the impact of COVID-19. During 2022, the Company’s inland barge utilization improved to the high 80% range reflecting increased activity levels as a result of higher refinery and petrochemical plant utilization. During 2023, the Company’s inland barge utilization improved to the low 90% range as improved activity levels were partially offset by lock closures and several refinery outages. Coastal tank barge utilization for the transportation of petrochemicals increased from the low 90% range in 2022 to the mid 90% range during 2023 due to improved economic conditions.</w:t>
      </w:r>
    </w:p>
    <w:p>
      <w:pPr>
        <w:spacing w:after="0" w:line="14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demand for black oil, including ship bunkers, varies by type of product transported. Demand for transportation of residual oil, a heavy by-product of refining operations, varies with refinery utilization and usage of feedstocks. During 2021 through 2023,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albeit, at reduced levels as some of the product was transported by newly constructed pipelines. During 2021, volumes recovered from the lows seen in 2020 as economic activity improved. During 2021, inland black oil tank barge utilization averaged in the mid-70% range during the first nine months of 2021 and recovered to the high 80% range in the 2021 fourth quarter. During 2022, inland black oil tank barge utilization further improved to the high 90% range in the 2022 fourth quarter. During 2023, inland black oil tank barge utilization averaged in the high 90% range. Coastal black oil tank barge utilization averaged in the mid 90% range in 2022 and the high 90% range in 2023 as utilization was supported by a higher percentage of term contracts. Inland and coastal asphalt shipments are generally seasonal, with higher volumes shipped during April through November, months when weather allows for efficient road construction.</w:t>
      </w:r>
    </w:p>
    <w:p>
      <w:pPr>
        <w:spacing w:after="0" w:line="16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Refined petroleum product volumes are driven by United States gasoline and diesel fuel consumption, principally vehicle usage, air travel, and weather conditions. Volumes can also be affected by gasoline inventory imbalances within the United States. Generally, gasoline and No. 2 oil are exported from the Gulf Coast where refining capacity exceeds demand. The Midwest is a net importer of such</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products. Volumes were also driven by diesel fuel transported to terminals along the Gulf Coast for export to South America. Ethanol, produced in the Midwest, is moved from the Midwest to the Gulf Coast. In the coastal trade, tank barges are frequently used regionally to transport refined petroleum products from a coastal refinery or terminals served by pipelines to the end markets. Many coastal areas rely upon access to refined petroleum products by using marine transportation in the distribution chain. In 2022, coastal refined petroleum products tank barge utilization averaged in the low 90% range. During 2023, coastal refined petroleum products tank barge utilization averaged in the high 90% range as activity levels continued to improve.</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Operations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KMT operated a fleet of 1,076 inland tank barges and an average of 281 inland towboats during the 2023 fourth quarter, as well as 28 coastal tank barges and 25 coastal tugboats. The segment also operated four offshore dry-bulk cargo barges, four offshore tugboats and one docking tugboat transporting dry-bulk commodities in United States coastal trade.</w:t>
      </w:r>
    </w:p>
    <w:p>
      <w:pPr>
        <w:spacing w:after="0" w:line="148"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Inland Operations. </w:t>
      </w:r>
      <w:r>
        <w:rPr>
          <w:rFonts w:ascii="Times New Roman" w:cs="Times New Roman" w:eastAsia="Times New Roman" w:hAnsi="Times New Roman"/>
          <w:sz w:val="18"/>
          <w:szCs w:val="18"/>
          <w:color w:val="auto"/>
        </w:rPr>
        <w:t>The segment’s inland operations are conducted through a wholly owned subsidiary, Kirby Inland Marine, LP (“Kirby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Kirby Inland Marine’s operations consist of the Canal, Linehaul and River fleets, as well as barge fleeting services.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Tank barges are dropped off and picked up going up and down river.</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1,076 inland tank barges currently operated, 826 are petrochemical and refined petroleum products barges, 157 are black oil barges, 83 are pressure barges and 10 are refrigerated anhydrous ammonia barges. Of the 1,076 inland tank barges, 1,043 are owned by the Company and 33 are leased.</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fleet of 281 inland towboats for the 2023 fourth quarter ranges from 800 to 6,100 horsepower. Of the 281 inland towboats, 214 are owned by the Company and 67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9" w:name="page10"/>
    <w:bookmarkEnd w:id="9"/>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Marine transportation services for inland movements are conducted under term contracts, which have contract terms of 12 months or longer, or spot contracts, which have contract terms of less than 12 months, with customers with whom the Company has traditionally had long-standing relationships. Typically, term contracts range from one to three years, some of which have renewal options. During 2021, approximately 65% of inland marine transportation revenues were under term contracts and 35% were under spot contracts. During 2022 and 2023, approximately 60% of inland marine transportation revenues were under term contracts and 40% were under spot contracts.</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All of the Company’s inland tank barges used in the transportation of bulk liquid products are of double hull construction and are capable of controlling vapor emissions during loading and discharging operations in compliance with occupational safety and health regulations and air quality regulations.</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the ability to offer its customers optimized distribution capabilities throughout the Mississippi River System and the Gulf Intracoastal Waterway. Such capabilities offer economies of scale from matching tank barges, towboats, products, and destinations efficiently to meet its customers’ requirements.</w:t>
      </w:r>
    </w:p>
    <w:p>
      <w:pPr>
        <w:spacing w:after="0" w:line="13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Through the Company’s proprietary vessel management computer system, the Company’s barge and towboat fleet is dispatched from a centralized dispatch group. The towboats are equipped with cellular and satellite positioning and communication systems that automatically transmit the location of the towboat to the Company’s customer service department. Electronic orders are communicated to vessel personnel with reports of towing activities fed back electronically to the customer service department. The electronic interface between the customer service department and the vessel enables matching of customer needs to barge capabilities, thereby promoting efficient utilization of the tank barge and towboat fleet. The Company’s customers are able to access information concerning the movement of their cargoes, including barge locations, through the Company’s proprietary electronic customer service portal.</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Inland Marine operates the largest commercial tank barge fleeting service (barge storage facilities) in numerous ports, including Houston, Corpus Christi, Freeport and Orange, Texas, Baton Rouge, Lake Charles and New Orleans, Louisiana, Mobile, Alabama, and Greenville, Mississippi. Included in the fleeting service is a shifting operation and fleeting service for dry cargo barges and tank barges on the Houston Ship Channel, in Freeport and Port Arthur, Texas, and Lake Charles, Louisiana. Kirby Inland Marine provides shifting and fleeting service for its own barges, as well as for customers and third party carriers, transferring barges within the areas noted.</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San Jac Marine, LLC (“San Jac”), a subsidiary of Kirby Inland Marine, owns and operates a shipyard in Channelview, Texas which builds marine vessels for both inland and coastal applications, and provide maintenance and repair services. Kirby Inland Marine also builds inland towboats and performs routine maintenance and repairs at the San Jac shipyard.</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owns a two-thirds interest in Osprey, which transports project cargoes and cargo containers by barge on the United States inland waterway system.</w:t>
      </w:r>
    </w:p>
    <w:p>
      <w:pPr>
        <w:spacing w:after="0" w:line="120"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Coastal Operations. </w:t>
      </w:r>
      <w:r>
        <w:rPr>
          <w:rFonts w:ascii="Times New Roman" w:cs="Times New Roman" w:eastAsia="Times New Roman" w:hAnsi="Times New Roman"/>
          <w:sz w:val="18"/>
          <w:szCs w:val="18"/>
          <w:color w:val="auto"/>
        </w:rPr>
        <w:t>The segment’s coastal operations are conducted through wholly owned subsidiaries, Kirby Offshore Marine, LLC (“Kirby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Offshore Marine”) and Kirby Ocean Transport Company (“Kirby Ocean Transport”).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Offshore Marine provides marine transportation of refined petroleum products, petrochemicals and black oil in coastal regions of the United States. The coastal operations are conducted along the eastern seaboard, western seaboard and the Gulf Coast. The Company also operates equipment, to a lesser extent, in the Eastern and Western Canadian Provinces. The tank barges operating are in the 10,000 to 195,000 barrel capacity range and coastal tugboats in the 2,400 to 10,000 horsepower range. Kirby Offshore Marine’s vessels call on various coastal ports from Maine to Texas, servicing refineries, storage terminals and power plants. The Company also services refineries and storage terminals from Southern California to Washington State.</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coastal transportation of refined petroleum products and black oil is impacted by seasonality and is partially dependent on the area of operations. Operations along the West Coast of the United States have been subject to more seasonal variations in demand than the operations along the East Coast and Gulf Coast regions of the United States. Movements of refined petroleum products such as various blends of gasoline are strongest during the summer driving season while heating oil generally increases during the winter months.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 w:name="page11"/>
    <w:bookmarkEnd w:id="10"/>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coastal fleet consists of 28 tank barges with 2.9 million barrels of capacity, primarily transporting refined petroleum products, black oil and petrochemicals. The Company owns all 28 of the coastal tank barges. Of the 28 coastal tank barges, 20 are refined petroleum products and petrochemical barges and 8 are black oil barges. The Company operates 25 coastal tugboats ranging from 2,400 to 11,000 horsepower, of which all 24 are owned by the Company.</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Coastal marine transportation services are typically conducted under term contracts, some of which have renewal options, for customers with which the Company has traditionally had long-standing relationships. During 2021, approximately 80% of the coastal marine transportation revenues were under term contracts and 20% were under spot contracts. During 2022, approximately 75% of the coastal marine transportation revenues were under term contracts and 25% were under spot contracts. During 2023, approximately 85% of the coastal marine transportation revenues were under term contracts and 15% were under spot contracts.</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Offshore Marine also operates a fleet of two offshore dry-bulk barge and tugboat units involved in the transportation of sugar and other dry products between Florida and East Coast ports. These vessels have typically operated under term contracts of affreightment of a year or longer.</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Kirby Ocean Transport owns and operates a fleet of two offshore dry-bulk barges, two offshore tugboats and one docking tugboat. Kirby Ocean Transport operates primarily under term contracts of affreightment.</w:t>
      </w:r>
    </w:p>
    <w:p>
      <w:pPr>
        <w:spacing w:after="0" w:line="136"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Kirby Ocean Transport is also engaged in the transportation of coal, fertilizer, sugar and other bulk cargoes on a spot basis between domestic ports and occasionally the transportation of grain from domestic ports to ports primarily in the Caribbean Basin.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and Customers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Marine transportation inland and coastal services are conducted under term or spot contracts for customers with whom the Company has traditionally had long-standing relationships. Typically, term contracts range from one to three years, some of which have renewal options. The majority of the marine transportation contracts with its customers by revenue are for terms of one year. Most have been customers of KMT for many years and management anticipates continued relationships; however, there is no assurance that any individual contract will be renewed.</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enters into agreements with its customers to transport cargo from a designated origin to a designated destination at a set rate (affreightment) or at a daily rate (time charter). The rate may or may not include escalation provisions to recover changes in specific costs such as fuel. Time charter or contracts of affreightment of one year or greater are considered term contract revenues and agreements of less than a year are included in spot contract revenues. Time charters, which insulate the Company from revenue fluctuations caused by weather and navigational delays and temporary market declines, represented approximately 63% of the marine transportation’s inland revenues under term contracts during 2023, and 58% of the revenue under term contracts during 2022 and 2021. Spot contracts typically involve an agreement with a customer to move cargo from a specific origin to a designated destination for a rate negotiated at the time the cargo movement takes place. Spot contract rates are at the current “market” rate and are subject to market volatility.</w:t>
      </w:r>
    </w:p>
    <w:p>
      <w:pPr>
        <w:spacing w:after="0" w:line="14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typically maintains a higher mix of term contracts to spot contracts to provide the Company with a reasonably predictable revenue stream while maintaining spot market exposure to take advantage of new business opportunities and customers’ peak demands. During 2021, approximately 65% of inland marine transportation revenues were under term contracts and 35% were under spot contracts. During both 2022 and 2023, approximately 60% of inland marine transportation revenues were under term contracts and 40% were under spot contracts. Coastal time charters represented approximately 85% of the marine transportation’s coastal revenues under term contracts in 2021 and approximately 90% of coastal revenues under term contracts in 2022 and 2023.</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single customer of KMT accounted for 10% or more of the Company’s revenues in 2023, 2022, or 2021.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1" w:name="page12"/>
    <w:bookmarkEnd w:id="11"/>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jc w:val="both"/>
        <w:ind w:right="60" w:firstLine="374"/>
        <w:spacing w:after="0" w:line="253" w:lineRule="auto"/>
        <w:rPr>
          <w:sz w:val="20"/>
          <w:szCs w:val="20"/>
          <w:color w:val="auto"/>
        </w:rPr>
      </w:pPr>
      <w:r>
        <w:rPr>
          <w:rFonts w:ascii="Times New Roman" w:cs="Times New Roman" w:eastAsia="Times New Roman" w:hAnsi="Times New Roman"/>
          <w:sz w:val="18"/>
          <w:szCs w:val="18"/>
          <w:color w:val="auto"/>
        </w:rPr>
        <w:t>The Company, through its wholly owned subsidiary Kirby Distribution &amp; Services, Inc. and its wholly owned subsidiaries Kirby Engine Systems LLC, (“Kirby Engine Systems”), Stewart &amp; Stevenson LLC (“S&amp;S”), United Holdings LLC (“United”), and Diesel Dash LLC and through Kirby Engine Systems’ wholly owned subsidiaries Marine Systems, Inc. (“Marine Systems”) and Engine Systems, Inc. (“Engine Systems”), serves two markets, commercial and industrial, and oil and gas. The Company sells genuine replacement parts, provides service mechanics to overhaul and repair engines, transmissions, reduction gears and related oilfield service equipment, rebuilds component parts or entire diesel engines, transmissions and reduction gears, electrical motors, drives, and controls, specialized electrical distribution and control systems, energy storage battery systems, and related equipment used in oilfield services, marine, power generation, on-highway, and other commercial and industrial applications. Customers are served through a network of 63 branch locations across 17 states and Colombia, South America, as well as a proprietary on-line marketplace, www.dieseldash.com. The Company manufactures and remanufactures oilfield service equipment, including pressure pumping units, for North American as well as for international oilfield service companies, and oil and gas operator and producer markets. The Company also sells engines, transmissions, power generation systems, and rents equipment including generators, industrial compressors, high capacity lift trucks, and refrigeration trailers for use in a variety of commercial and industrial applications, including for oilfield service and railroad customers.</w:t>
      </w:r>
    </w:p>
    <w:p>
      <w:pPr>
        <w:spacing w:after="0" w:line="146"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color w:val="auto"/>
        </w:rPr>
        <w:t>For the commercial and industrial market, the Company sells Original Equipment Manufacturers (“OEM”) replacement parts and new diesel engines, provides service mechanics and maintains facilities to overhaul and repair diesel engines and ancillary products for marine and on-highway transportation companies,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generators, industrial compressors, high capacity lift trucks, and refrigeration trailers for use in a variety of industrial markets.</w:t>
      </w:r>
    </w:p>
    <w:p>
      <w:pPr>
        <w:spacing w:after="0" w:line="159"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For the oil and gas market, the Company sells OEM replacement parts, sells and services diesel engines, pumps and transmissions, manufactures and remanufactures pressure pumping units, manufactures cementing and pumping equipment, as well as coil tubing and well intervention equipment, electric power generation equipment, specialized electrical distribution and control equipment, and high capacity energy storage/battery systems. Customers include oilfield service companies, and oil and gas operators and producers.</w:t>
      </w:r>
    </w:p>
    <w:p>
      <w:pPr>
        <w:spacing w:after="0" w:line="141"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No single customer of KDS accounted for 10% or more of the Company’s revenues in 2023, 2022, or 2021. KDS also provides service to KMT, which accounted for approximately 3% of KDS’s 2023 and 2022 revenues, and 2% of the segment's 2021 revenues. Such revenues are eliminated in consolidation and not included in the table below.</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revenues for KDS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parts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1,071,297</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962,187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813,875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298,406</w:t>
            </w:r>
          </w:p>
        </w:tc>
        <w:tc>
          <w:tcPr>
            <w:tcW w:w="24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205,600</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109,867</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1"/>
                <w:szCs w:val="21"/>
                <w:color w:val="auto"/>
              </w:rPr>
            </w:pPr>
          </w:p>
        </w:tc>
      </w:tr>
      <w:tr>
        <w:trPr>
          <w:trHeight w:val="238"/>
        </w:trPr>
        <w:tc>
          <w:tcPr>
            <w:tcW w:w="30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Operations</w:t>
      </w:r>
    </w:p>
    <w:p>
      <w:pPr>
        <w:spacing w:after="0" w:line="20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Company serves the marine, on-highway, power generation, and other commercial and industrial markets primarily in the United States. The commercial and industrial operations represented approximately 59% of the segment’s 2023 revenues.</w:t>
      </w:r>
    </w:p>
    <w:p>
      <w:pPr>
        <w:spacing w:after="0" w:line="122"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46"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The Company has marine repair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Louisiana, Chesapeake, Virginia,</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Louisiana operation concentrates on the inland and offshore barge and oilfield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high-speed marine operations are located in Houston, Texas, Houma, Baton Rouge, Belle Chasse and New Iberia, Louisiana, Paducah, Kentucky, Mobile, Alabama, Lodi and Thorofare, New Jersey, and several locations in Florida. The Company serves as a factory-authorized marine dealer for Caterpillar diesel engines in multiple states. The Company also operates factory-authorized full service marine distributorships/dealerships for Cummins, Detroit Diesel, John Deere, MTU, and Volvo Penta, and Kohler diesel engines, as well as Falk, Lufkin and Twin Disc marine gears. High-speed diesel engines provide the main propulsion for a significant amount of the United States flagged commercial vessels and large pleasure craft vessels, other marine applications, including engines for power generators and barge pumps.</w:t>
      </w:r>
    </w:p>
    <w:p>
      <w:pPr>
        <w:spacing w:after="0" w:line="14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and haul trucks, as well as equipment rental.</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Cooper Machinery Services (“Cooper”)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also a non-exclusive distributor of Ingersoll Rand air start equipment to the nuclear industry worldwide.</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sells pre-packaged and fabricated power generation systems for emergency, standby and auxiliary power for commercial and industrial applications. The Company also offers rental generator systems from 50 to 2,000 kilowatts of power to a broad range of customers. The Company also is engaged in the rental of industrial compressors, high capacity lift trucks, and refrigeration trailers.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Customers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results of the distribution and services industry are largely tied to the industries it serves and, therefore, are influenced by the cycles of such industries. The Company’s major marine customers include inland and offshore barge operators, oilfield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 there is no assurance that its present gross revenues can be maintained in the future.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3" w:name="page14"/>
    <w:bookmarkEnd w:id="13"/>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22" w:lineRule="exact"/>
        <w:rPr>
          <w:sz w:val="20"/>
          <w:szCs w:val="20"/>
          <w:color w:val="auto"/>
        </w:rPr>
      </w:pPr>
    </w:p>
    <w:p>
      <w:pPr>
        <w:ind w:right="220" w:firstLine="374"/>
        <w:spacing w:after="0" w:line="461" w:lineRule="auto"/>
        <w:rPr>
          <w:sz w:val="20"/>
          <w:szCs w:val="20"/>
          <w:color w:val="auto"/>
        </w:rPr>
      </w:pPr>
      <w:r>
        <w:rPr>
          <w:rFonts w:ascii="Times New Roman" w:cs="Times New Roman" w:eastAsia="Times New Roman" w:hAnsi="Times New Roman"/>
          <w:sz w:val="18"/>
          <w:szCs w:val="18"/>
          <w:color w:val="auto"/>
        </w:rPr>
        <w:t xml:space="preserve">The Company’s rental customers are primarily commercial and industrial companies, and residential customers with short-term rental requirements. </w:t>
      </w:r>
      <w:r>
        <w:rPr>
          <w:rFonts w:ascii="Times New Roman" w:cs="Times New Roman" w:eastAsia="Times New Roman" w:hAnsi="Times New Roman"/>
          <w:sz w:val="18"/>
          <w:szCs w:val="18"/>
          <w:b w:val="1"/>
          <w:bCs w:val="1"/>
          <w:color w:val="auto"/>
        </w:rPr>
        <w:t>Commercial and Industrial Competitive Conditions</w:t>
      </w: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14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is one of a limited number of authorized resellers of EMD, Caterpillar, Cummins, Detroit Diesel, John Deere, MTU and Volvo Penta parts. The Company is also the marine distributor for Falk and Lufkin reduction gears throughout the United States.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As noted above, the Company is the exclusive worldwide distributor of EMD, Cooper,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Operations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engaged in the distribution and service of high-speed diesel engines, pumps and transmissions, and the manufacture and remanufacture of oilfield service equipment. The oil and gas operations represented approximately 41% of the segment’s 2023 revenues. The Company offers custom fabricated oilfield service equipment that is fully tested and field ready. The Company manufactures and remanufactures oilfield service equipment, including pressure pumping units, nitrogen pumping units, cementers, hydration equipment, mud pumps and blenders, coil tubing, well intervention equipment, electric power generation equipment, specialized electrical distribution and control equipment, and high capacity energy storage/battery systems. The Company sells OEM replacement parts, and sells and services diesel engines, electric drives, motors and controls, pumps and transmissions, and offers in-house and in-field service capabilities. The Company is the largest off-highway distributor for Allison Transmission and a major distributor for MTU in North America.</w:t>
      </w:r>
    </w:p>
    <w:p>
      <w:pPr>
        <w:spacing w:after="0" w:line="16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Company’s manufacturing and remanufacturing facilities and service facilities are based in Houston, Texas and Oklahoma City, Oklahoma, both key oil and gas producing regions.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Customers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Competitive Conditions</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primary competitors in the oil and gas market are other oilfield equipment manufacturers and remanufacturers, and equipment service companies. While price is a major determinant in the competitive process, equipment availability, reputation,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4" w:name="page15"/>
    <w:bookmarkEnd w:id="14"/>
    <w:p>
      <w:pPr>
        <w:jc w:val="both"/>
        <w:spacing w:after="0" w:line="281" w:lineRule="auto"/>
        <w:rPr>
          <w:sz w:val="20"/>
          <w:szCs w:val="20"/>
          <w:color w:val="auto"/>
        </w:rPr>
      </w:pPr>
      <w:r>
        <w:rPr>
          <w:rFonts w:ascii="Times New Roman" w:cs="Times New Roman" w:eastAsia="Times New Roman" w:hAnsi="Times New Roman"/>
          <w:sz w:val="18"/>
          <w:szCs w:val="18"/>
          <w:color w:val="auto"/>
        </w:rPr>
        <w:t>consistent quality, expeditious service, experienced personnel, access to parts inventories and market presence are also significant factors. A substantial portion of the Company’s business is obtained by competitive bids.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86"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operations, products, and services are subject to various government regulations, which vary based upon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and within its business segments.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KMT, the Company’s marine transportation operations are subject to regulation by the United States Coast Guard (“USCG”), federal laws, state laws, the laws of other countries when operating in their waters, and certain international conventions. The agencies establish safety requirements and standards and are authorized to investigate incidents.</w:t>
      </w:r>
    </w:p>
    <w:p>
      <w:pPr>
        <w:spacing w:after="0" w:line="15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were phased in following the July 20, 2018 effective date through July 19, 2022, by which time the Company was in full compliance.</w:t>
      </w:r>
    </w:p>
    <w:p>
      <w:pPr>
        <w:spacing w:after="0" w:line="14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of the Company’s coastal tugboats and coastal tank and dry-bulk barges are built to American Bureau of Shipping (“ABS”) classification standards and/or statutory requirements issued by the USCG, and are inspected periodically by ABS and/or the USCG to maintain the vessels in class and compliant with all U.S. statutory requirements, as applicable to the vessel. The crews employed by the Company aboard inland and coastal vessels, including captains, pilots, engineers, tankermen and ordinary seamen, are licensed by the USCG.</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believes that its 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believes that additional security and environmental related regulations relating to contingency planning requirements could be imposed on the marine industry. Generally, the Company endorses the anticipated additional regulations and believes it is currently operating to standards at least equal to anticipated additional regulations.</w:t>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When the Company does operate in foreign jurisdictions, it is subject to the legal and regulatory requirements of those jurisdictions in addition to those generally applicable to the Company's domestic operations. This is primarily applicable to the coastal business of the KMT segment and Colombia branches in the KDS segment. Further, to the extent the Company does business with foreign counterparties, it is subject to additional rules and regulations, in particular, with regard to import and export compliance and the Foreign Corrupt Practices Act (“FCPA”), or similar local applicable anti-bribery laws. The Company provides anti-corruption training to all of its employees.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Jones Act. </w:t>
      </w:r>
      <w:r>
        <w:rPr>
          <w:rFonts w:ascii="Times New Roman" w:cs="Times New Roman" w:eastAsia="Times New Roman" w:hAnsi="Times New Roman"/>
          <w:sz w:val="18"/>
          <w:szCs w:val="18"/>
          <w:color w:val="auto"/>
        </w:rPr>
        <w:t>The Jones Act is a federal cabotage law that restricts domestic marine transportation in the United States to vessels built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manned, owned and operated by United States citizens. For a corporation to qualify as a United States citizen for the purpose of domestic trade, it has to be 75% owned and controlled by United States citizens within the meaning of the Jones Act. The Company monitors its citizenship status and meets the requirements of the Jones Act for its owned and operated vessels.</w:t>
      </w:r>
    </w:p>
    <w:p>
      <w:pPr>
        <w:spacing w:after="0" w:line="153" w:lineRule="exact"/>
        <w:rPr>
          <w:sz w:val="20"/>
          <w:szCs w:val="20"/>
          <w:color w:val="auto"/>
        </w:rPr>
      </w:pPr>
    </w:p>
    <w:p>
      <w:pPr>
        <w:jc w:val="both"/>
        <w:ind w:right="20" w:firstLine="374"/>
        <w:spacing w:after="0" w:line="265" w:lineRule="auto"/>
        <w:rPr>
          <w:sz w:val="20"/>
          <w:szCs w:val="20"/>
          <w:color w:val="auto"/>
        </w:rPr>
      </w:pPr>
      <w:r>
        <w:rPr>
          <w:rFonts w:ascii="Times New Roman" w:cs="Times New Roman" w:eastAsia="Times New Roman" w:hAnsi="Times New Roman"/>
          <w:sz w:val="18"/>
          <w:szCs w:val="18"/>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User Taxes. </w:t>
      </w:r>
      <w:r>
        <w:rPr>
          <w:rFonts w:ascii="Times New Roman" w:cs="Times New Roman" w:eastAsia="Times New Roman" w:hAnsi="Times New Roman"/>
          <w:sz w:val="18"/>
          <w:szCs w:val="18"/>
          <w:color w:val="auto"/>
        </w:rPr>
        <w:t>Federal legislation requires that inland marine transportation companies pay a user tax based on propulsion fuel used by vessels engaged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140"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 presently pays a federal fuel user tax of 29.1 cents per gallon consisting of a 0.1 cent per gallon leaking underground storage tank tax and 29 cents per gallon waterways user tax.</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5" w:name="page16"/>
    <w:bookmarkEnd w:id="15"/>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Requirements. </w:t>
      </w:r>
      <w:r>
        <w:rPr>
          <w:rFonts w:ascii="Times New Roman" w:cs="Times New Roman" w:eastAsia="Times New Roman" w:hAnsi="Times New Roman"/>
          <w:sz w:val="18"/>
          <w:szCs w:val="18"/>
          <w:color w:val="auto"/>
        </w:rPr>
        <w:t>The Maritime Transportation Security Act of 2002 requires, among other things, submission to and approval by the USCG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and waterfront facility security plans (“VSP” and “FSP”, respectively). The Company maintains approved VSP and FSP and is operating in compliance with the plans for all of its vessels and facilities that are subject to the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or the Company operates in such jurisdictions. Government regulations require the Company to obtain permits, licenses and certificates for the operation of its vessels and its facilities in both KMT and KDS. Failure to maintain necessary permits or approvals could require the Company to incur costs or temporarily suspend operation of one or more of its vessels or other facilities. Violations of these laws may result in civil and criminal penalties, fines, or other sanctions.</w:t>
      </w:r>
    </w:p>
    <w:p>
      <w:pPr>
        <w:spacing w:after="0" w:line="14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Water Pollution Regulations. </w:t>
      </w:r>
      <w:r>
        <w:rPr>
          <w:rFonts w:ascii="Times New Roman" w:cs="Times New Roman" w:eastAsia="Times New Roman" w:hAnsi="Times New Roman"/>
          <w:sz w:val="18"/>
          <w:szCs w:val="18"/>
          <w:color w:val="auto"/>
        </w:rPr>
        <w:t>The Federal Water Pollution Control Act of 1972, as amended by the Clean Water Act of 1977 (“Clean Water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161"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Clean Water Act. </w:t>
      </w:r>
      <w:r>
        <w:rPr>
          <w:rFonts w:ascii="Times New Roman" w:cs="Times New Roman" w:eastAsia="Times New Roman" w:hAnsi="Times New Roman"/>
          <w:sz w:val="18"/>
          <w:szCs w:val="18"/>
          <w:color w:val="auto"/>
        </w:rPr>
        <w:t>The Clean Water Act establishes the National Pollutant Discharge Elimination System (“NPDES”) permitting program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discharges into navigable waters of the United States. The United States Environmental Protection Agency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national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 EPA’s interim requirements.</w:t>
      </w:r>
    </w:p>
    <w:p>
      <w:pPr>
        <w:spacing w:after="0" w:line="16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has required and continues to require significant capital expenditures in accordance with the compliance schedule established by the USCG in 33 CFR 151 to complete the installation of the approved system on those existing vessels that require a system in order to comply with the BWMS regulations. During 2024, the Company expects to complete installation of an approved BWMS on the last such barge currently in its fleet.</w:t>
      </w:r>
    </w:p>
    <w:p>
      <w:pPr>
        <w:spacing w:after="0" w:line="14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Responsibility Requirement. </w:t>
      </w:r>
      <w:r>
        <w:rPr>
          <w:rFonts w:ascii="Times New Roman" w:cs="Times New Roman" w:eastAsia="Times New Roman" w:hAnsi="Times New Roman"/>
          <w:sz w:val="18"/>
          <w:szCs w:val="18"/>
          <w:color w:val="auto"/>
        </w:rPr>
        <w:t>Commencing with the Federal Water Pollution Control Act of 1972, as amended, vessels over 300 gross tons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18"/>
          <w:szCs w:val="18"/>
          <w:color w:val="auto"/>
        </w:rPr>
        <w:t>requirement, and the Company has fully complied with this requirement since its inception. The States of Alaska, California, and Washington have implemented state financial responsibility requirements. Currently, the States of California and Alaska require a COFR and the State of Washington is in the process of implementing a COFR requirement to be effective during the course of 2024. The Company does not foresee any current or future difficulty in maintaining the COFR certificates or meeting financial responsibility requirements under current federal or state rules.</w:t>
      </w:r>
    </w:p>
    <w:p>
      <w:pPr>
        <w:spacing w:after="0" w:line="15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Clean Air Regulations. </w:t>
      </w:r>
      <w:r>
        <w:rPr>
          <w:rFonts w:ascii="Times New Roman" w:cs="Times New Roman" w:eastAsia="Times New Roman" w:hAnsi="Times New Roman"/>
          <w:sz w:val="18"/>
          <w:szCs w:val="18"/>
          <w:color w:val="auto"/>
        </w:rPr>
        <w:t>The Federal Clean Air Act of 1979 (“CAA”) requires states to draft State Implementation Plans (“SIPs”) under the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Ambient Air Quality Standards designed to reduce atmospheric pollution for six common air pollutants to levels mandated by this act. The EPA designates areas in the United States as meeting or not meeting the standards. Several SIPs implement the regulation of barge loading and discharging emissions at waterfront facilities as a measure to meet the CAA standard.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KDS, particularly in its oil and gas equipment service and manufacturing and the power generation businesses, must closely adhere to federal regulatory requirements relating to emissions for stationary and non-road engines.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5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Contingency Plan Requirement. </w:t>
      </w:r>
      <w:r>
        <w:rPr>
          <w:rFonts w:ascii="Times New Roman" w:cs="Times New Roman" w:eastAsia="Times New Roman" w:hAnsi="Times New Roman"/>
          <w:sz w:val="18"/>
          <w:szCs w:val="18"/>
          <w:color w:val="auto"/>
        </w:rPr>
        <w:t>The OPA and several state statutes of similar intent require the majority of the vessels and terminals operated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3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Occupational Health Regulations. </w:t>
      </w:r>
      <w:r>
        <w:rPr>
          <w:rFonts w:ascii="Times New Roman" w:cs="Times New Roman" w:eastAsia="Times New Roman" w:hAnsi="Times New Roman"/>
          <w:sz w:val="18"/>
          <w:szCs w:val="18"/>
          <w:color w:val="auto"/>
        </w:rPr>
        <w:t>The Company’s inspected vessel operations are primarily regulated by the USCG for occupational health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Uninspected vessel operations, the Company’s shore-based personnel, and employees in the Company’s KDS segment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5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Company’s marine transportation operations are subject to the hazards associated with operating vessels carrying large volumes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For shipyard operations, the Company has ship repairer’s liability and builder’s risk insurance. The Company uses a Texas domiciled wholly owned insurance subsidiary, Adaptive KRM, LLC, to provide cost effective risk transfer options to insure certain exposures of the Company and certain of its subsidiaries in KMT and KDS. The Company also maintains insurance to address liabilities arising in connection with KDS.</w:t>
      </w:r>
    </w:p>
    <w:p>
      <w:pPr>
        <w:spacing w:after="0" w:line="14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Environmental Protection. </w:t>
      </w:r>
      <w:r>
        <w:rPr>
          <w:rFonts w:ascii="Times New Roman" w:cs="Times New Roman" w:eastAsia="Times New Roman" w:hAnsi="Times New Roman"/>
          <w:sz w:val="18"/>
          <w:szCs w:val="18"/>
          <w:color w:val="auto"/>
        </w:rPr>
        <w:t>The Company utilizes several programs to further its commitment to environmental responsibility in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compliance audits, performed with internal and external resources, are performed regularly on the Company's operations. Additionally, the Company employs third party expertise to conduct safety performance, safety management system, and environmental audits on its barge cleaning and shipyard vendors. The Company participates in the American Waterways Operators Responsible Carrier program, which drives continuous improvement towards reducing the barge industry’s impact on the environment. It is also a member of the Blue Sky Maritime Coalition and other organizations focused on reducing greenhouse gas emissions.</w:t>
      </w:r>
    </w:p>
    <w:p>
      <w:pPr>
        <w:spacing w:after="0" w:line="14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The Company manages its exposure to the hazards associated with its business through safety, training and preventive maintenance efforts.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emphasizes its safety commitment through programs oriented toward extensive monitoring of safety performance for the purpose of identifying trends and initiating corrective action, and for continuously improving employee safety behavior and performance.</w:t>
      </w:r>
    </w:p>
    <w:p>
      <w:pPr>
        <w:spacing w:after="0" w:line="14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The Company believes that among the major elements of a successful and productive workforce are effective training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Refer to Human Capital below for further discussion regarding training programs the Company has developed and instituted.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7" w:name="page18"/>
    <w:bookmarkEnd w:id="17"/>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Quality. </w:t>
      </w:r>
      <w:r>
        <w:rPr>
          <w:rFonts w:ascii="Times New Roman" w:cs="Times New Roman" w:eastAsia="Times New Roman" w:hAnsi="Times New Roman"/>
          <w:sz w:val="18"/>
          <w:szCs w:val="18"/>
          <w:color w:val="auto"/>
        </w:rPr>
        <w:t>Kirby Inland Marine has made a substantial commitment to the implementation, maintenance, and improvement of quality assurance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w:t>
      </w:r>
      <w:r>
        <w:rPr>
          <w:rFonts w:ascii="Times New Roman" w:cs="Times New Roman" w:eastAsia="Times New Roman" w:hAnsi="Times New Roman"/>
          <w:sz w:val="18"/>
          <w:szCs w:val="18"/>
          <w:color w:val="auto"/>
        </w:rPr>
        <w:t>The Company has approximately 5,450 employees, the large majority of whom are in the United States. The large majority of non-vessel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work full-time. Vessel employees work varying schedules according to their assignments. The Company has approximately 110 general corporate employees. The Company supports its employees by providing competitive pay and benefits, training, and a respectful and inclusive culture.</w:t>
      </w:r>
    </w:p>
    <w:p>
      <w:pPr>
        <w:spacing w:after="0" w:line="13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KMT has approximately 3,070 employees, of which approximately 2,350 are vessel crew members. None of the segment’s inland operations are subject to collective bargaining agreements. The segment’s coastal operations include approximately 413 vessel employees, some of which are subject to collective bargaining agreements in certain geographic areas. Approximately 217 Kirby Offshore Marine vessel crew members are subject to a collective bargaining agreement with the Richmond Terrace Bargaining Unit in effect through August 31, 2025. In addition, approximately 108 vessel crew members of Penn Maritime Inc., a wholly owned subsidiary of Kirby Offshore Marine, are represented by the Seafarers International Union under a collective bargaining agreement in effect through May 1, 2025.</w:t>
      </w:r>
    </w:p>
    <w:p>
      <w:pPr>
        <w:spacing w:after="0" w:line="15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KDS has approximately 2,270 employees. None of the United Holdings and Kirby Engine Systems operations are subject to collective bargaining agreements. Approximately 50 S&amp;S employees in New Jersey are subject to a collective bargaining agreement with the Local 15C, International Union of Operating Engineers, AFL-CIO that expires in October 2028. The remaining S&amp;S employees are not subject to collective bargaining agreements.</w:t>
      </w:r>
    </w:p>
    <w:p>
      <w:pPr>
        <w:spacing w:after="0" w:line="13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The Company strives to provide its employees with a rewarding work environment, including the opportunity for success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opportunity for personal and professional development. The development of its people is a key factor in the Company’s employee retention and satisfaction. Its technical and skill training has always been a differentiator and has facilitated the recruitment of new trainees.</w:t>
      </w:r>
    </w:p>
    <w:p>
      <w:pPr>
        <w:spacing w:after="0" w:line="13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marine business, the Company’s training facility includes state-of-the-art equipment and instruction aids, including a full bridge wheelhouse simulator, a working towboat, two tank barges, and a tank barge simulator for tankermen training. During 2023, approximately 1,750 certificates were issued for the completion of courses at the training facility, of which approximately 930 were USCG approved classes and the balance were employee development and Company required classes, including leadership, communication, and navigation courses. The Company uses the Seaman’s Church Institute as an additional training resource for its wheelhouse crewmembers. The marine segment provides a clear career progression for vessel personnel from entry level deckhand to captain and regularly reviews promotions from one level to another.</w:t>
      </w:r>
    </w:p>
    <w:p>
      <w:pPr>
        <w:spacing w:after="0" w:line="15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distribution and services, the Company operates regional training centers providing instructor-led, skill-based training classes to certify its technicians to work on diesel engines, transmissions, and power generation equipment. KDS has multiple career progressions within its numerous job groups. In 2022, KDS launched an apprentice program at various locations. The Company continues to recruit and train apprentices for technical roles.</w:t>
      </w:r>
    </w:p>
    <w:p>
      <w:pPr>
        <w:spacing w:after="0" w:line="13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leadership and managerial training includes an online training curriculum that is available to both supervisory employees and those employees that aspire to move into such roles in the future. It includes a series of classes focused on management essentials which provide in-depth education in specific subjects such as leadership, strategic thinking, coaching and people development, decision making, problem solving, and communication.</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Company facilitates many training courses that cover a range of topics that enhance specific skill sets, increase productivity, and educate employees about safety and team morale across both business segments. Training classes include environmental, health, and safety classes, compliance, leadership, and general business skills related courses. Environmental, health, and safety topics include defensive and distracted driving, first aid basic and medical emergencies, global safety principles, oil management, and hazardous substances training. Compliance topics include anti-corruption and anti-human trafficking training, cybersecurity awareness, business ethics, compliance, and promoting diversity. Skill related topics include business writing, risk-based thinking, initiating and planning a project, and transitioning into a project management role.</w:t>
      </w:r>
    </w:p>
    <w:p>
      <w:pPr>
        <w:spacing w:after="0" w:line="15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The Company believes that its culture of inclusion and diversity contributes to a strong workforce that meets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expectations and business objectives. The Company works diligently to attract the best talent from a diverse range of sources in order to meet the current and future demands of its business. The Company has established relationships with trade schools, world-class universities, professional associations and industry groups to proactively attract talent.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also implemented several measures and development programs that include training to help increase awareness and drive inclusive behaviors, identifying areas for improvement and providing oversight for hiring, promotions, and mentoring. In 2021, the Company instituted an organization-wide training initiative that expanded the understanding and awareness of diversity and inclusion. Over 5,000 employees successfully completed this training. In 2022, the Company tied diversity objectives as a factor in its safety, operations and ESG components of its short-term performance goals under the Annual Incentive Plan.</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Succession planning is a key responsibility of the CEO and the Vice President – Human Resources and is a critical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for the Company’s senior management and its Board. Senior management reviews their succession plans regularly throughout the year and on an annual basis provides the Board an in-depth review of the top three levels of management. This process looks at qualifications, time in role, readiness to advance, diversity, and required development. The Board engages with many of these individuals through presentations on a variety of projects and subjects. The development initiatives undertaken with those in the succession plan may comprise of 360-degree feedback, high level post graduate work, targeted development work around strengthening a needed competency, or additional industry exposure.</w:t>
      </w:r>
    </w:p>
    <w:p>
      <w:pPr>
        <w:spacing w:after="0" w:line="14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Culture, Engagement, and Social Responsibility. </w:t>
      </w:r>
      <w:r>
        <w:rPr>
          <w:rFonts w:ascii="Times New Roman" w:cs="Times New Roman" w:eastAsia="Times New Roman" w:hAnsi="Times New Roman"/>
          <w:sz w:val="18"/>
          <w:szCs w:val="18"/>
          <w:color w:val="auto"/>
        </w:rPr>
        <w:t>The Company recognizes the importance of employee engagement and has implemented a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surveying its employees to obtain their feedback on both what is working well and areas of improvement. One of the main take-aways from the 2023 survey was 90% of employees surveyed agree that Kirby is committed to Employee Safety. In addition, employees believe the Company operates with strong values, has a strong safety culture, and would recommend working for the Company to others.</w:t>
      </w:r>
    </w:p>
    <w:p>
      <w:pPr>
        <w:spacing w:after="0" w:line="1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provides its employees with a rewarding work environment, which includes access to resources for personal and professional development. The Company often participates in community organizations, service projects and matches employee charitable contributions. Through the Kirby Disaster Relief Fund, the Company supports employees in need following natural disasters and other qualified hardships. The Company provides employees with tuition reimbursement and college scholarships for the children of non-executive employees. In addition to standard health and welfare benefits, the Company offers wellness incentives and initiatives that encourages employees to receive an annual wellness checkup.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Company’s Executive Officers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executive officers of the Company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71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r>
      <w:tr>
        <w:trPr>
          <w:trHeight w:val="23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 Grzebinski</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shd w:val="clear" w:color="auto" w:fill="CFF0FC"/>
          </w:tcPr>
          <w:p>
            <w:pPr>
              <w:spacing w:after="0"/>
              <w:rPr>
                <w:sz w:val="20"/>
                <w:szCs w:val="20"/>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 Kumar</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5"/>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Christian G. O’Neil</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 Kirby Inland Marine, Kirby Offshore Marine, San Jac Marine, LLC, and Kirby</w:t>
            </w:r>
          </w:p>
        </w:tc>
      </w:tr>
      <w:tr>
        <w:trPr>
          <w:trHeight w:val="248"/>
        </w:trPr>
        <w:tc>
          <w:tcPr>
            <w:tcW w:w="26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Wind, LLC</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Dorman L. Strahan</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 Kirby Engine Systems</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A. Dragg</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Assistant Secretary</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D. Husted</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Julie M. Kruger</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 Human Resources</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P. Miller</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Information Officer</w:t>
            </w: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Kurt A. Niemietz</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 Investor Relations and Treasurer</w:t>
            </w: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M. Woodruff</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 Public and Governmental Affairs</w:t>
            </w:r>
          </w:p>
        </w:tc>
      </w:tr>
    </w:tbl>
    <w:p>
      <w:pPr>
        <w:spacing w:after="0" w:line="20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3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16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Raj Kumar is a member of CPA Australia and holds a Master of Business Administration degree from Columbia University in New York City and a Bachelor of Business in Accounting degree from Deakin University in Australia. He has served as Executive Vice President and Chief Financial Officer since November 2021. Prior to joining the Company, Mr. Kumar served as Vice President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8"/>
          <w:szCs w:val="18"/>
          <w:color w:val="auto"/>
        </w:rPr>
        <w:t>Chief Financial Officer of Dril-Quip, Inc. from 2020 to 2021, Vice President and Chief Accounting Officer from 2019 to 2020, and Vice President and Treasurer from 2017 to 2019. Prior to joining Dril-Quip, he served as Vice President Finance at Frank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International from 2015 to 2017. Prior to that, he served as a segment controller at LyondellBasell and in Division CFO, treasury, strategic planning and corporate development positions at FMC and Dell Inc.</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as President of San Jac Marine, LLC since October 2018, and President of Kirby Offshore Wind, LLC since March 2021.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 which was subsequently merged into the predecessor of Kirby Inland Marine.</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Ronald A. Dragg is a Certified Public Accountant and holds a Master of Science in Accountancy degree from the University of Houston and a degree in finance from Texas A&amp;M University. He has served the Company as Vice President, Controller and Assistant Secretary since April 2014. He also served as Vice President and Controller from January 2007 to April 2014,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Amy D. Husted holds a doctorate of jurisprudence from South Texas College of Law and a Bachelor of Science degree in political science from the University of Houston. She has served the Company as Vice President, General Counsel and Secretary since April 2019. She also served as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Julie M. Kruger holds a Bachelor of Science degree from Texas A&amp;M University. She has served the Company as Vice President Human Resources since March 2023. She served as Senior Director Human Resources from May 2020 to March 2023. Prior to joining the Company, she served in a variety of roles in human resources at increasing levels of leadership at Key Energy Services from July 2007 to February 2020, including as Vice President Human Resources from March 2019 to February 2020 and Senior Human Resources Director from November 2016 to March 2019.</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Kurt A. Niemietz holds a Master of Business Administration degree from St. Mary’s University and a degree in accounting from the University of Texas at San Antonio. He has served the Company as Vice President - Investor Relations and Treasurer since July 2022. He also served as Vice President and Treasurer from April 2019 to July 2022. Prior to joining the Company, he was employed by Pacific Drilling from 2013 to 2019, serving in various roles of increasing responsibility, including Treasurer from 2017 to 2019, and in various financial positions with FMC, from 2006 to 2013. Prior to joining FMC, he was employed by Austin, Calvert &amp; Flavin as a buy-side equity analyst.</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right="20" w:firstLine="374"/>
        <w:spacing w:after="0" w:line="260" w:lineRule="auto"/>
        <w:rPr>
          <w:sz w:val="20"/>
          <w:szCs w:val="20"/>
          <w:color w:val="auto"/>
        </w:rPr>
      </w:pPr>
      <w:r>
        <w:rPr>
          <w:rFonts w:ascii="Times New Roman" w:cs="Times New Roman" w:eastAsia="Times New Roman" w:hAnsi="Times New Roman"/>
          <w:sz w:val="18"/>
          <w:szCs w:val="18"/>
          <w:color w:val="auto"/>
        </w:rPr>
        <w:t>In addition to the other information set forth elsewhere in this annual report, 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Segment Risk Factors</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Inland Waterway infrastructure is aging and may result in increased costs and disruptions to KMT. </w:t>
      </w:r>
      <w:r>
        <w:rPr>
          <w:rFonts w:ascii="Times New Roman" w:cs="Times New Roman" w:eastAsia="Times New Roman" w:hAnsi="Times New Roman"/>
          <w:sz w:val="18"/>
          <w:szCs w:val="18"/>
          <w:color w:val="auto"/>
        </w:rPr>
        <w:t>Maintenance of the United States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Currently, 35% of the cost of new construction and major rehabilitation of locks and dams is paid by marine transportation companies through a 29 cent per gallon waterway user tax and the remaining 65% of waterway infrastructure and improvement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164"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a marine accident or spill event. </w:t>
      </w:r>
      <w:r>
        <w:rPr>
          <w:rFonts w:ascii="Times New Roman" w:cs="Times New Roman" w:eastAsia="Times New Roman" w:hAnsi="Times New Roman"/>
          <w:sz w:val="18"/>
          <w:szCs w:val="18"/>
          <w:color w:val="auto"/>
        </w:rPr>
        <w:t>A marine accident or spill event could close a portion of the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or a coastal area of the United States for an extended period of time. Although statistically marine transportation is the safest means of surface transportation of bulk commodities, accidents do occur, both involving Company equipment and equipment owned by other marine operators.</w:t>
      </w:r>
    </w:p>
    <w:p>
      <w:pPr>
        <w:spacing w:after="0" w:line="13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transports a wide variety of petrochemicals, black oil, refined petroleum products and agricultural chemicals throughout the Mississippi River System, on the Gulf Intracoastal Waterway, and coastwise along all three United States coasts. The Company manages its exposure to losses from potential unauthorized discharges of pollutants through the use of well-maintained and equipped tank barges and towing vessels, through safety, training and environmental programs, and through the Company’s insurance program, but a discharge of pollutants by the Company could have an adverse effect on the Company. Risks may arise for which the Company may not be insured. Claims covered by insurance are subject to deductibles, the aggregate amount of which could be material, and certain policies impose limitations on coverage. Existing insurance coverage may not be able to be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14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is dependent on its ability to adequately crew its towing vessels. </w:t>
      </w:r>
      <w:r>
        <w:rPr>
          <w:rFonts w:ascii="Times New Roman" w:cs="Times New Roman" w:eastAsia="Times New Roman" w:hAnsi="Times New Roman"/>
          <w:sz w:val="18"/>
          <w:szCs w:val="18"/>
          <w:color w:val="auto"/>
        </w:rPr>
        <w:t>The Company’s vessels are crewed with employees who are licensed or certified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USCG, including its captains, pilots, engineers and tankermen. The success of KMT is dependent on the Company’s ability to adequately crew its vessels. As a result, the Company invests significant resources in training its crews and providing crew members an opportunity to advance from a deckhand to the captain of a Company towboat or tugboat. Inland crew members generally work rotations such as 20 days on, 10 days off rotation, or a 30 days on, 15 days off rotation. For the coastal fleet, crew members are generally required to work rotations such as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competitive labor pressure in KMT, the Company continues to monitor and implement market competitive pay practices. The Company also utilizes an internal development program to train Maritime Academy graduates for vessel leadership positions.</w:t>
      </w:r>
    </w:p>
    <w:p>
      <w:pPr>
        <w:spacing w:after="0" w:line="16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KMT has approximately 3,070 employees, of which approximately 2,350 are vessel crew members. None of the segment’s inland operations are subject to collective bargaining agreements. The segment’s coastal operations include approximately 413 vessel employees, of whom approximately 325 are subject to collective bargaining agreements in certain geographic areas. Any work stoppages or labor disputes could adversely affect coastal operations in those areas. While the COVID-19 pandemic caused some crewing issues, the Company was able to manage its operations with limited vessel delays and disruption of services, including some loss of revenue and incremental costs in the Company’s inland and coastal businesses. The Company expects that it would be able to similarly manage its operations in the future were an event of similar impact to occur again, but there is no guarantee that it would be able to do so.</w:t>
      </w:r>
    </w:p>
    <w:p>
      <w:pPr>
        <w:spacing w:after="0" w:line="14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KMT is subject to the Jones Act. </w:t>
      </w:r>
      <w:r>
        <w:rPr>
          <w:rFonts w:ascii="Times New Roman" w:cs="Times New Roman" w:eastAsia="Times New Roman" w:hAnsi="Times New Roman"/>
          <w:sz w:val="18"/>
          <w:szCs w:val="18"/>
          <w:color w:val="auto"/>
        </w:rPr>
        <w:t>KMT competes principally in markets subject to the Jones Act, a federal cabotage law that restricts domestic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 the United States to vessels built and registered in the United States, and manned, owned and operated by United States citizens. The Company presently meets all of the requirements of the Jones Act for its owned and operated vessels. The loss of Jones Act status could have a significant negative effect on the Company. The requirements that the Company’s vessels be United States built and manned by United States citizens, the crewing requirements and material requirements of the USCG, and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application of United States labor and tax laws increases the cost of United States flagged vessels compared to comparable foreign flagged vessels. The Company’s business could be adversely affected if the Jones Act or international trade agreements or laws were to be modified or waived as to permit foreign flagged vessels to operate in the United States as these vessels are not subject to the same United States government imposed regulations, laws, and restrictions. Since the events of September 11, 2001, the United States government has taken steps to increase security of United States ports, coastal waters and inland waterways. The Company believes that it is unlikely that the current cabotage provisions of the Jones Act would be eliminated or significantly modified in a way that has a material adverse impact on the Company in the foreseeable future.</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Two limited waivers of the Jones Act were granted in connection with the shutdown of the Colonial Pipeline in May 2021. In connection with recovery from Hurricane Fiona, in September and October 2022, two limited waivers of the Jones Act were granted to allow diesel and liquefied natural gas deliveries to Puerto Rico. Waivers of the Jones Act, whether in response to natural disasters or otherwise, could result in increased competition from foreign tank vessel operators, which could negatively impact KMT.</w:t>
      </w:r>
    </w:p>
    <w:p>
      <w:pPr>
        <w:spacing w:after="0" w:line="14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is subject to extensive regulation by the USCG, federal laws, other federal agencies, various state laws, the laws of other countries when operating in their waters, and certain international conventions, as well as numerous environmental regulations. </w:t>
      </w:r>
      <w:r>
        <w:rPr>
          <w:rFonts w:ascii="Times New Roman" w:cs="Times New Roman" w:eastAsia="Times New Roman" w:hAnsi="Times New Roman"/>
          <w:sz w:val="18"/>
          <w:szCs w:val="18"/>
          <w:color w:val="auto"/>
        </w:rPr>
        <w:t>The majority of the Company’s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inspection by the USCG and carry certificates of inspection. The crews employed by the Company aboard vessels are licensed or certified by the USCG. The Company’s marine transportation operations are subject to laws of other countries when operating in their waters.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1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KMT is subject to natural gas and crude oil prices as well as the volatility of their prices as well as the volatility in production of refined products and petrochemicals in the United States. </w:t>
      </w:r>
      <w:r>
        <w:rPr>
          <w:rFonts w:ascii="Times New Roman" w:cs="Times New Roman" w:eastAsia="Times New Roman" w:hAnsi="Times New Roman"/>
          <w:sz w:val="18"/>
          <w:szCs w:val="18"/>
          <w:color w:val="auto"/>
        </w:rPr>
        <w:t>For 2023, 51% of KMT’s revenues were from the movement of petrochemicals, including the movement of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feedstocks from one refinery or petrochemical plant to another, as well as the movement of more finished products to end users and terminals for export. As a result of the COVID-19 pandemic and petrochemical and refinery plant shutdowns, 2020 and 2021 petrochemical and refined products volumes decreased relative to 2019. Volumes began to recover in 2021 and have continued to increase in 2022 and 2023 as economic activity improved.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eight new United States petrochemical projects, including expansion of existing plants, were completed during 2022, with an additional five projects completed during 2023 and four scheduled to be completed in 2024. These projects should provide additional movements for KMT. Higher natural gas and crude oil prices are generally better for the Company’s businesses; however, higher natural gas prices and other factors could negatively impact the United States petrochemical industry and its production volumes, which could negatively impact the Company.</w:t>
      </w:r>
    </w:p>
    <w:p>
      <w:pPr>
        <w:spacing w:after="0" w:line="16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 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By the end of 2019, the Company estimates that number of tank barges had declined to 335 inland tank barges and approximately five coastal tank barges transporting crude and natural gas condensate. During 2020, the COVID-19 pandemic and oil price volatility resulted in a sharp decrease in volumes of crude and natural gas condensate being transported. As of the end of 2021, approximately 160 to 170 inland tank barges and one coastal tank barge were transporting crude and natural gas condensate. As of the end of 2022, the Company estimates that approximately 170 to 200 inland tank barges were transporting crude and natural gas condensate. As of the end of 2023, the Company estimates that approximately 190 to 220 inland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2" w:name="page23"/>
    <w:bookmarkEnd w:id="22"/>
    <w:p>
      <w:pPr>
        <w:jc w:val="both"/>
        <w:spacing w:after="0" w:line="281" w:lineRule="auto"/>
        <w:rPr>
          <w:sz w:val="20"/>
          <w:szCs w:val="20"/>
          <w:color w:val="auto"/>
        </w:rPr>
      </w:pPr>
      <w:r>
        <w:rPr>
          <w:rFonts w:ascii="Times New Roman" w:cs="Times New Roman" w:eastAsia="Times New Roman" w:hAnsi="Times New Roman"/>
          <w:sz w:val="18"/>
          <w:szCs w:val="18"/>
          <w:color w:val="auto"/>
        </w:rPr>
        <w:t>available black oil and petrochemical barge moves caused by reduced crude oil and natural gas condensate production could have an adverse impact on KMT including as a result of lower spot and term contract rates and/or reluctance to enter into or extend term contracts.</w:t>
      </w:r>
    </w:p>
    <w:p>
      <w:pPr>
        <w:spacing w:after="0" w:line="13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construction of tank barges. </w:t>
      </w:r>
      <w:r>
        <w:rPr>
          <w:rFonts w:ascii="Times New Roman" w:cs="Times New Roman" w:eastAsia="Times New Roman" w:hAnsi="Times New Roman"/>
          <w:sz w:val="18"/>
          <w:szCs w:val="18"/>
          <w:color w:val="auto"/>
        </w:rPr>
        <w:t>At the present time, there are an estimated 4,007 inland tank barges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which the Company operates 1,076, or 27%. For 2021, the Company estimated that industry-wide 70 new tank barges were placed in service, and 90 tank barges were retired. For 2022, the Company estimates that industry-wide 22 new tank barges were placed in service and retirements, net of reactivations, were flat. For 2023, the Company estimates that industry-wide 27 new tank barges were placed in service and 48 tank barges were retired. The Company estimates that approximately 25 to 30 new tank barges have currently been ordered for delivery in 2024 and expects a number of older tank barges will be retired, dependent on 2024 market conditions.</w:t>
      </w:r>
    </w:p>
    <w:p>
      <w:pPr>
        <w:spacing w:after="0" w:line="14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long-term risk of an oversupply of inland tank barges may be mitigated by the fact that the inland tank barge industry has approximately 600 tank barges that are 30 years old or older and approximately 400 of those are 40 years old or older. Given the age profile of the industry inland tank barge fleet and extensive customer vetting standards, the expectation is that these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Beginning in 2019, a decline in industry-wide demand for the movement of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2019 through 2021. Much of this new capacity was replacement capacity for older vessels anticipated to be retired.</w:t>
      </w:r>
    </w:p>
    <w:p>
      <w:pPr>
        <w:spacing w:after="0" w:line="15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estimates there are approximately 264 tank barges operating in the 195,000 barrels or less coastal industry fleet, the sector of the market in which the Company operates, and approximately 20 of those are over 25 years old. The Company is aware of one small specialized coastal ATB placed in service in 2021 and no ATBs placed in service in 2022 or 2023 with no further ATBs currently under construction.</w:t>
      </w:r>
    </w:p>
    <w:p>
      <w:pPr>
        <w:spacing w:after="0" w:line="13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Higher fuel prices could increase operating expenses and fuel price volatility could reduce profitability. </w:t>
      </w:r>
      <w:r>
        <w:rPr>
          <w:rFonts w:ascii="Times New Roman" w:cs="Times New Roman" w:eastAsia="Times New Roman" w:hAnsi="Times New Roman"/>
          <w:sz w:val="18"/>
          <w:szCs w:val="18"/>
          <w:color w:val="auto"/>
        </w:rPr>
        <w:t>The cost of fuel during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 of marine transportation revenue. The Company’s marine transportation term contracts typically include fuel escalation clauses, or the customer pays for the fuel. However, there is generally a 30 to 120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Significant increases in the construction cost of tank barges and towing vessels may limit the Company’s ability to earn an adequate return on its investment in new tank barges and towing vessels</w:t>
      </w:r>
      <w:r>
        <w:rPr>
          <w:rFonts w:ascii="Times New Roman" w:cs="Times New Roman" w:eastAsia="Times New Roman" w:hAnsi="Times New Roman"/>
          <w:sz w:val="18"/>
          <w:szCs w:val="18"/>
          <w:color w:val="auto"/>
        </w:rPr>
        <w:t>. The price of steel, economic conditions, and supply and demand dynamics can significantly impact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 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The cost of steel, a key material in barge construction, was relatively stable from 2010 through 2019. During 2020, at the onset of the COVID-19 pandemic, steel costs dropped, however, during 2021 and 2022, steel prices rose above 2019 levels due to supply chain disruptions before decreasing in 2023. Although steel prices decreased in 2023, they still remain near historical highs. These increases in steel costs and alterations in supply and demand dynamics, as well as higher labor costs, resulted in construction prices for a new 30,000 barrel tank barge increasing compared to prices in 2017 when there was an industry-wide over-capacity of inland tank barges in the market.</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failure of the Company’s shipyard vendors to deliver new vessels according to contractually agreed delivery schedules and terms. </w:t>
      </w:r>
      <w:r>
        <w:rPr>
          <w:rFonts w:ascii="Times New Roman" w:cs="Times New Roman" w:eastAsia="Times New Roman" w:hAnsi="Times New Roman"/>
          <w:sz w:val="18"/>
          <w:szCs w:val="18"/>
          <w:color w:val="auto"/>
        </w:rPr>
        <w:t>The Company contracts with shipyards to build new vessels and currently has vessels under construction. Construction projects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The Company did not experience significant shipyard delays associated with the COVID-19 pandemic, including at its subsidiary, San Jac. The Company expects that its shipyard vendors, including San Jac, should be able to similarly manage their operations if an event of a similar impact were to occur in the future, but there is no guarantee that the vendors would be able to do so.</w:t>
      </w:r>
    </w:p>
    <w:p>
      <w:pPr>
        <w:spacing w:after="0" w:line="15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KMT. </w:t>
      </w:r>
      <w:r>
        <w:rPr>
          <w:rFonts w:ascii="Times New Roman" w:cs="Times New Roman" w:eastAsia="Times New Roman" w:hAnsi="Times New Roman"/>
          <w:sz w:val="18"/>
          <w:szCs w:val="18"/>
          <w:color w:val="auto"/>
        </w:rPr>
        <w:t>The inland and coastal tank barge industry remains very fragmented and competitive.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 In addition, the Company’s failure to adhere to its safety, reliability and performance standards may impact its ability to retain current customers or attract new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Segment Risk Factors</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KDS could be adversely impacted by future legislation, executive or other governmental orders, or additional regulation of oil and gas extraction, including hydraulic fracturing practices. </w:t>
      </w:r>
      <w:r>
        <w:rPr>
          <w:rFonts w:ascii="Times New Roman" w:cs="Times New Roman" w:eastAsia="Times New Roman" w:hAnsi="Times New Roman"/>
          <w:sz w:val="18"/>
          <w:szCs w:val="18"/>
          <w:color w:val="auto"/>
        </w:rPr>
        <w:t>The Company, through its United and S&amp;S subsidiaries, is a distributor and service provider of engine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related products for the oil and gas services, power generation and transportation industries, and a manufacturer of oilfield service equipment, including pressure pumping units. Various legislative and regulatory initiatives have been proposed that, if passed, could limit or discourage future production of oil and gas. Further, legislation may be enacted by Congress that would authorize the EPA to impose additional regulations on hydraulic fracturing. In addition, a number of states have adopted or are evaluating the adoption of legislation or regulations governing hydraulic fracturing or byproducts of the fracturing process. Related actions may also be taken via executive order. Federal or state legislation, executive or governmental orders,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KDS.</w:t>
      </w:r>
    </w:p>
    <w:p>
      <w:pPr>
        <w:spacing w:after="0" w:line="16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KDS could be adversely impacted by the construction of pressure pumping units by its competitors. </w:t>
      </w:r>
      <w:r>
        <w:rPr>
          <w:rFonts w:ascii="Times New Roman" w:cs="Times New Roman" w:eastAsia="Times New Roman" w:hAnsi="Times New Roman"/>
          <w:sz w:val="18"/>
          <w:szCs w:val="18"/>
          <w:color w:val="auto"/>
        </w:rPr>
        <w:t>During 2020, a significant reduction in oilfield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as a result of oil price volatility and the COVID-19 pandemic resulted in a decrease to an estimated 6 million horsepower of pressure pumping units working in North America, with an estimated 1.5 million horsepower available to work, and 12 million horsepower stacked and in need of major repair. At the end of 2021, strong commodity prices resulted in an increase in horsepower demand with an estimated 12 million horsepower of pressure pumping units working in North America, with an estimated 8 million horsepower idled and in need of major repair. Supported by stronger commodity prices, surplus horsepower capacity declined as activity levels in North America improved during 2022 resulting in an increase to an estimated 15 million horsepower of pressure pumping units working in North America at the end of 2022, with an estimated 5 million horsepower idled and in need of major repair. Horsepower demand remained flat in 2023 with an estimated 15 million horsepower of pressure pumping units working in North America at the end of 2023, with an estimated 4 million horsepower idled and in need of major repair. Increased expansion of, or additions to, facilities or equipment by the Company’s competitors could have a negative impact on the Company’s results of operations.</w:t>
      </w:r>
    </w:p>
    <w:p>
      <w:pPr>
        <w:spacing w:after="0" w:line="1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Prevailing natural gas and crude oil prices, as well as the volatility of their prices, could have an adverse effect on KDS business. </w:t>
      </w:r>
      <w:r>
        <w:rPr>
          <w:rFonts w:ascii="Times New Roman" w:cs="Times New Roman" w:eastAsia="Times New Roman" w:hAnsi="Times New Roman"/>
          <w:sz w:val="18"/>
          <w:szCs w:val="18"/>
          <w:color w:val="auto"/>
        </w:rPr>
        <w:t>Lower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generally result in a decrease in the number of oil and gas wells being drilled. Oilfield service companies reduce their capital spending, resulting in decreased demand for new parts and equipment, including pressure pumping units, provided by KDS.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 in difficulties in the Company’s ability to address variations in production on a timely basis and, therefore, could result in an adverse impact on KDS.</w:t>
      </w:r>
    </w:p>
    <w:p>
      <w:pPr>
        <w:spacing w:after="0" w:line="14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KDS. </w:t>
      </w:r>
      <w:r>
        <w:rPr>
          <w:rFonts w:ascii="Times New Roman" w:cs="Times New Roman" w:eastAsia="Times New Roman" w:hAnsi="Times New Roman"/>
          <w:sz w:val="18"/>
          <w:szCs w:val="18"/>
          <w:color w:val="auto"/>
        </w:rPr>
        <w:t>The distribution and services industry is very competitive. The segment’s oil and gas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4" w:name="page25"/>
    <w:bookmarkEnd w:id="24"/>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Loss of a distributorship or other significant business relationship or disruptions of supply could adversely affect KDS. </w:t>
      </w:r>
      <w:r>
        <w:rPr>
          <w:rFonts w:ascii="Times New Roman" w:cs="Times New Roman" w:eastAsia="Times New Roman" w:hAnsi="Times New Roman"/>
          <w:sz w:val="18"/>
          <w:szCs w:val="18"/>
          <w:color w:val="auto"/>
        </w:rPr>
        <w:t>KDS has had a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EMD, the largest manufacturer of medium-speed diesel engines, since the 1960s. The Company, through Kirby Engine Systems, serves as an EMD distributor for select markets and locations for both service and parts. With the acquisition of S&amp;S in September 2017, the Company added additional EMD distributorship rights in key states, primarily through the Central and South areas of the United States. With the S&amp;S acquisition, the Company became the United States distributor for EMD marine and power generation applications. Sales and service of EMD products account for approximately 3% of the Company’s revenues for 2023. Although the Company considers its relationship with EMD to be strong, the loss of the EMD distributorship and service rights, or a disruption of the supply of EMD parts, could have a negative impact on the Company’s ability to service its customers. In 2020, with the acquisition of Convoy Servicing Company and Agility Fleet Services, LLC, the Company expanded its dealership network of Thermo King refrigeration systems for trucks, railroad cars, and other land transportation markets in Texas and Colorado. In 2023, sales and service of Thermo King products comprised approximately 5% of the Company’s revenues.</w:t>
      </w:r>
    </w:p>
    <w:p>
      <w:pPr>
        <w:spacing w:after="0" w:line="16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distributors for parts, service and warranty on Daimler truck engines and related equipment in multiple states. Sales and service of MTU, Allison, and Daimler products accounted for approximately 13% of the Company’s revenues during 2023. Although the Company considers its relationships with MTU, Allison, and Daimler to be strong, the loss of MTU, Allison, or Daimler distributorships and service rights, or a disruption of the supply of MTU or Allison parts, could have a negative impact on the Company’s ability to service its customers.</w:t>
      </w:r>
    </w:p>
    <w:p>
      <w:pPr>
        <w:spacing w:after="0" w:line="14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addition to its relationships with MTU, Allison, and Daimler, the Company also has relationships with many other distributors and parts suppliers and the loss of a distributorship and service rights, or a disruption of the supply of parts from any of these other distributors or part suppliers could also have a negative impact on the Company’s ability to service its customers.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Risk Factors</w:t>
      </w:r>
    </w:p>
    <w:p>
      <w:pPr>
        <w:spacing w:after="0" w:line="20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adverse weather conditions in KMT and KDS. </w:t>
      </w:r>
      <w:r>
        <w:rPr>
          <w:rFonts w:ascii="Times New Roman" w:cs="Times New Roman" w:eastAsia="Times New Roman" w:hAnsi="Times New Roman"/>
          <w:sz w:val="18"/>
          <w:szCs w:val="18"/>
          <w:color w:val="auto"/>
        </w:rPr>
        <w:t>KMT is subject to weather condition volatility. Physical impacts of climate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could have a material adverse effect on the Company's costs and operations. There has been public discussion that climate change may be associated with rising sea levels as well as extreme weather conditions such as more intense hurricanes, thunderstorms, tornadoes, drought, and snow or ice storms. Extreme weather conditions may increase the Company’s costs or cause damage to its facilities, and any damage resulting from extreme weather may not be fully insured. Many of the Company’s facilities are located near coastal areas or waterways where rising sea levels or flooding could disrupt the Company’s operations or adversely impact its facilities.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Tropical storms and hurricanes may also impact the Company’s customers resulting in reduced demand for the Company’s services. In addition, adverse water and weather conditions can negatively affect a towing vessel’s performance, tow size, loading drafts, fleet efficiency, limit navigation periods and dictate horsepower requirements. KDS is also subject to tropical storms and hurricanes impacting its coastal locations and those of its customers as well as tornados impacting its Oklahoma facilities. The risk of flooding as a result of hurricanes and tropical storms as well as other weather events may impede travel via roadways, suspend service work, and impact deliveries and the Company’s ability to fulfill orders or provide services in KDS.</w:t>
      </w:r>
    </w:p>
    <w:p>
      <w:pPr>
        <w:spacing w:after="0" w:line="15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The Company may be unable to make attractive acquisitions or successfully integrate acquired businesses, and any inability to do so may adversely affect the Company’s business and hinder its ability to grow</w:t>
      </w:r>
      <w:r>
        <w:rPr>
          <w:rFonts w:ascii="Times New Roman" w:cs="Times New Roman" w:eastAsia="Times New Roman" w:hAnsi="Times New Roman"/>
          <w:sz w:val="18"/>
          <w:szCs w:val="18"/>
          <w:color w:val="auto"/>
        </w:rPr>
        <w:t>. The Company has made asset and business acquisitions in the past and may continue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successfully integrate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The Company’s failure to comply with the FCPA, or similar local applicable anti-bribery laws, could have a negative impact on its ongoing operations</w:t>
      </w:r>
      <w:r>
        <w:rPr>
          <w:rFonts w:ascii="Times New Roman" w:cs="Times New Roman" w:eastAsia="Times New Roman" w:hAnsi="Times New Roman"/>
          <w:sz w:val="18"/>
          <w:szCs w:val="18"/>
          <w:color w:val="auto"/>
        </w:rPr>
        <w:t>. The Company’s operations outside the United States require the Company to comply with both United States and international regulations.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in addition to any similar applicable local anti-bribery laws, the Company's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risks associated with possible climate change legislation, regulation and international accords. </w:t>
      </w:r>
      <w:r>
        <w:rPr>
          <w:rFonts w:ascii="Times New Roman" w:cs="Times New Roman" w:eastAsia="Times New Roman" w:hAnsi="Times New Roman"/>
          <w:sz w:val="18"/>
          <w:szCs w:val="18"/>
          <w:color w:val="auto"/>
        </w:rPr>
        <w:t>Greenhouse gas emissions,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carbon emissions or energy use, have increasingly become the subject of a large amount of international, national, regional, state and local attention. International agreements and national, regional, and state legislation and regulatory measures that aim to directly or indirectly limit or reduce greenhouse gas emissions are in various stages of implementation.</w:t>
      </w:r>
    </w:p>
    <w:p>
      <w:pPr>
        <w:spacing w:after="0" w:line="14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United States Congress has considered, but has not passed, various bills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14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current global trends incorporating carbon neutral policies and reduction in greenhouse gas emissions are driving decarbonization initiatives across all industries to mitigate the impact on climate change and may result in a decline in global and U.S. hydrocarbon usage. Such a decline in hydrocarbon usage (for example, as a result of an increase in electric vehicles) could result in a reduction in demand for (a) the Company’s services in KMT to the extent there is reduced demand for crude oil and other feedstocks used and the products produced by the Company’s major refining customers and (b) for the Company’s products and services in KDS to the extent there is reduced demand in the exploration and production of hydrocarbons by the Company’s oil and gas customers.</w:t>
      </w:r>
    </w:p>
    <w:p>
      <w:pPr>
        <w:spacing w:after="0" w:line="15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of a large customer could adversely affect the Company. </w:t>
      </w:r>
      <w:r>
        <w:rPr>
          <w:rFonts w:ascii="Times New Roman" w:cs="Times New Roman" w:eastAsia="Times New Roman" w:hAnsi="Times New Roman"/>
          <w:sz w:val="18"/>
          <w:szCs w:val="18"/>
          <w:color w:val="auto"/>
        </w:rPr>
        <w:t>Five KMT customers accounted for approximately 16% of the Company’s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17% of 2022 and 2021 revenue. The Company has contracts with these customers expiring in 2024 through 2026. Three KDS customers accounted for approximately 12% of the Company’s 2023 revenue, 9% of 2022 revenue, and 6% of 2021 revenue. Although the Company considers its relationships with these companies to be strong, the loss of any of these customers, or their inability to meet financial obligations, could have an adverse effect on the Company.</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relies on critical operating assets including information systems for the operation of its businesses, and the failure of such assets or any critical information system, including as a result of natural disasters, terrorist acts, a cybersecurity attack, or other extraordinary events, may adversely impact its businesses. </w:t>
      </w:r>
      <w:r>
        <w:rPr>
          <w:rFonts w:ascii="Times New Roman" w:cs="Times New Roman" w:eastAsia="Times New Roman" w:hAnsi="Times New Roman"/>
          <w:sz w:val="18"/>
          <w:szCs w:val="18"/>
          <w:color w:val="auto"/>
        </w:rPr>
        <w:t>The Company is dependent on its critical operating assets and technology infrastructure and must maintain and rely upon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and security of its assets for the effective and safe operation of its businesses. These assets include vessels, vessel equipment, property and facilities, as well as information systems, such as software applications, hardware equipment, and data networks and telecommunications.</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Company’s critical assets and information systems, including the Company’s proprietary vessel management computer system, are subject to damage or interruption from a number of potential sources, including but not limited to, natural disasters, terrorist acts, cybersecurity attacks, software viruses, and power failures. In addition to standard safety operating procedures, the Company has implemented measures such as business continuity plans, hurricane preparedness plans, emergency recovery processes, and security preparedness plans to protect physical assets and to recover from damage to such assets. The Company has also implemented virus protection software, intrusion detection systems and annual attack and penetration audits to protect information systems to mitigate these risks. However, the Company cannot guarantee that its critical assets or information systems cannot be damaged or compromised.</w:t>
      </w:r>
    </w:p>
    <w:p>
      <w:pPr>
        <w:spacing w:after="0" w:line="16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Any damage or compromise of its critical assets or data security or its inability to use or access these critical assets and information systems could adversely impact the efficient and safe operation of its businesses, or result in the failure to safely operate its equipment, and maintain the confidentiality of data of its customers or its employees and could subject the Company to increased operating expenses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or legal action, which could have an adverse effect on the Company. Although to date the Company is unaware of any material data breach or system disruption, including a cyber-attack, the Company cannot provide any assurances that such events and impacts will not be material in the future. The Company’s efforts to deter, identify, mitigate and/or eliminate future breaches may require significant additional effort and expense and may not be successful.</w:t>
      </w:r>
    </w:p>
    <w:p>
      <w:pPr>
        <w:spacing w:after="0" w:line="15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Limitations on the Company’s ability to obtain, maintain, protect, or enforce its proprietary information and any successful intellectual property challenges or infringement proceedings, including its trade secrets could affect the Company's competitive position. </w:t>
      </w:r>
      <w:r>
        <w:rPr>
          <w:rFonts w:ascii="Times New Roman" w:cs="Times New Roman" w:eastAsia="Times New Roman" w:hAnsi="Times New Roman"/>
          <w:sz w:val="18"/>
          <w:szCs w:val="18"/>
          <w:color w:val="auto"/>
        </w:rPr>
        <w:t>The Company’s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businesses rely on a variety of intellectual property rights for its product and services. The Company’s intellectual property could be adversely affected by successful intellectual property challenges or infringement proceedings against it which could materially and adversely affect its competitive position. The Company may also be adversely affected when its patents are unenforceable, where claims allowed are not sufficient to protect its technology or its trade secrets are not adequately protected. The Company's failure to protect its proprietary information and any successful challenges to the Company's intellectual property rights could have an adverse effect on the Company.</w:t>
      </w:r>
    </w:p>
    <w:p>
      <w:pPr>
        <w:spacing w:after="0" w:line="14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 deterioration of the Company’s credit profile, disruptions of the credit markets or higher interest rates could restrict its ability to access the debt capital markets or increase the cost of debt. </w:t>
      </w:r>
      <w:r>
        <w:rPr>
          <w:rFonts w:ascii="Times New Roman" w:cs="Times New Roman" w:eastAsia="Times New Roman" w:hAnsi="Times New Roman"/>
          <w:sz w:val="18"/>
          <w:szCs w:val="18"/>
          <w:color w:val="auto"/>
        </w:rPr>
        <w:t>Deterioration in the Company’s credit profile may have an adverse effect on the Company’s ability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or public debt markets and also may increase its borrowing costs. If the Company’s credit profile deteriorates significantly its access to the debt capital markets or its ability to renew its committed lines of credit may become restricted, its cost of debt may increase, or the Company may not be able to refinance debt at the same levels or on the same terms. Because the Company relies on its ability to draw on its Revolving Credit Facility to support its operations as needed, any volatility in the credit and financial markets that prevents the Company from accessing funds on acceptable terms could have an adverse effect on the Company’s financial condition and cash flows. Additionally, the pricing grids on Company’s Revolving Credit Facility and Term Loan contain a ratings grid that includes a possible increase in borrowing rates if the Company’s rating declines. Furthermore, the Company incurs interest under its Revolving Credit Facility based on floating rates. Floating rate debt creates higher debt service requirements if market interest rates increase, which would adversely affect the Company’s cash flow and results of operations.</w:t>
      </w:r>
    </w:p>
    <w:p>
      <w:pPr>
        <w:spacing w:after="0" w:line="15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Corporate responsibility, specifically related to ESG matters, may impose additional costs and expose the Company to new risks. </w:t>
      </w:r>
      <w:r>
        <w:rPr>
          <w:rFonts w:ascii="Times New Roman" w:cs="Times New Roman" w:eastAsia="Times New Roman" w:hAnsi="Times New Roman"/>
          <w:sz w:val="18"/>
          <w:szCs w:val="18"/>
          <w:color w:val="auto"/>
        </w:rPr>
        <w:t>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focus from regulators, certain investors, and other stakeholders concerning environmental, social, and governance (“ESG”) matters, both in the United States and internationally. The Company communicates certain ESG-related initiatives, goals, and/or aspirations regarding environmental matters, diversity, responsible sourcing and social investments, and other matters in its annual Sustainability Report, on its website, in its filings with the SEC, and elsewhere. These initiatives, goals, or aspirations reflect the Company’s current plans and are not guarantees that the Company will be able to achieve them. The standards for tracking and reporting on ESG matters are relatively new, have not been harmonized and continue to evolve. Further, the statutory and regulatory requirements continue to evolve as well. In 2023, the State of California enacted climate related legislation and the SEC is expected to issue its own climate disclosure rules in 2024, both of which will or are expected to impose additional reporting requirements on the Company resulting in additional compliance cost and expense. The Company’s selection of disclosure frameworks that seek to align with various reporting standards may change from time to time and may result in a lack of comparative data from period to period. The ESG-related initiatives, goals and/or aspirations could be difficult to achieve and costly to implement, and the Company may be unable to economically develop or deploy technologies to achieve its goals or aspirations, if at all. In addition, the Company could be criticized for the timing, scope or nature of these initiatives, goals, or aspirations, or for any revisions to them. As mandatory and voluntary disclosures about ESG matters increase, the Company could be penalized or criticized for the accuracy, adequacy, or completeness of such disclosures. The Company’s actual or perceived failure to report accurately or achieve its ESG-related initiatives, goals, or aspirations could result in government enforcement action, negatively impact its reputation, result in ESG-focused investors not purchasing and holding Company stock, or otherwise materially harm the Company’s business.</w:t>
      </w:r>
    </w:p>
    <w:p>
      <w:pPr>
        <w:spacing w:after="0" w:line="1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Increased prices and inflation could negatively impact the Company’s margin performance and financial results. </w:t>
      </w:r>
      <w:r>
        <w:rPr>
          <w:rFonts w:ascii="Times New Roman" w:cs="Times New Roman" w:eastAsia="Times New Roman" w:hAnsi="Times New Roman"/>
          <w:sz w:val="18"/>
          <w:szCs w:val="18"/>
          <w:color w:val="auto"/>
        </w:rPr>
        <w:t>Increased inflation, including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items, such as raw materials, fuel, parts and components, freight, packaging, supplies, labor and energy increases the Company’s costs to provide services and manufacture and distribute the Company’s products. The Company does not currently use financial derivatives to hedge against volatility in commodity prices. The Company uses market prices for materials, fuel, parts and components. The Company may be unable to pass these rising costs on to its customers. To mitigate this exposure, the Company attempts to include cost escalation clauses in its longer-term marine transportation contracts whereby certain costs, including fuel, can largely be passed through to its customers. In KDS, the cost of major components for large manufacturing orders is secured with suppliers at the time a customer order is finalized, which limits exposure to cost escalations. Results of operations and margin performance can be negatively affected if the Company is unable to mitigate the impact of these cost increases through contractual means and is unable to increase prices to sufficiently offset the effect of these cost increases.</w:t>
      </w:r>
    </w:p>
    <w:p>
      <w:pPr>
        <w:spacing w:after="0" w:line="18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materials shortages, delays, and disruptions in supply chain. </w:t>
      </w:r>
      <w:r>
        <w:rPr>
          <w:rFonts w:ascii="Times New Roman" w:cs="Times New Roman" w:eastAsia="Times New Roman" w:hAnsi="Times New Roman"/>
          <w:sz w:val="18"/>
          <w:szCs w:val="18"/>
          <w:color w:val="auto"/>
        </w:rPr>
        <w:t>Materials, components,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to the Company’s operations, such as original equipment manufacturer engines, transmissions, generators, electrical components and steel, are normally readily available, but shortages as a result of supply chain disruptions can adversely impact the Company’s operations, particularly where the Company has a relationship with a single supplier for a particular resource. Many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the items essential to the Company’s business require the use of shipping services to transport them to the Company’s facilities. Shipping delays or disruptions may result in operational slowdowns, especially where materials, components, or equipment are necessary to complete a project or order for the Company’s customers, particularly in the manufacturing business of KDS. These constraints could have a material adverse effect on the Company and contribute to increased buildup of inventories. In addition, price increases imposed by the Company’s vendors for materials and shipping services used in its business, and the inability to pass these increases through to its customers, could have a material adverse effect on the Company.</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impacts resulting from actual or threatened health epidemics, and pandemics or other major health crisis could materially and adversely affect the Company’s business, financial condition and results of operations. </w:t>
      </w:r>
      <w:r>
        <w:rPr>
          <w:rFonts w:ascii="Times New Roman" w:cs="Times New Roman" w:eastAsia="Times New Roman" w:hAnsi="Times New Roman"/>
          <w:sz w:val="18"/>
          <w:szCs w:val="18"/>
          <w:color w:val="auto"/>
        </w:rPr>
        <w:t>The Company’s business could be impacted adversely by the effects of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epidemics, pandemics or other major heath crises (which we refer to collectively as public health crises). Actual or threatened public health crises may have a number of adverse impacts, including volatility in the global economy, impacts to the Company’s customers’ business operations, or significant disruptions in waterborne transportation of cargoes, and supply chain activity, caused by a variety of factors such as quarantines, supplier factory and office closures, or other government-imposed restrictions, any of which could adversely impact the Company’s business, financial condition, and results of operations. In response to the COVID-19 pandemic, various countries, including the United States, either mandated or recommended business closures, travel restrictions or limitations, social distancing, and/or self-quarantine, among other restrictions. Additionally, various state and local governments in locations where the Company operates took similar actions. Governments removed, eased, reinstated, or implemented new protocols or restrictions in response to reassessment of the risk of COVID-19, based in part on, changing levels of infection and hospitalization rates. There has been and continues to be a negative impact on the global and United States economies and supply chains, including the oil and gas industry, which has created delays and reduced demand for the Company’s products and services and in some cases, resulted in delays in performance of its contracts with customers.</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is unable to predict the extent to which major health crisis or other public health threats that may arise in the future may affect the global and United States economies and supply chain, which could have a material impact on its business. The degree to which any future disease outbreaks or public health threats may impact the Company’s revenues, results of operations and financial condition is uncertain and will depend on future developments. The impact of epidemics or COVID-19 and other pandemics may also exacerbate other risks discussed above, any of which could have a material effect on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8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Company is committed to maintaining robust governance and oversight of cybersecurity risks and to implementing processes, controls and technologies designed to help assess, identify, and manage material risks. The Company’s Board of Directors has ultimate oversight of cybersecurity risks, which it manages as part of the Company’ enterprise risk management program. The Audit Committee assists the Board in reviewing the Company’s information security programs, including review of cybersecurity processes, procedures and safeguards. To more effectively prevent, detect and respond to information security threats, the Company maintains a cyber risk management program, which is supervised by a Company executive officer, the Vice President and Chief Information Officer, whose team is responsible for leading company-wide cybersecurity strategy, policy, standards, architecture and processes. The Vice President and Chief Information Officer has extensive experience assessing and managing cybersecurity programs and risks and has served in this position since 2019. The team includes the Senior Director of IT Operations &amp; Security with a certification in information security, who reports directly to the Vice President and Chief Information Officer. The Audit Committee receives regular reports from the Vice President and Chief Information Officer on, among other things, the Company’s cyber risks and threats, the status of projects to strengthen the Company’s information security systems, assessments of the Company’s security program and the emerging threat landscape. Additionally, the Vice President and Chief Information Officer chairs the Cybersecurity Risk Oversight working group, which drives awareness, ownership and alignment across broad governance and risk stakeholder groups for effective cybersecurity risk management and reporting. Upon the occurrence of a cybersecurity incident, a documented process is followed to escalate notifications to the Company’s CEO and Board, as appropriate.</w:t>
      </w:r>
    </w:p>
    <w:p>
      <w:pPr>
        <w:spacing w:after="0" w:line="16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annually engages third parties such as assessors, consultants and auditors (as well as its internal audit department) to audit the Company’s information security programs, whose findings are reported to the Audit Committee. The Company also actively engage with key vendors, industry participants, and the U.S. Coast Guard as part of its efforts, which are reported to the Audit Committee.</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approach to cybersecurity risk management includes the following key elements:</w:t>
      </w:r>
    </w:p>
    <w:p>
      <w:pPr>
        <w:spacing w:after="0" w:line="27" w:lineRule="exact"/>
        <w:rPr>
          <w:sz w:val="20"/>
          <w:szCs w:val="20"/>
          <w:color w:val="auto"/>
        </w:rPr>
      </w:pPr>
    </w:p>
    <w:p>
      <w:pPr>
        <w:ind w:left="10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 The Company actively searches for cybersecurity threats, including those associated with its use of third party vendors, through the use of data analytics and network monitoring systems.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8" w:name="page29"/>
    <w:bookmarkEnd w:id="28"/>
    <w:p>
      <w:pPr>
        <w:ind w:left="1020" w:right="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risk assessments – From time to time, the Company engages third party consultants or other advisors to assist in assessing points of vulnerability in its information security systems.</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threats – The Company maintains a program designed to monitor and address risk from within the Company.</w:t>
      </w:r>
    </w:p>
    <w:p>
      <w:pPr>
        <w:spacing w:after="0" w:line="8" w:lineRule="exact"/>
        <w:rPr>
          <w:rFonts w:ascii="Times New Roman" w:cs="Times New Roman" w:eastAsia="Times New Roman" w:hAnsi="Times New Roman"/>
          <w:sz w:val="18"/>
          <w:szCs w:val="18"/>
          <w:color w:val="auto"/>
        </w:rPr>
      </w:pPr>
    </w:p>
    <w:p>
      <w:pPr>
        <w:ind w:left="1020" w:hanging="504"/>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engagement – The Company assesses the risk of vendors who are critical digital partners in order to support the resiliency of the supply chain and seeks to include risk appropriate terms and conditions in its vendor contracts.</w:t>
      </w:r>
    </w:p>
    <w:p>
      <w:pPr>
        <w:jc w:val="both"/>
        <w:ind w:left="1020" w:hanging="504"/>
        <w:spacing w:after="0" w:line="25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Awareness – The Company has various information technology policies, including an Information Security Awareness Training Policy, that relate to cybersecurity. The Company provides employee training that reinforces its information technology policies, standards and practices, as well as the expectation that employees comply with these policies. This training empowers employees to identify and report potential cybersecurity risks and protect the Company’s resources and information. This training is mandatory for all employees globally and is administered on a periodic basis, and it is supplemented by Company-wide testing initiatives, including periodic phishing tests. The Company provides specialized security training for certain employee roles. The Company also requires employees to sign confidentiality agreements, where appropriate to their role.</w:t>
      </w:r>
    </w:p>
    <w:p>
      <w:pPr>
        <w:spacing w:after="0" w:line="15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continues to invest in its cybersecurity systems and to enhance its internal controls and processes. While the Company has not, as of the date of this Form 10-K, experienced a cybersecurity threat or incident that resulted in a material adverse impact to its business or operations, there can be no guarantee that the Company will not experience such an incident in the future. For more information regarding the risks the Company faces from cybersecurity threats, please see Item 1A-Risk Factors.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02"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The principal offices of the Company are located in Houston, Texas. The Company believes that its facilities are adequate for its needs and additional facilities would be available if required. The Company’s significant operating facilities include the following locations: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Building(s) Size</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5"/>
        </w:trPr>
        <w:tc>
          <w:tcPr>
            <w:tcW w:w="3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20" w:type="dxa"/>
            <w:vAlign w:val="bottom"/>
          </w:tcPr>
          <w:p>
            <w:pPr>
              <w:spacing w:after="0"/>
              <w:rPr>
                <w:sz w:val="19"/>
                <w:szCs w:val="19"/>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(Approximate Square Feet)</w:t>
            </w:r>
          </w:p>
        </w:tc>
        <w:tc>
          <w:tcPr>
            <w:tcW w:w="28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 or Leased</w:t>
            </w:r>
          </w:p>
        </w:tc>
        <w:tc>
          <w:tcPr>
            <w:tcW w:w="340" w:type="dxa"/>
            <w:vAlign w:val="bottom"/>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Activity</w:t>
            </w:r>
          </w:p>
        </w:tc>
      </w:tr>
      <w:tr>
        <w:trPr>
          <w:trHeight w:val="216"/>
        </w:trPr>
        <w:tc>
          <w:tcPr>
            <w:tcW w:w="152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r>
      <w:tr>
        <w:trPr>
          <w:trHeight w:val="142"/>
        </w:trPr>
        <w:tc>
          <w:tcPr>
            <w:tcW w:w="152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KMT</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Baton Rouge, Louisiana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19,300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Operations and fleeting</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Channelview, Texas</w:t>
            </w:r>
          </w:p>
        </w:tc>
        <w:tc>
          <w:tcPr>
            <w:tcW w:w="21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108,300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Operations, fleeting, shipyard, training and cleaning</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Corpus Christi,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3,600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Operations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Freeport,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6,500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Fueling and fleeting</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Houston,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73,000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KMT, KDS and Corporate Headquarters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Lake Charles, Louisiana</w:t>
            </w:r>
          </w:p>
        </w:tc>
        <w:tc>
          <w:tcPr>
            <w:tcW w:w="21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Fleeting</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Miami,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8,500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Operations and dockage</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Port Arthur,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Fleeting</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Seattle, Washington</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10,200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Operations and inventory</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Staten Island, New York</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7,800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Operations, inventory and dockage</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Westwego, Louisiana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15,300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Operations</w:t>
            </w:r>
          </w:p>
        </w:tc>
      </w:tr>
      <w:tr>
        <w:trPr>
          <w:trHeight w:val="162"/>
        </w:trPr>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35"/>
        </w:trPr>
        <w:tc>
          <w:tcPr>
            <w:tcW w:w="1520" w:type="dxa"/>
            <w:vAlign w:val="bottom"/>
            <w:tcBorders>
              <w:right w:val="single" w:sz="8" w:color="CFF0FC"/>
            </w:tcBorders>
            <w:shd w:val="clear" w:color="auto" w:fill="CFF0FC"/>
          </w:tcPr>
          <w:p>
            <w:pPr>
              <w:spacing w:after="0"/>
              <w:rPr>
                <w:sz w:val="11"/>
                <w:szCs w:val="11"/>
                <w:color w:val="auto"/>
              </w:rPr>
            </w:pPr>
          </w:p>
        </w:tc>
        <w:tc>
          <w:tcPr>
            <w:tcW w:w="1800" w:type="dxa"/>
            <w:vAlign w:val="bottom"/>
            <w:gridSpan w:val="2"/>
            <w:shd w:val="clear" w:color="auto" w:fill="CFF0FC"/>
          </w:tcPr>
          <w:p>
            <w:pPr>
              <w:jc w:val="center"/>
              <w:ind w:right="15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KDS</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580" w:type="dxa"/>
            <w:vAlign w:val="bottom"/>
            <w:shd w:val="clear" w:color="auto" w:fill="CFF0FC"/>
          </w:tcPr>
          <w:p>
            <w:pPr>
              <w:spacing w:after="0"/>
              <w:rPr>
                <w:sz w:val="11"/>
                <w:szCs w:val="11"/>
                <w:color w:val="auto"/>
              </w:rPr>
            </w:pPr>
          </w:p>
        </w:tc>
      </w:tr>
      <w:tr>
        <w:trPr>
          <w:trHeight w:val="27"/>
        </w:trPr>
        <w:tc>
          <w:tcPr>
            <w:tcW w:w="1520" w:type="dxa"/>
            <w:vAlign w:val="bottom"/>
            <w:tcBorders>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000000"/>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3580" w:type="dxa"/>
            <w:vAlign w:val="bottom"/>
            <w:shd w:val="clear" w:color="auto" w:fill="CFF0FC"/>
          </w:tcPr>
          <w:p>
            <w:pPr>
              <w:spacing w:after="0"/>
              <w:rPr>
                <w:sz w:val="2"/>
                <w:szCs w:val="2"/>
                <w:color w:val="auto"/>
              </w:rPr>
            </w:pP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Albany, New York</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Austin,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1,500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Baton Rouge, Louisiana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23,500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Belle Chasse, Louisiana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34,700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Chesapeake, Virginia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30,000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Commerce City, Colorado</w:t>
            </w:r>
          </w:p>
        </w:tc>
        <w:tc>
          <w:tcPr>
            <w:tcW w:w="218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151,600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Corpus Christi,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44,100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Dallas, Texas</w:t>
            </w:r>
          </w:p>
        </w:tc>
        <w:tc>
          <w:tcPr>
            <w:tcW w:w="218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211,100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El Paso,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Fort Lauderdale,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40,400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Fort Myers, Florida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9,900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Fort Pierce,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10,300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Fort Worth,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22,600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Houma, Louisiana</w:t>
            </w:r>
          </w:p>
        </w:tc>
        <w:tc>
          <w:tcPr>
            <w:tcW w:w="218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109,700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Houston, Texas</w:t>
            </w:r>
          </w:p>
        </w:tc>
        <w:tc>
          <w:tcPr>
            <w:tcW w:w="21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491,100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Manufacturing, 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Jacksonville,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44,800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Laredo,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Little Rock, Arkansas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21,500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Lodi, New Jersey</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57,300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Longview,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Lubbock,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27,500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Marlborough, Massachusetts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45,700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Miami, Florida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54,400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Middletown, Connecticut</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38,800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Mobile, Alabama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27,000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Mount Pleasant,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3,100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New Iberia, Louisiana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33,000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Ocala,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15,200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Odessa,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49,500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Oklahoma City, Oklahoma</w:t>
            </w:r>
          </w:p>
        </w:tc>
        <w:tc>
          <w:tcPr>
            <w:tcW w:w="218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446,400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Manufacturing, 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Orlando, Florida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44,600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Paducah, Kentucky</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73,700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Panama City, Florida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Pharr, Texas</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59,300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Piscataway, New Jersey</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39,900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Rocky Mount, North Carolina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San Antonio, Texas</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42,100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Seattle, Washington</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19,500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Shreveport, Louisiana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Tampa, Florida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50,900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Thorofare, New Jersey</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24,200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Tulsa, Oklahoma</w:t>
            </w:r>
          </w:p>
        </w:tc>
        <w:tc>
          <w:tcPr>
            <w:tcW w:w="218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37,600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West Palm Beach, Florida</w:t>
            </w:r>
          </w:p>
        </w:tc>
        <w:tc>
          <w:tcPr>
            <w:tcW w:w="2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7,000</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r>
        <w:trPr>
          <w:trHeight w:val="162"/>
        </w:trPr>
        <w:tc>
          <w:tcPr>
            <w:tcW w:w="33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Wichita Falls, Texas</w:t>
            </w:r>
          </w:p>
        </w:tc>
        <w:tc>
          <w:tcPr>
            <w:tcW w:w="218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w w:val="98"/>
              </w:rPr>
              <w:t>11,500</w:t>
            </w:r>
          </w:p>
        </w:tc>
        <w:tc>
          <w:tcPr>
            <w:tcW w:w="280" w:type="dxa"/>
            <w:vAlign w:val="bottom"/>
            <w:shd w:val="clear" w:color="auto" w:fill="CFF0FC"/>
          </w:tcPr>
          <w:p>
            <w:pPr>
              <w:spacing w:after="0"/>
              <w:rPr>
                <w:sz w:val="14"/>
                <w:szCs w:val="14"/>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4"/>
                <w:szCs w:val="14"/>
                <w:color w:val="auto"/>
              </w:rPr>
            </w:pPr>
          </w:p>
        </w:tc>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See Note 14, Contingencies and Commitments to the Company’s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5" w:right="1440" w:bottom="1440" w:gutter="0" w:footer="0" w:header="0"/>
        </w:sectPr>
      </w:pPr>
    </w:p>
    <w:bookmarkStart w:id="31" w:name="page32"/>
    <w:bookmarkEnd w:id="31"/>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KEX. Additional market information for this item is incorporated by reference to the annual report to be provided to the Company’s stockholders pursuant to Rule 14a-3(b).</w:t>
      </w:r>
    </w:p>
    <w:p>
      <w:pPr>
        <w:spacing w:after="0" w:line="12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February 16, 2024, the Company had 58,522,000 outstanding shares held by approximately 370 stockholders of record; however, the Company believes the number of beneficial owners of common stock exceeds this number. Information for this item relating to equity compensation plans is incorporated by reference to the definitive proxy statement to be filed by the Company with the Commission pursuant to Regulation 14A within 120 days of the close of the fiscal year ended December 31, 2023. See also Note 8, Stock Award Plans to the Company’s financial statements for additional information.</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summary of purchases of the Company's common stock during the 2023 fourth quarter.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87"/>
        </w:trPr>
        <w:tc>
          <w:tcPr>
            <w:tcW w:w="3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131,603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204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294,843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9"/>
                <w:szCs w:val="19"/>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204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246,833</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673,279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Pr>
          <w:p>
            <w:pPr>
              <w:spacing w:after="0"/>
              <w:rPr>
                <w:sz w:val="19"/>
                <w:szCs w:val="19"/>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204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-179070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-179070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-179070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Purchases of the Company's common stock during the 2023 fourth quarter were made in the open market pursuant to a discretionary authorization by the Board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Statements contained in this Form 10-K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164"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purposes of Management’s Discussion, all net earnings per share attributable to Kirby common stockholders are “diluted earnings (loss) per share.” The weighted average number of common shares outstanding applicable to diluted earnings (loss) per share for 2023, 2022, and 2021 were 59,857,000, 60,329,000, and 60,053,000, respectively. Refer to the Company’s Annual Report on Form 10-K for the year ended December 31, 2022 for management's discussion and analysis of financial condition and results of operations for 2022 compared to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and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(246,954 )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 – 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540,228</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294,128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2023 first quarter included $3.0 million before taxes, $2.4 million after taxes, or $0.04 per share of costs related to the strategic review and shareholder engagement and $2.7 million before taxes, $2.2 million after taxes, or $0.04 per share of other income associated with the interest on a refund from the Internal Revenue Service (“IRS”).</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2022 fourth quarter included $3.3 million before taxes, $2.4 million after taxes, or $0.04 per share of severance expense. The 2022 fourth quarter also included $0.9 million before taxes, $0.6 million after taxes, or $0.01 per share of professional fees related to the Company’s strategic alternatives review. The 2022 second quarter included $1.5 million before taxes, $1.3 million after taxes, or $0.02 per share of severance expense.</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2021 third quarter included $340.7 million before taxes, $275.1 million after taxes, or $4.58 per share, non-cash charges related to impairment of long-lived assets related to coastal marine transportation equipment and impairment of goodwill in KMT. See Note 7, Impairments and Other Charges in the financial statements for additional information. The 2021 fourth quarter was also impacted by a one-time deferred tax provision of $5.7 million or $0.09 per share related to a change in Louisiana tax law. See Note 9, Taxes on Income for additional information.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Cash provided by operating activities in 2023 increased compared to 2022 primarily due to higher business activity levels and the receipt of an IRS refund of $70.4 million plus accrued interest. During 2023, capital expenditures of $401.7 million included $255.4 million in KMT and $146.3 million in KDS and corporate, more fully described under cash flow and capital expenditures below.</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projects net cash flow from operations in 2024 of between $600 million and $700 million and expects capital expenditures to range between $290 million and $330 million. The Company received grants from various government entities totaling approximately $3.7 million in 2023 related to certain emission reduction projects and has applied for and been awarded grants totaling approximately $4 million which it expects to receive reimbursements for in late 2024 and 2025.</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debt-to-capitalization ratio decreased to 24.2% at December 31, 2023 from 26.2% at December 31, 2022, primarily due an increase in total equity, primarily from net earnings attributable to Kirby of $222.9 million during 2023 and a reduction of debt outstanding of $63.0 million, partially offset by treasury stock purchases of $112.8 million. The Company’s debt outstanding as of December 31, 2023 and December 31, 2022 is detailed in Long-Term Financing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191"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r>
      <w:tr>
        <w:trPr>
          <w:trHeight w:val="243"/>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r>
      <w:tr>
        <w:trPr>
          <w:trHeight w:val="243"/>
        </w:trPr>
        <w:tc>
          <w:tcPr>
            <w:tcW w:w="8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r>
      <w:tr>
        <w:trPr>
          <w:trHeight w:val="243"/>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8"/>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r>
      <w:tr>
        <w:trPr>
          <w:trHeight w:val="247"/>
        </w:trPr>
        <w:tc>
          <w:tcPr>
            <w:tcW w:w="8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r>
      <w:tr>
        <w:trPr>
          <w:trHeight w:val="238"/>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4"/>
                <w:szCs w:val="24"/>
                <w:color w:val="auto"/>
              </w:rPr>
            </w:pPr>
          </w:p>
        </w:tc>
      </w:tr>
      <w:tr>
        <w:trPr>
          <w:trHeight w:val="227"/>
        </w:trPr>
        <w:tc>
          <w:tcPr>
            <w:tcW w:w="812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-3367405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-3367405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-2408555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-1440815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-1423670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-481965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-464820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-481965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its San Jac shipyard for building towboats and performing routine maintenance near the Houston Ship Channel, as well as a two-thirds interest in Osprey Line, L.L.C., which transports project cargoes and cargo containers by barge.</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2023, 56% of the Company’s revenues were generated by KMT. The segment’s customers include many of the major petrochemical and refining companies that operate in the United States. Products transported include intermediate materials used to produce many of the end products used widely by businesses and consumers — plastics, fibers,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4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KMT’s revenues for 2023 increased 6% compared to 2022 and operating income increased 75%, compared to 2022. The increases for 2023 were primarily due to improved term and spot pricing and utilization in the inland market when compared to 2022. This was partially offset by various lock closures along the Gulf Intracoastal Waterway and Illinois River, resulting in higher delay days. In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18"/>
          <w:szCs w:val="18"/>
          <w:color w:val="auto"/>
        </w:rPr>
        <w:t>addition, several refinery outages also impacted utilization. Revenues and operating income in 2022 were impacted by record low water levels on the Mississippi River during the 2022 fourth quarter. Also, the 2022 first quarter was impacted by the COVID-19 Omicron variant as increased cases of the virus among the Company’s mariners led to crewing challenges, lost revenue and increased operating costs. For 2023 and 2022, the inland tank barge fleet contributed 82% and 79%, respectively, and the coastal fleet contributed 18% and 21%, respectively, of marine transportation revenues.</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Overall inland tank barge utilization levels improved in 2023 as compared to 2022, ranging from the low to mid-90% range during the 2023 first quarter, the low 90% range during the 2023 second quarter, the high 80% range during the 2023 third quarter, and the low 90% range in the 2023 fourth quarter. During 2022, inland tank barge utilization levels ranged from the mid-80% range during the 2022 first quarter, the low 90% range during both the 2022 second and third quarters, and the low 90% range in the 2022 fourth quarter. Utilization in the 2023 fourth quarter improved from the 2023 third quarter, which was negatively impacted by Illinois River lock closures and several refinery outages.</w:t>
      </w:r>
    </w:p>
    <w:p>
      <w:pPr>
        <w:spacing w:after="0" w:line="14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Coastal tank barge utilization levels during 2023 averaged in the mid to high 90% range during both the 2023 first and second quarters, the mid-90% range during the 2023 third quarter and the low to mid-90% range during the 2023 fourth quarter. For 2022, coastal tank barge utilization levels averaged in the low 90% range during both the 2022 first and second quarters and low to mid-90% range during both the 2022 third and fourth quarters.</w:t>
      </w:r>
    </w:p>
    <w:p>
      <w:pPr>
        <w:spacing w:after="0" w:line="13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Approximately 60% of the inland marine transportation revenues were under term contracts and 40% were under spot contracts in 2023 and 2022. Term contracts provide the operations with a reasonably predictable revenue stream. Inland time charters, which insulate the Company from revenue fluctuations caused by weather and navigational delays and temporary market declines, represented 63% of the inland revenues under term contracts during 2023 and 58% in 2022. During 2023 and 2022, approximately 85% and 75%, respectively, of coastal revenues were under term contracts and 15% and 25%, respectively, were under spot contracts. Coastal time charters represented approximately 90% of coastal revenues under term contracts during both 2023 and 2022. Term contracts have contract terms of 12 months or longer, while spot contracts have contract terms of less than 12 months.</w:t>
      </w:r>
    </w:p>
    <w:p>
      <w:pPr>
        <w:spacing w:after="0" w:line="159"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2023 compared to contracts renewed during the corresponding quarter of 2022:</w:t>
      </w:r>
    </w:p>
    <w:p>
      <w:pPr>
        <w:spacing w:after="0" w:line="12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8"/>
        </w:trPr>
        <w:tc>
          <w:tcPr>
            <w:tcW w:w="490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tcPr>
          <w:p>
            <w:pPr>
              <w:spacing w:after="0"/>
              <w:rPr>
                <w:sz w:val="20"/>
                <w:szCs w:val="20"/>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10% – 12%</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r>
      <w:tr>
        <w:trPr>
          <w:trHeight w:val="247"/>
        </w:trPr>
        <w:tc>
          <w:tcPr>
            <w:tcW w:w="4900" w:type="dxa"/>
            <w:vAlign w:val="bottom"/>
            <w:shd w:val="clear" w:color="auto" w:fill="CFF0FC"/>
          </w:tcPr>
          <w:p>
            <w:pPr>
              <w:jc w:val="center"/>
              <w:ind w:right="345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23% – 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26% – 29%</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18%</w:t>
            </w:r>
          </w:p>
        </w:tc>
      </w:tr>
      <w:tr>
        <w:trPr>
          <w:trHeight w:val="238"/>
        </w:trPr>
        <w:tc>
          <w:tcPr>
            <w:tcW w:w="490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4900" w:type="dxa"/>
            <w:vAlign w:val="bottom"/>
            <w:shd w:val="clear" w:color="auto" w:fill="CFF0FC"/>
          </w:tcPr>
          <w:p>
            <w:pPr>
              <w:jc w:val="center"/>
              <w:ind w:right="339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16% – 18%</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 12%</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 22%</w:t>
            </w:r>
          </w:p>
        </w:tc>
      </w:tr>
      <w:tr>
        <w:trPr>
          <w:trHeight w:val="234"/>
        </w:trPr>
        <w:tc>
          <w:tcPr>
            <w:tcW w:w="49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20% – 23%</w:t>
            </w:r>
          </w:p>
        </w:tc>
        <w:tc>
          <w:tcPr>
            <w:tcW w:w="160" w:type="dxa"/>
            <w:vAlign w:val="bottom"/>
          </w:tcPr>
          <w:p>
            <w:pPr>
              <w:spacing w:after="0"/>
              <w:rPr>
                <w:sz w:val="20"/>
                <w:szCs w:val="20"/>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25% – 28%</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 33%</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 36%</w:t>
            </w:r>
          </w:p>
        </w:tc>
      </w:tr>
    </w:tbl>
    <w:p>
      <w:pPr>
        <w:spacing w:after="0" w:line="166" w:lineRule="exact"/>
        <w:rPr>
          <w:sz w:val="20"/>
          <w:szCs w:val="20"/>
          <w:color w:val="auto"/>
        </w:rPr>
      </w:pPr>
    </w:p>
    <w:p>
      <w:pPr>
        <w:ind w:left="760" w:right="2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2023 marine transportation operating margin was 13.9% compared to 8.4% for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through 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 The Company sells and manufactures various products used in oil and gas and industrial applications, including those used in hydraulic fracturing and refrigeration systems that, as compared to conventional offerings, reduce emissions. These products made up approximately 24% of KDS’s revenues in 2023.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5" w:name="page36"/>
    <w:bookmarkEnd w:id="35"/>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During 2023, KDS generated 44% of the Company’s revenues, of which 78% was generated from service and parts and 22% from manufacturing. The results of KDS are largely influenced by cycles of the oilfield service industry and oil and gas operator and producer markets, marine, power generation, on-highway and other industrial markets.</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Distribution and services revenues for 2023 increased 17% compared to 2022 and operating income increased 71% compared to 2022. In the commercial and industrial market, the increases in 2023 compared to 2022 were primarily attributable to strong economic activity across the U.S. which resulted in higher business levels in the marine and on-highway businesses. Increased product sales in Thermo King also contributed favorably to 2023 results. These results were partially offset by continuing supply chain constraints and delays. For 2023 and 2022, the commercial and industrial market contributed 59% and 56%, respectively, of the distribution and services revenues.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the oil and gas market, revenues improved compared to 2022 due to higher oilfield activity which resulted in increased demand for new transmissions and parts in the distribution business. Although the manufacturing business was heavily impacted by supply chain delays, the business continues to experience increased orders and deliveries of new environmentally friendly pressure pumping equipment and power generation equipment for electric fracturing. For 2023 and 2022, the oil and gas market contributed 41% and 44%, respectively, of the distribution and services revenues.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distribution and services operating margin for 2023 was 8.4% compared to 5.7% for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2024. In KMT, barge utilization and customer demand remain strong, and rates continue to increase. In KDS, demand for products and services remains steady, and the Company continues to receive new orders in manufacturing. The Company remains mindful of the ever-changing economic landscape related to the impact of higher interest rates, and possible recessionary headwinds as it moves through 2024.</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inland marine transportation market, the Company anticipates favorable market conditions driven by steady refinery and petrochemical plant utilization, minimal new barge construction across the industry, and a heavy year for industry maintenance. As a result, the Company expects further pricing improvements in the spot market, which currently represents 40% of inland revenues. Term contracts are also expected to continue to reset higher as a result of improved market conditions. In coastal marine, the Company expects steady customer demand and improved rates as the availability of equipment is reduced across the industry due to improved economic conditions.</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KDS results are largely influenced by the cycles of the oil and gas, marine, power generation, on-highway and other related industrial markets. Despite the uncertainty from volatile commodity prices, the Company expects to yield incremental demand for OEM products, parts, and services in the segment. In commercial and industrial, strong demand for power generation and stable on-highway and marine repair markets is expected to help drive improved revenues. In oil and gas, the Company’s manufacturing backlog is expected to provide stable levels of activity through most of 2024 which will be offset by lower conventional oil and gas work. The Company anticipates extended lead times in the near-term to continue contributing to a volatile delivery schedule of new products in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improvements and betterments are capitalized as incurred. Depreciation is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improves the operating capacity of the vessel, or replaces significant components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five-year period. The Company defers the drydocking expenditures incurred on its ocean-going vessels due to regulatory marine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6" w:name="page37"/>
    <w:bookmarkEnd w:id="36"/>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inspections by the ABS and amortizes the costs of the shipyard over the period between drydockings, generally 30 or 60 months, depending on the type of major maintenance performed. Drydocking expenditures that extend the life, improve the operating capability of the vessel, or replace significant components of the vessel result in the costs being capitalized. Routine repairs and maintenance on ocean-going vessels are expensed as incurred. Interest is capitalized on the construction of new ocean-going vessels.</w:t>
      </w:r>
    </w:p>
    <w:p>
      <w:pPr>
        <w:spacing w:after="0" w:line="155"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color w:val="auto"/>
        </w:rPr>
        <w:t>The Company performs an impairment assessment whenever events or changes in circumstances indicate that the carrying amount of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43"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and valued based on the excess of a reporting unit’s carrying amount over its fair value, incorporating all tax impacts caused by the recognition of the impairment loss.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37"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w:t>
      </w:r>
    </w:p>
    <w:p>
      <w:pPr>
        <w:spacing w:after="0" w:line="19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During 2021, the Company purchased four inland tank barges from a leasing company for $7.5 million in cash. The Company had been leasing the barges prior to the purchase.</w:t>
      </w:r>
    </w:p>
    <w:p>
      <w:pPr>
        <w:spacing w:after="0" w:line="12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On October 4, 2021, the Company paid $1.6 million in cash to purchase assets of an energy storage systems manufacturer based in Texas which have been key to the development of new power generation solutions for electric fracturing equipment.</w:t>
      </w:r>
    </w:p>
    <w:p>
      <w:pPr>
        <w:spacing w:after="0" w:line="122" w:lineRule="exact"/>
        <w:rPr>
          <w:sz w:val="20"/>
          <w:szCs w:val="20"/>
          <w:color w:val="auto"/>
        </w:rPr>
      </w:pPr>
    </w:p>
    <w:p>
      <w:pPr>
        <w:jc w:val="both"/>
        <w:ind w:right="80" w:firstLine="374"/>
        <w:spacing w:after="0" w:line="281" w:lineRule="auto"/>
        <w:rPr>
          <w:sz w:val="20"/>
          <w:szCs w:val="20"/>
          <w:color w:val="auto"/>
        </w:rPr>
      </w:pPr>
      <w:r>
        <w:rPr>
          <w:rFonts w:ascii="Times New Roman" w:cs="Times New Roman" w:eastAsia="Times New Roman" w:hAnsi="Times New Roman"/>
          <w:sz w:val="18"/>
          <w:szCs w:val="18"/>
          <w:color w:val="auto"/>
        </w:rPr>
        <w:t>Financing of these purchases and acquisitions was through borrowings under the Company’s Revolving Credit Facility and cash provided by operating activities.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1,721,937</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58 %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1,369,703</w:t>
            </w:r>
          </w:p>
        </w:tc>
        <w:tc>
          <w:tcPr>
            <w:tcW w:w="24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30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3,091,640</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92"/>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59"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KMT’s revenues, costs and expenses, operating income and operating margins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2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1,146,657</w:t>
            </w:r>
          </w:p>
        </w:tc>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924,380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134,641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2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184,225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185,979</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1,482,994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1,480,783</w:t>
            </w:r>
          </w:p>
        </w:tc>
        <w:tc>
          <w:tcPr>
            <w:tcW w:w="2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1,259,903</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136,184</w:t>
            </w:r>
          </w:p>
        </w:tc>
        <w:tc>
          <w:tcPr>
            <w:tcW w:w="220" w:type="dxa"/>
            <w:vAlign w:val="bottom"/>
          </w:tcPr>
          <w:p>
            <w:pPr>
              <w:spacing w:after="0"/>
              <w:rPr>
                <w:sz w:val="20"/>
                <w:szCs w:val="20"/>
                <w:color w:val="auto"/>
              </w:rPr>
            </w:pPr>
          </w:p>
        </w:tc>
        <w:tc>
          <w:tcPr>
            <w:tcW w:w="1700" w:type="dxa"/>
            <w:vAlign w:val="bottom"/>
            <w:gridSpan w:val="3"/>
          </w:tcPr>
          <w:p>
            <w:pPr>
              <w:jc w:val="right"/>
              <w:ind w:right="140"/>
              <w:spacing w:after="0" w:line="236" w:lineRule="exact"/>
              <w:rPr>
                <w:sz w:val="20"/>
                <w:szCs w:val="20"/>
                <w:color w:val="auto"/>
              </w:rPr>
            </w:pPr>
            <w:r>
              <w:rPr>
                <w:rFonts w:ascii="Times New Roman" w:cs="Times New Roman" w:eastAsia="Times New Roman" w:hAnsi="Times New Roman"/>
                <w:sz w:val="15"/>
                <w:szCs w:val="15"/>
                <w:color w:val="auto"/>
              </w:rPr>
              <w:t xml:space="preserve">75 %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13.9 %</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4.8 %</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-530225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-530225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-530225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jc w:val="both"/>
        <w:ind w:right="8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Revenue</w:t>
            </w:r>
          </w:p>
        </w:tc>
        <w:tc>
          <w:tcPr>
            <w:tcW w:w="160" w:type="dxa"/>
            <w:vAlign w:val="bottom"/>
          </w:tcPr>
          <w:p>
            <w:pPr>
              <w:spacing w:after="0"/>
              <w:rPr>
                <w:sz w:val="13"/>
                <w:szCs w:val="13"/>
                <w:color w:val="auto"/>
              </w:rPr>
            </w:pPr>
          </w:p>
        </w:tc>
        <w:tc>
          <w:tcPr>
            <w:tcW w:w="37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40" w:type="dxa"/>
            <w:vAlign w:val="bottom"/>
          </w:tcPr>
          <w:p>
            <w:pPr>
              <w:spacing w:after="0"/>
              <w:rPr>
                <w:sz w:val="13"/>
                <w:szCs w:val="13"/>
                <w:color w:val="auto"/>
              </w:rPr>
            </w:pPr>
          </w:p>
        </w:tc>
        <w:tc>
          <w:tcPr>
            <w:tcW w:w="330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3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Petrochemicals</w:t>
            </w:r>
          </w:p>
        </w:tc>
        <w:tc>
          <w:tcPr>
            <w:tcW w:w="1420" w:type="dxa"/>
            <w:vAlign w:val="bottom"/>
            <w:gridSpan w:val="2"/>
            <w:shd w:val="clear" w:color="auto" w:fill="CFF0FC"/>
          </w:tcPr>
          <w:p>
            <w:pPr>
              <w:jc w:val="center"/>
              <w:ind w:left="50"/>
              <w:spacing w:after="0" w:line="204" w:lineRule="exact"/>
              <w:rPr>
                <w:sz w:val="20"/>
                <w:szCs w:val="20"/>
                <w:color w:val="auto"/>
              </w:rPr>
            </w:pPr>
            <w:r>
              <w:rPr>
                <w:rFonts w:ascii="Times New Roman" w:cs="Times New Roman" w:eastAsia="Times New Roman" w:hAnsi="Times New Roman"/>
                <w:sz w:val="18"/>
                <w:szCs w:val="18"/>
                <w:color w:val="auto"/>
                <w:w w:val="96"/>
              </w:rPr>
              <w:t>51%</w:t>
            </w:r>
          </w:p>
        </w:tc>
        <w:tc>
          <w:tcPr>
            <w:tcW w:w="160" w:type="dxa"/>
            <w:vAlign w:val="bottom"/>
            <w:shd w:val="clear" w:color="auto" w:fill="CFF0FC"/>
          </w:tcPr>
          <w:p>
            <w:pPr>
              <w:spacing w:after="0"/>
              <w:rPr>
                <w:sz w:val="17"/>
                <w:szCs w:val="17"/>
                <w:color w:val="auto"/>
              </w:rPr>
            </w:pPr>
          </w:p>
        </w:tc>
        <w:tc>
          <w:tcPr>
            <w:tcW w:w="37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40" w:type="dxa"/>
            <w:vAlign w:val="bottom"/>
            <w:shd w:val="clear" w:color="auto" w:fill="CFF0FC"/>
          </w:tcPr>
          <w:p>
            <w:pPr>
              <w:spacing w:after="0"/>
              <w:rPr>
                <w:sz w:val="17"/>
                <w:szCs w:val="17"/>
                <w:color w:val="auto"/>
              </w:rPr>
            </w:pPr>
          </w:p>
        </w:tc>
        <w:tc>
          <w:tcPr>
            <w:tcW w:w="33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Consumer non-durables — 70% Consumer</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durables — 30%</w:t>
            </w:r>
          </w:p>
        </w:tc>
        <w:tc>
          <w:tcPr>
            <w:tcW w:w="0" w:type="dxa"/>
            <w:vAlign w:val="bottom"/>
          </w:tcPr>
          <w:p>
            <w:pPr>
              <w:spacing w:after="0"/>
              <w:rPr>
                <w:sz w:val="1"/>
                <w:szCs w:val="1"/>
                <w:color w:val="auto"/>
              </w:rPr>
            </w:pPr>
          </w:p>
        </w:tc>
      </w:tr>
      <w:tr>
        <w:trPr>
          <w:trHeight w:val="248"/>
        </w:trPr>
        <w:tc>
          <w:tcPr>
            <w:tcW w:w="2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Propylene</w:t>
            </w:r>
          </w:p>
        </w:tc>
        <w:tc>
          <w:tcPr>
            <w:tcW w:w="140" w:type="dxa"/>
            <w:vAlign w:val="bottom"/>
            <w:shd w:val="clear" w:color="auto" w:fill="CFF0FC"/>
          </w:tcPr>
          <w:p>
            <w:pPr>
              <w:spacing w:after="0"/>
              <w:rPr>
                <w:sz w:val="21"/>
                <w:szCs w:val="21"/>
                <w:color w:val="auto"/>
              </w:rPr>
            </w:pPr>
          </w:p>
        </w:tc>
        <w:tc>
          <w:tcPr>
            <w:tcW w:w="3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Oil</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26%</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Residual Fuel Oil, Coker Feedstock, Vacuum Gas</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for Power Plants and Ships, Feedstock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Oil, Asphalt, Carbon Black Feedstock, Crude Oil,</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Refineries, Road Construction</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Condensate, Ship Bunkers</w:t>
            </w:r>
          </w:p>
        </w:tc>
        <w:tc>
          <w:tcPr>
            <w:tcW w:w="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Refined Petroleum Products</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6"/>
              </w:rPr>
              <w:t>20%</w:t>
            </w:r>
          </w:p>
        </w:tc>
        <w:tc>
          <w:tcPr>
            <w:tcW w:w="16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48"/>
        </w:trPr>
        <w:tc>
          <w:tcPr>
            <w:tcW w:w="2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Ethanol</w:t>
            </w:r>
          </w:p>
        </w:tc>
        <w:tc>
          <w:tcPr>
            <w:tcW w:w="140" w:type="dxa"/>
            <w:vAlign w:val="bottom"/>
            <w:shd w:val="clear" w:color="auto" w:fill="CFF0FC"/>
          </w:tcPr>
          <w:p>
            <w:pPr>
              <w:spacing w:after="0"/>
              <w:rPr>
                <w:sz w:val="21"/>
                <w:szCs w:val="21"/>
                <w:color w:val="auto"/>
              </w:rPr>
            </w:pPr>
          </w:p>
        </w:tc>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Chemicals</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Anhydrous Ammonia, Nitrogen-Based Liquid</w:t>
            </w: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Corn, Cotton and Wheat Production,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1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8"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KMT’s revenues for 2023 increased 6% compared to 2022 and operating income increased 75%, compared to 2022. The increases for 2023 were primarily due to improved term and spot pricing and utilization in the inland market when compared to 2022. This was partially offset by various lock closures along the Gulf Intracoastal Waterway and Illinois River, resulting in higher delay days. In addition, several refinery outages also impacted utilization. Revenues and operating income in 2022 were impacted by record low water levels on the Mississippi River during the 2022 fourth quarter. Also, the 2022 first quarter was impacted by the COVID-19 Omicron variant as increased cases of the virus among the Company’s mariners led to crewing challenges, lost revenue and increased operating costs. For 2023 and 2022, the inland tank barge fleet contributed 82% and 79%, respectively, and the coastal fleet contributed 18% and 21%, respectively, of marine transportation revenues.</w:t>
      </w:r>
    </w:p>
    <w:p>
      <w:pPr>
        <w:spacing w:after="0" w:line="160"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Overall inland tank barge utilization levels improved in 2023 as compared to 2022, ranging from the low to mid-90% range during the 2023 first quarter, the low 90% range during the 2023 second quarter, the high 80% range during the 2023 third quarter, and the low 90% range in the 2023 fourth quarter. During 2022, inland tank barge utilization levels ranged from the mid-80% range during the 2022 first quarter, the low 90% range during both the 2022 second and third quarters, and the low 90% range in the 2022 fourth quarter. Utilization in the 2023 fourth quarter improved from the 2023 third quarter, which was negatively impacted by Illinois River lock closures and several refinery outages.</w:t>
      </w:r>
    </w:p>
    <w:p>
      <w:pPr>
        <w:spacing w:after="0" w:line="141"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Coastal tank barge utilization levels during 2023 averaged in the mid to high 90% range during both the 2023 first and second quarters, the mid-90% range during the 2023 third quarter, and the low to mid-90% range during the 2023 fourth quarter. For 2022, coastal tank barge utilization levels averaged in the low 90% range during both the 2022 first and second quarters and low to mid-90% range during both the 2022 third and fourth quarters.</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5" w:right="279" w:bottom="1440" w:gutter="0" w:footer="0" w:header="0"/>
        </w:sectPr>
      </w:pPr>
    </w:p>
    <w:bookmarkStart w:id="38" w:name="page39"/>
    <w:bookmarkEnd w:id="38"/>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51% of marine transportation revenues for 2023, reflecting increased rates, volumes and utilization from Gulf Coast petrochemical plants as a result of improved economic conditions and a reduced supply of barges across the industry due to a heavier than normal maintenance cycle as compared to 2022.</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26% of marine transportation revenues for 2023, reflecting improved demand as refinery utilization and production levels of refined petroleum products and fuel oils increased. During 2023,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refined petroleum products market, which contributed 20% of marine transportation revenues for 2023, saw increased volumes in the inland market with improved refinery utilization and product levels.</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agricultural chemical market, which contributed 3% of marine transportation revenues for 2023, also experienced improved demand for transportation of both domestically produced and imported products.</w:t>
      </w:r>
    </w:p>
    <w:p>
      <w:pPr>
        <w:spacing w:after="0" w:line="13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Inland operations incurred 10,863 delay days in 2023, 6% more than the 10,244 delay days that occurred during 2022. Delay days measure the lost time incurred by a tow (towboat and one or more tank barges) during transit when the tow is stopped due to weather, lock conditions, or other navigational factors. Delay days for 2023 and 2022 were impacted by hurricanes and tropical storms, poor operating conditions due to heavy wind and fog along the Gulf Coast, low and high water conditions on the Mississippi River System, and various lock closures along the Gulf Intracoastal Waterway, due in part to lock maintenance projects. The 2023 third quarter was also impacted by lock closures on the Illinois River.</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Approximately 60% of the inland marine transportation revenues were under term contracts and 40% were under spot contracts in 2023 and 2022. Term contracts provide the operations with a reasonably predictable revenue stream. Inland time charters, which insulate the Company from revenue fluctuations caused by weather and navigational delays and temporary market declines, represented 63% of the inland revenues under term contracts during 2023 and 58% during 2022. During 2023 and 2022, approximately 85% and 75%, respectively, of coastal revenues were under term contracts and 15% and 25%, respectively, were under spot contracts. Coastal time charters represented approximately 90% of coastal revenues under term contracts during both 2023 and 2022. Term contracts have contract terms of 12 months or longer, while spot contracts have contract terms of less than 12 months.</w:t>
      </w:r>
    </w:p>
    <w:p>
      <w:pPr>
        <w:spacing w:after="0" w:line="145"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2023 compared to contracts renewed during the corresponding quarter of 2022:</w:t>
      </w:r>
    </w:p>
    <w:p>
      <w:pPr>
        <w:spacing w:after="0" w:line="14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8"/>
        </w:trPr>
        <w:tc>
          <w:tcPr>
            <w:tcW w:w="490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tcPr>
          <w:p>
            <w:pPr>
              <w:spacing w:after="0"/>
              <w:rPr>
                <w:sz w:val="20"/>
                <w:szCs w:val="20"/>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10% – 12%</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r>
      <w:tr>
        <w:trPr>
          <w:trHeight w:val="247"/>
        </w:trPr>
        <w:tc>
          <w:tcPr>
            <w:tcW w:w="4900" w:type="dxa"/>
            <w:vAlign w:val="bottom"/>
            <w:shd w:val="clear" w:color="auto" w:fill="CFF0FC"/>
          </w:tcPr>
          <w:p>
            <w:pPr>
              <w:jc w:val="center"/>
              <w:ind w:right="345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23% – 26%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26% – 29%</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18%</w:t>
            </w:r>
          </w:p>
        </w:tc>
      </w:tr>
      <w:tr>
        <w:trPr>
          <w:trHeight w:val="238"/>
        </w:trPr>
        <w:tc>
          <w:tcPr>
            <w:tcW w:w="490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4900" w:type="dxa"/>
            <w:vAlign w:val="bottom"/>
            <w:shd w:val="clear" w:color="auto" w:fill="CFF0FC"/>
          </w:tcPr>
          <w:p>
            <w:pPr>
              <w:jc w:val="center"/>
              <w:ind w:right="339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10% – 12%</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7"/>
              </w:rPr>
              <w:t>16% – 18%</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 12%</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 22%</w:t>
            </w:r>
          </w:p>
        </w:tc>
      </w:tr>
      <w:tr>
        <w:trPr>
          <w:trHeight w:val="234"/>
        </w:trPr>
        <w:tc>
          <w:tcPr>
            <w:tcW w:w="49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20% – 23%</w:t>
            </w:r>
          </w:p>
        </w:tc>
        <w:tc>
          <w:tcPr>
            <w:tcW w:w="160" w:type="dxa"/>
            <w:vAlign w:val="bottom"/>
          </w:tcPr>
          <w:p>
            <w:pPr>
              <w:spacing w:after="0"/>
              <w:rPr>
                <w:sz w:val="20"/>
                <w:szCs w:val="20"/>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25% – 28%</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 33%</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 36%</w:t>
            </w:r>
          </w:p>
        </w:tc>
      </w:tr>
    </w:tbl>
    <w:p>
      <w:pPr>
        <w:spacing w:after="0" w:line="166" w:lineRule="exact"/>
        <w:rPr>
          <w:sz w:val="20"/>
          <w:szCs w:val="20"/>
          <w:color w:val="auto"/>
        </w:rPr>
      </w:pPr>
    </w:p>
    <w:p>
      <w:pPr>
        <w:ind w:left="760" w:right="2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Total costs and expenses for 2023 were flat compared to 2022. Costs of sales and operating expenses for 2023 decreased 1% compared to 2022 primarily reflecting lower fuel costs which was partially offset by higher business activity levels and inflationary cost pressures.</w:t>
      </w:r>
    </w:p>
    <w:p>
      <w:pPr>
        <w:spacing w:after="0" w:line="12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280 towboats during 2023, of which an average of 64 were chartered, compared to 271 during 2022, of which an average of 59 were chartered. The increase was primarily due to higher business activity levels. Generally, variability in demand or anticipated demand, as tank barges are added to or removed from the fleet, as chartered towboat availability changes, or as weather or water conditions dictate, the Company charters in or releases chartered towboats in 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9" w:name="page40"/>
    <w:bookmarkEnd w:id="39"/>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effort to balance horsepower needs with current requirements. The Company has historically used chartered towboats for approximately one-fourth of its horsepower requirements.</w:t>
      </w:r>
    </w:p>
    <w:p>
      <w:pPr>
        <w:spacing w:after="0" w:line="136"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Inland operations consumed 48.1 million gallons of diesel fuel in 2023 compared to 48.4 million gallons consumed during 2022. The average price per gallon of diesel fuel consumed during 2023 was $3.08 per gallon compared to $3.70 per gallon for 2022.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41"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for 2023 increased 5% compared to 2022 due to higher business activity levels and inflationary cost pressures. The increase is primarily due to higher salary and wage increases effective July 1, 2023 and increased incentive compensation, partially offset by lower legal costs. Selling, general and administrative expenses for 2022 were negatively impacted by severance expense in the 2022 second and fourth quarters.</w:t>
      </w:r>
    </w:p>
    <w:p>
      <w:pPr>
        <w:spacing w:after="0" w:line="141"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Depreciation and amortization for 2023 increased slightly compared to 2022. The increase was primarily due to capital additions during 2023 and 2022.</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188"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KMT operating income for 2023 increased 75% compared to 2022. The operating margin was 13.9% for 2023 compared to 8.4% for 2022. The increase in operating income and operating margin were primarily due to increased barge utilization and higher term and spot contract pricing in the inland and coastal markets. The 2022 results were impacted by increased fuel prices as well as the impact of the COVID-19 Omicron variant during the 2022 first quarter.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KDS’s revenues, costs and expenses, operating income and operating margins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20" w:type="dxa"/>
            <w:vAlign w:val="bottom"/>
          </w:tcPr>
          <w:p>
            <w:pPr>
              <w:spacing w:after="0"/>
              <w:rPr>
                <w:sz w:val="20"/>
                <w:szCs w:val="20"/>
                <w:color w:val="auto"/>
              </w:rPr>
            </w:pP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1,040,905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913,624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728,855</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187,424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141,100</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1,100,750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896,135</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220" w:type="dxa"/>
            <w:vAlign w:val="bottom"/>
          </w:tcPr>
          <w:p>
            <w:pPr>
              <w:spacing w:after="0"/>
              <w:rPr>
                <w:sz w:val="20"/>
                <w:szCs w:val="20"/>
                <w:color w:val="auto"/>
              </w:rPr>
            </w:pPr>
          </w:p>
        </w:tc>
        <w:tc>
          <w:tcPr>
            <w:tcW w:w="172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71 % </w:t>
            </w:r>
            <w:r>
              <w:rPr>
                <w:rFonts w:ascii="Times New Roman" w:cs="Times New Roman" w:eastAsia="Times New Roman" w:hAnsi="Times New Roman"/>
                <w:sz w:val="27"/>
                <w:szCs w:val="27"/>
                <w:color w:val="auto"/>
                <w:vertAlign w:val="superscript"/>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27,607</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8.4 %</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-530225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-530225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-530225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markets serviced by the Company, the revenue distribution, and the customers for each market: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 Revenue Distribution</w:t>
            </w:r>
          </w:p>
        </w:tc>
        <w:tc>
          <w:tcPr>
            <w:tcW w:w="180" w:type="dxa"/>
            <w:vAlign w:val="bottom"/>
          </w:tcPr>
          <w:p>
            <w:pPr>
              <w:spacing w:after="0"/>
              <w:rPr>
                <w:sz w:val="16"/>
                <w:szCs w:val="16"/>
                <w:color w:val="auto"/>
              </w:rPr>
            </w:pPr>
          </w:p>
        </w:tc>
        <w:tc>
          <w:tcPr>
            <w:tcW w:w="646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204"/>
        </w:trPr>
        <w:tc>
          <w:tcPr>
            <w:tcW w:w="27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Commercial and Industrial</w:t>
            </w:r>
          </w:p>
        </w:tc>
        <w:tc>
          <w:tcPr>
            <w:tcW w:w="1860" w:type="dxa"/>
            <w:vAlign w:val="bottom"/>
            <w:gridSpan w:val="2"/>
            <w:shd w:val="clear" w:color="auto" w:fill="CFF0FC"/>
          </w:tcPr>
          <w:p>
            <w:pPr>
              <w:jc w:val="center"/>
              <w:ind w:left="110"/>
              <w:spacing w:after="0" w:line="204"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7"/>
                <w:szCs w:val="17"/>
                <w:color w:val="auto"/>
              </w:rPr>
            </w:pPr>
          </w:p>
        </w:tc>
        <w:tc>
          <w:tcPr>
            <w:tcW w:w="64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 Liquid, Offshore</w:t>
            </w: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Oilfield Services — Drilling Rigs &amp; Supply Boats, Harbor Towing, Dredging, Great</w:t>
            </w: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Lakes Ore Carriers, Pleasure Crafts, On and Off-Highway Transportation, Power</w:t>
            </w:r>
          </w:p>
        </w:tc>
      </w:tr>
      <w:tr>
        <w:trPr>
          <w:trHeight w:val="248"/>
        </w:trPr>
        <w:tc>
          <w:tcPr>
            <w:tcW w:w="2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Generation, Standby Power Generation, Pumping Stations, Mining</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1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r>
      <w:tr>
        <w:trPr>
          <w:trHeight w:val="615"/>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40" w:type="dxa"/>
            <w:vAlign w:val="bottom"/>
            <w:gridSpan w:val="2"/>
          </w:tcPr>
          <w:p>
            <w:pPr>
              <w:jc w:val="right"/>
              <w:ind w:right="5433"/>
              <w:spacing w:after="0"/>
              <w:rPr>
                <w:sz w:val="20"/>
                <w:szCs w:val="20"/>
                <w:color w:val="auto"/>
              </w:rPr>
            </w:pPr>
            <w:r>
              <w:rPr>
                <w:rFonts w:ascii="Times New Roman" w:cs="Times New Roman" w:eastAsia="Times New Roman" w:hAnsi="Times New Roman"/>
                <w:sz w:val="18"/>
                <w:szCs w:val="18"/>
                <w:color w:val="auto"/>
              </w:rPr>
              <w:t>40</w:t>
            </w:r>
          </w:p>
        </w:tc>
      </w:tr>
      <w:tr>
        <w:trPr>
          <w:trHeight w:val="762"/>
        </w:trPr>
        <w:tc>
          <w:tcPr>
            <w:tcW w:w="2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60"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202"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KDS revenues for 2023 increased 17% compared to 2022. In the commercial and industrial market, the increase was primarily attributable to strong economic activity across the U.S. which resulted in higher business levels in the marine and on-highway businesses. For 2023 and 2022, the commercial and industrial market contributed 59% and 56%, respectively, of KDS revenues.</w:t>
      </w:r>
    </w:p>
    <w:p>
      <w:pPr>
        <w:spacing w:after="0" w:line="137"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The oil and gas market revenues increase compared to 2022 primarily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2023 and 2022, the oil and gas market contributed 41% and 44%, respectively, of KDS revenues.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02"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Total costs and expenses for 2023 increased 14% compared to 2022 reflecting higher costs of sales and operating expenses as a result of inflationary cost pressures and higher demand in the marine and on-highway businesses in commercial and industrial markets, as well as increased demand in the oil and gas market due to higher oilfield activity levels.</w:t>
      </w:r>
    </w:p>
    <w:p>
      <w:pPr>
        <w:spacing w:after="0" w:line="137"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for 2023 increased 15% compared to 2022. The increase was primarily due to continued inflationary cost pressures, higher business activity and annual compensation increases.</w:t>
      </w:r>
    </w:p>
    <w:p>
      <w:pPr>
        <w:spacing w:after="0" w:line="122"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Depreciation and amortization for 2023 increased 18% compared to 2022. The increase was primarily due to increased capital spending during 2022 and 2023.</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Margins</w:t>
      </w:r>
    </w:p>
    <w:p>
      <w:pPr>
        <w:spacing w:after="0" w:line="188"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Operating income for KDS for 2023 increased 71% compared to 2022. The operating margin was 8.4% for 2023 compared to 5.7% for 2022. The results reflect increased business levels in both the commercial and industrial and oil and gas markets and ongoing cost management initiatives, which were partially offset by higher costs and expenses due to higher business activity.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202"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General corporate expenses for 2023, 2022, and 2021 were $23.3 million, $18.6 million and $13.8 million, respectively. General corporate expenses were higher in 2023 compared to 2022 primarily due to higher legal and insurance costs. The 2023 first quarter also included costs related to the strategic review and shareholder engagement.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88"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Company reported net gains on disposition of assets of $5.0 million, $8.3 million, and $5.8 million in 2023, 2022, and 2021, respectively. The net gains were predominantly from the sales or retirements of marine equipment.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8"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impairments and other charges, other income, noncontrolling interests, and interest expense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(340,713 )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40" w:type="dxa"/>
            <w:vAlign w:val="bottom"/>
          </w:tcPr>
          <w:p>
            <w:pPr>
              <w:spacing w:after="0"/>
              <w:rPr>
                <w:sz w:val="20"/>
                <w:szCs w:val="20"/>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(470 )</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(106 )%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(52,008 )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(44,588 )</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17 %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(42,469 )</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0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Other income for 2023, 2022, and 2021 includes income of $4.8 million, $13.9 million and $8.2 million, respectively, for all components of net benefit costs except the service cost component related to the Company’s defined benefit plans.</w:t>
      </w:r>
    </w:p>
    <w:p>
      <w:pPr>
        <w:spacing w:after="0" w:line="1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41" w:name="page42"/>
    <w:bookmarkEnd w:id="41"/>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1,088,851</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1,171,317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1,293,446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320" w:type="dxa"/>
            <w:vAlign w:val="bottom"/>
          </w:tcPr>
          <w:p>
            <w:pPr>
              <w:spacing w:after="0"/>
              <w:rPr>
                <w:sz w:val="20"/>
                <w:szCs w:val="20"/>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4.7 %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06"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Interest expense for 2023 increased 17% compared to 2022, primarily due to a higher average interest rate, partially offset by a lower average debt outstanding as a result of debt repayments.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Taxes on Income</w:t>
      </w:r>
    </w:p>
    <w:p>
      <w:pPr>
        <w:spacing w:after="0" w:line="188"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Provision for taxes on income for 2023 increased 69% compared to 2022, primarily due to improved earnings before taxes on income as a result of increased business activity levels.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year over year comparison of the significant components of the balance sheets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7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1,211,759</w:t>
            </w:r>
          </w:p>
        </w:tc>
        <w:tc>
          <w:tcPr>
            <w:tcW w:w="1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00" w:type="dxa"/>
            <w:vAlign w:val="bottom"/>
          </w:tcPr>
          <w:p>
            <w:pPr>
              <w:spacing w:after="0"/>
              <w:rPr>
                <w:sz w:val="20"/>
                <w:szCs w:val="20"/>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Pr>
          <w:p>
            <w:pPr>
              <w:spacing w:after="0"/>
              <w:rPr>
                <w:sz w:val="21"/>
                <w:szCs w:val="21"/>
                <w:color w:val="auto"/>
              </w:rPr>
            </w:pP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900" w:type="dxa"/>
            <w:vAlign w:val="bottom"/>
            <w:gridSpan w:val="4"/>
          </w:tcPr>
          <w:p>
            <w:pPr>
              <w:jc w:val="right"/>
              <w:ind w:right="140"/>
              <w:spacing w:after="0" w:line="236" w:lineRule="exact"/>
              <w:rPr>
                <w:sz w:val="20"/>
                <w:szCs w:val="20"/>
                <w:color w:val="auto"/>
              </w:rPr>
            </w:pPr>
            <w:r>
              <w:rPr>
                <w:rFonts w:ascii="Times New Roman" w:cs="Times New Roman" w:eastAsia="Times New Roman" w:hAnsi="Times New Roman"/>
                <w:sz w:val="15"/>
                <w:szCs w:val="15"/>
                <w:color w:val="auto"/>
              </w:rPr>
              <w:t xml:space="preserve">3 %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642,197</w:t>
            </w:r>
          </w:p>
        </w:tc>
        <w:tc>
          <w:tcPr>
            <w:tcW w:w="1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1,076,326</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60" w:type="dxa"/>
            <w:vAlign w:val="bottom"/>
          </w:tcPr>
          <w:p>
            <w:pPr>
              <w:spacing w:after="0"/>
              <w:rPr>
                <w:sz w:val="20"/>
                <w:szCs w:val="20"/>
                <w:color w:val="auto"/>
              </w:rPr>
            </w:pPr>
          </w:p>
        </w:tc>
      </w:tr>
      <w:tr>
        <w:trPr>
          <w:trHeight w:val="247"/>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3,045,168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900" w:type="dxa"/>
            <w:vAlign w:val="bottom"/>
            <w:gridSpan w:val="4"/>
          </w:tcPr>
          <w:p>
            <w:pPr>
              <w:jc w:val="right"/>
              <w:ind w:right="140"/>
              <w:spacing w:after="0" w:line="236" w:lineRule="exact"/>
              <w:rPr>
                <w:sz w:val="20"/>
                <w:szCs w:val="20"/>
                <w:color w:val="auto"/>
              </w:rPr>
            </w:pPr>
            <w:r>
              <w:rPr>
                <w:rFonts w:ascii="Times New Roman" w:cs="Times New Roman" w:eastAsia="Times New Roman" w:hAnsi="Times New Roman"/>
                <w:sz w:val="15"/>
                <w:szCs w:val="15"/>
                <w:color w:val="auto"/>
              </w:rPr>
              <w:t xml:space="preserve">3 %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-187960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Compared to 2022</w:t>
      </w:r>
    </w:p>
    <w:p>
      <w:pPr>
        <w:spacing w:after="0" w:line="20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Current assets as of December 31, 2023 decreased 6% compared to December 31, 2022. Trade accounts receivable increased 9% primarily due to increased business activity in both KMT and KDS. Other accounts receivable decreased 55% as the Company received its tax refund of $70.4 million plus accrued interest in April 2023.</w:t>
      </w:r>
    </w:p>
    <w:p>
      <w:pPr>
        <w:spacing w:after="0" w:line="137"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Property and equipment, net of accumulated depreciation, at December 31, 2023 increased 6% compared to December 31, 2022. The increase reflected $411.3 million of capital additions (including accrued capital expenditures) and $37.5 million of acquisitions of barge equipment, partially offset by $203.1 million of depreciation expense and $18.1 million of property disposals, more fully described under Cash Flows and Capital Expenditures below.</w:t>
      </w:r>
    </w:p>
    <w:p>
      <w:pPr>
        <w:spacing w:after="0" w:line="137"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Operating lease right-of-use assets as of December 31, 2023 decreased 1% compared to December 31, 2022, primarily due to lease amortization expense, partially offset by new leases acquired.</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intangibles, net, as of December 31, 2023 decreased 17% compared to December 31, 2022, primarily due to amortization.</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5" w:right="279" w:bottom="1440" w:gutter="0" w:footer="0" w:header="0"/>
        </w:sectPr>
      </w:pPr>
    </w:p>
    <w:bookmarkStart w:id="42" w:name="page43"/>
    <w:bookmarkEnd w:id="42"/>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Other assets as of December 31, 2023 increased 42% compared to December 31, 2022, primarily due to an increase in pension assets as a result of an improved funded status.</w:t>
      </w:r>
    </w:p>
    <w:p>
      <w:pPr>
        <w:spacing w:after="0" w:line="13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Current liabilities as of December 31, 2023 increased 5% compared to December 31, 2022. Accounts payable decreased 3%, primarily due to timing of payments. Accrued liabilities increased 12%, primarily due to increased insurance claims and higher employee incentive compensation accruals. Deferred revenues increased 13%, primarily due to deposits on equipment expected to be shipped in 2024 in KDS.</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Long-term debt, net – less current portion, as of December 31, 2023, decreased 6% compared to December 31, 2022, primarily reflecting the maturity of the 3.29% senior notes due February 27, 2023, partially offset by borrowings under the 3.46% and 3.51% senior notes due January 19, 2033 and the 2027 Revolving Credit Facility.</w:t>
      </w:r>
    </w:p>
    <w:p>
      <w:pPr>
        <w:spacing w:after="0" w:line="137"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Deferred income taxes as of December 31, 2023 increased 11% compared to December 31, 2022, primarily reflecting the 2023 deferred tax provision of $65.3 million.</w:t>
      </w:r>
    </w:p>
    <w:p>
      <w:pPr>
        <w:spacing w:after="0" w:line="13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Operating lease liabilities – less current portion, as of December 31, 2023 decreased 2% compared to December 31, 2022, primarily due to lease payments made, partially offset by new leases acquired and liability accretion.</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Other long-term liabilities as of December 31, 2023 decreased 32% compared to December 31, 2022, primarily due to a decrease in pension liabilities due to pension contributions and amortization of intangible liabilities.</w:t>
      </w:r>
    </w:p>
    <w:p>
      <w:pPr>
        <w:spacing w:after="0" w:line="12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Total equity as of December 31, 2023 increased 5% compared to December 31, 2022, primarily due to net earnings attributable to Kirby of $222.9 million and other comprehensive income of $18.2 million for 2023, partially offset by treasury stock purchases of $112.8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8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contributions to that plan were made in 2023, 2022 or 2021.</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$8.2 million, $0.9 million and $0.5 million for the years ended December 31, 2023, 2022 and 2021, respectively.</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$375.9 million and $341.1 million at December 31, 2023, and 2022, respectively.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5.1% for the Kirby pension plan and 5.2% for the Higman pension plan in 2023 and 5.5% for both the Kirby pension plan and the Higman pension plan in 2022. The Company estimates that every 0.1% decrease in the discount rate results in an increase in the accumulated benefit obligation (“ABO”) of approximately $4.3 million. The Company assumed that plan assets would generate a long-term rate of return of 6.75% in both 2023 and 2022.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discount and issuance costs (b)</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(5,473 )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(3,674 )</w:t>
            </w:r>
          </w:p>
        </w:tc>
      </w:tr>
      <w:tr>
        <w:trPr>
          <w:trHeight w:val="236"/>
        </w:trPr>
        <w:tc>
          <w:tcPr>
            <w:tcW w:w="77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6.8% and 5.8% at December 31, 2023 and 2022, respectively.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w:t>
      </w:r>
    </w:p>
    <w:p>
      <w:pPr>
        <w:spacing w:after="0" w:line="16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4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$6,000 and available borrowing capacity was $456.0 million as of December 31, 2023.</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$500 million of 4.2% senior unsecured notes due March 1, 2028 (the “2028 Notes”) with U.S. Bank National 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4" w:name="page45"/>
    <w:bookmarkEnd w:id="44"/>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6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a $10.0 million line of credit (“Credit Line”) with Bank of America, N.A. (“Bank of America”) for short-term liquidity needs and letters of credit, with a maturity date of June 30, 2024. Outstanding letters of credit under the $10.0 million credit line were $7.3 million and available borrowing capacity was $2.7 million as of December 31, 2023.</w:t>
      </w:r>
    </w:p>
    <w:p>
      <w:pPr>
        <w:spacing w:after="0" w:line="13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also had $8.1 million and $3.3 million of short-term unsecured loans outstanding, as of December 31, 2023 and 2022, respectively, related to its Colombia operations.</w:t>
      </w:r>
    </w:p>
    <w:p>
      <w:pPr>
        <w:spacing w:after="0" w:line="12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2023, the Company was in compliance with all covenants under its debt instruments. For additional information about the Company’s debt instruments, see Note 5, 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$540.2 million, $294.1 million, and $321.6 million for the years ended December 31, 2023, 2022, and 2021, respectively. The 84% increase in 2023 as compared to 2022 was primarily due to higher revenues and operating income in KMT and KDS and the receipt of the IRS refund of $70.4 million plus accrued interest in April 2023, which more than offset an increase in trade accounts receivable, primarily due to higher revenues and timing of collections. Increases in KMT revenues and operating income were driven by increased barge utilization and higher term and spot contract pricing in the inland and coastal markets during 2023.</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2023, 2022, and 2021, the Company generated cash of $26.1 million, $36.9 million, and $51.3 million, respectively, from proceeds from the disposition of assets, and $4.2 million, $3.9 million, and $0.6 million, respectively, from proceeds from the exercise of stock options.</w:t>
      </w:r>
    </w:p>
    <w:p>
      <w:pPr>
        <w:spacing w:after="0" w:line="13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2023, cash generated was used for capital expenditures of $401.7 million (net of an increase in accrued capital expenditures of $9.6 million), including $46.7 million for specialized inland equipment construction and $355.0 million primarily for upgrading existing marine equipment, new electric fracturing equipment, and KMT and KDS facilities. The Company also used $37.5 million for acquisitions of businesses and marine equipment, more fully described under Acquisitions above.</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For 2022, cash generated was used for capital expenditures of $172.6 million (net of an increase in accrued capital expenditures of $3.0 million), including $8.3 million for inland towboat construction and $164.3 million primarily for upgrading existing marine equipment and marine transportation and distribution and services facilities. The Company also used $3.9 million for acquisitions of businesses and marine equipment, more fully described under Acquisitions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During 2023, the Company purchased 1.5 million shares of its common stock for $112.8 million, at an average price of $75.95 per share. Subsequent to December 31, 2023 and through February 16, 2024, the Company purchased an additional 235,247 shares of its common stock for $18.7 million, at an average price of $79.34 per share. During 2022, the Company purchased 0.4 million shares of its common stock for $22.9 million, at an average price of $59.32 per share. The Company did not purchase any treasury stock during 2021. On January 30, 2023, the Board approved a five million share increase in the Company’s purchase authorization. As of February 16, 2024, the Company had approximately 4.3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2023 fourth quarter, see Item 5 Market for Registrant’s Common Equity, Related Stockholder Matters and Issuer Purchases of Equity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 provided by operating activities, as of February 16, 2024, the Company had cash equivalents of $53.4 million, availability of $381.0 million under its Revolving Credit Facility and $2.7 million available under its Credit Line.</w:t>
      </w:r>
    </w:p>
    <w:p>
      <w:pPr>
        <w:spacing w:after="0" w:line="13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pricing grids on its 2027 Credit Agreement.</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expects to continue to be able to fund expenditures for acquisitions, capital construction projects, common stock purchases, repayment of borrowings, and for other operating requirements both in the short term and in the long term from a combination of available cash and cash equivalents, funds generated from operating activities, and available financing arrangements.</w:t>
      </w:r>
    </w:p>
    <w:p>
      <w:pPr>
        <w:spacing w:after="0" w:line="15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expires July 29, 2027. The 4.2% senior unsecured notes do not mature until March 1, 2028 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 The 2033 Notes do not mature until January 19, 2033 and require no prepayment.</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2024. For a list of significant risks and uncertainties that could impact cash flows, see Note 14, Contingencies and Commitments in the financial statements, and Item 1A — Risk Factors. Amounts available under the Company’s existing financing arrangements are subject to the Company continuing to meet the covenants of the credit facilities as described in Note 5, Long-Term Debt in the financial statements.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$26.7 million at December 31, 2023, including $12.1 million in letters of credit and $14.6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marine transportation term contracts typically contain fuel escalation clauses, or the customer pays for the fuel. However, there is generally a 30 to 120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4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Future minimum lease payments under operating leases that have initial noncancelable lease terms in excess of one year are detailed in Note 6, Leases. Lease payments for towing vessels exclude non-lease components. The Company estimates that non-lease components comprise approximately 70% of charter rental costs, related to towboat crew costs, maintenance and insurance.</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2023, the Company’s pension plan funding was 115% of the pension plans’ ABO, including the Higman pension plan. The Company expects to make additional pension contributions of $1.8 million in 2024.</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recently issued accounting standards, see Note 1, Summary of Significant Accounting Policies.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2023 interest expense by $2.1 million based on balances outstanding at December 31, 2023, and would change the fair value of the Company’s debt by approximately 4.0%.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response to this item is submitted as a separate section of this report (see Item 15, page 78 and pages 49 to 77 of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0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December 31, 2023, as required by Rule 13a-15(b) under the Exchange Act. Based on that evaluation, the Chief Executive Officer and the Chief Financial Officer concluded that, as of December 31, 2023,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 of the Company is responsible for establishing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2023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the Company’s internal control over financial reporting was effective as of December 31, 2023. KPMG LLP, the Company’s independent registered public accounting firm, has audited the Company’s internal control over financial reporting, as stated in their report which is included herein.</w:t>
      </w:r>
    </w:p>
    <w:p>
      <w:pPr>
        <w:spacing w:after="0" w:line="14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 financial reporting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December 31, 2023 that have materially affected, or are reasonably likely to materially affect, the Company’s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information for these items is incorporated by reference to the definitive proxy statement to be filed by the Company with the Commission pursuant to Regulation 14A within 120 days of the close of the fiscal year ended December 31, 2023, except for the information regarding executive officers which is provided under Item 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Kirby Corporation and subsidiaries (the Company) as of December 31, 2023 and 2022, the related consolidated statements of earnings,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20, 2024 expressed an unqualified opinion on the effectiveness of the Company’s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potential impairment indicators for coastal marine transportation equipment</w:t>
      </w:r>
    </w:p>
    <w:p>
      <w:pPr>
        <w:spacing w:after="0" w:line="227"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performs an impairment assessment when circumstances indicate that the carrying amount of its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Recoverability of marine transportation equipment is assessed based on vessel classes. Marine Transportation equipment as of December 31, 2023, was $5,029,653,000, a portion of which related to coastal marine transportation equipment.</w:t>
      </w:r>
    </w:p>
    <w:p>
      <w:pPr>
        <w:spacing w:after="0" w:line="186" w:lineRule="exact"/>
        <w:rPr>
          <w:sz w:val="20"/>
          <w:szCs w:val="20"/>
          <w:color w:val="auto"/>
        </w:rPr>
      </w:pPr>
    </w:p>
    <w:p>
      <w:pPr>
        <w:jc w:val="both"/>
        <w:ind w:left="380"/>
        <w:spacing w:after="0" w:line="281" w:lineRule="auto"/>
        <w:rPr>
          <w:sz w:val="20"/>
          <w:szCs w:val="20"/>
          <w:color w:val="auto"/>
        </w:rPr>
      </w:pPr>
      <w:r>
        <w:rPr>
          <w:rFonts w:ascii="Times New Roman" w:cs="Times New Roman" w:eastAsia="Times New Roman" w:hAnsi="Times New Roman"/>
          <w:sz w:val="18"/>
          <w:szCs w:val="18"/>
          <w:color w:val="auto"/>
        </w:rPr>
        <w:t>We identified the evaluation of potential impairment indicators for coastal marine transportation equipment as a critical audit matter. Evaluating the Company’s judgments in determining whether there was a triggering event required a high degree of subjective auditor judgment.</w:t>
      </w:r>
    </w:p>
    <w:p>
      <w:pPr>
        <w:spacing w:after="0" w:line="163" w:lineRule="exact"/>
        <w:rPr>
          <w:sz w:val="20"/>
          <w:szCs w:val="20"/>
          <w:color w:val="auto"/>
        </w:rPr>
      </w:pPr>
    </w:p>
    <w:p>
      <w:pPr>
        <w:jc w:val="both"/>
        <w:ind w:left="380"/>
        <w:spacing w:after="0" w:line="26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identify and assess triggering events that indicate that the carrying amount of coastal marine transportation equipment may not be recoverable. This included controls related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to the consideration of contract pricing by vessel class and market conditions in the determination of a triggering event. We assessed the Company’s identification of triggering events, including consideration of executed contract pricing and break-even costs by vessel class in addition to other certain qualitative considerations. We compared certain data used by the Company to relevant executed contracts, historical results, and analyst and industry reports. We evaluated the Company’s responses related to the elements considered and whether the Company omitted any significant internal or external elements in its evaluation.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Kirby Corporation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earnings, comprehensive income, stockholders’ equity, and cash flows for each of the years in the three-year period ended December 31, 2023, and the related notes (collectively, the consolidated financial statements), and our report dated February 20, 2024 expressed an unqualified opinion on those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24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Trade — less allowance for doubtful accounts of $7,636 ($7,684 in 2022)</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526,691</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483,406</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 net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454,389</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461,848</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69,479</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71,372</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1,135,161</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1,211,759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3,861,105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3,633,462</w:t>
            </w: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154,507</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51,463</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62,814</w:t>
            </w:r>
          </w:p>
        </w:tc>
        <w:tc>
          <w:tcPr>
            <w:tcW w:w="100" w:type="dxa"/>
            <w:vAlign w:val="bottom"/>
          </w:tcPr>
          <w:p>
            <w:pPr>
              <w:spacing w:after="0"/>
              <w:rPr>
                <w:sz w:val="19"/>
                <w:szCs w:val="19"/>
                <w:color w:val="auto"/>
              </w:rPr>
            </w:pPr>
          </w:p>
        </w:tc>
      </w:tr>
      <w:tr>
        <w:trPr>
          <w:trHeight w:val="263"/>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5,722,197</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5,554,924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4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Bank notes payable</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269,378</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278,081</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Insurance premiums and claims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65,088</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Employee compensation</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69,075</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55,851</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 other than on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42,014</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36,444</w:t>
            </w:r>
          </w:p>
        </w:tc>
        <w:tc>
          <w:tcPr>
            <w:tcW w:w="100" w:type="dxa"/>
            <w:vAlign w:val="bottom"/>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134,577</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675,795</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642,197</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debt, net — less current portion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1,008,527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1,076,326</w:t>
            </w: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696,557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625,884</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less current portion</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138,811</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142,140</w:t>
            </w:r>
          </w:p>
        </w:tc>
        <w:tc>
          <w:tcPr>
            <w:tcW w:w="100" w:type="dxa"/>
            <w:vAlign w:val="bottom"/>
            <w:shd w:val="clear" w:color="auto" w:fill="CFF0FC"/>
          </w:tcPr>
          <w:p>
            <w:pPr>
              <w:spacing w:after="0"/>
              <w:rPr>
                <w:sz w:val="20"/>
                <w:szCs w:val="20"/>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15,830</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1,859,725</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1,867,559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Contingencies and commitments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Kirby 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$0.10 par value per share. Authorized 120,000,000 shares, issued 65,472,000</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863,963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859,345</w:t>
            </w:r>
          </w:p>
        </w:tc>
        <w:tc>
          <w:tcPr>
            <w:tcW w:w="100" w:type="dxa"/>
            <w:vAlign w:val="bottom"/>
          </w:tcPr>
          <w:p>
            <w:pPr>
              <w:spacing w:after="0"/>
              <w:rPr>
                <w:sz w:val="19"/>
                <w:szCs w:val="19"/>
                <w:color w:val="auto"/>
              </w:rPr>
            </w:pPr>
          </w:p>
        </w:tc>
      </w:tr>
      <w:tr>
        <w:trPr>
          <w:trHeight w:val="23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 net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100" w:type="dxa"/>
            <w:vAlign w:val="bottom"/>
            <w:shd w:val="clear" w:color="auto" w:fill="CFF0FC"/>
          </w:tcPr>
          <w:p>
            <w:pPr>
              <w:spacing w:after="0"/>
              <w:rPr>
                <w:sz w:val="20"/>
                <w:szCs w:val="20"/>
                <w:color w:val="auto"/>
              </w:rPr>
            </w:pPr>
          </w:p>
        </w:tc>
      </w:tr>
      <w:tr>
        <w:trPr>
          <w:trHeight w:val="220"/>
        </w:trPr>
        <w:tc>
          <w:tcPr>
            <w:tcW w:w="8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2,691,665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2,468,730</w:t>
            </w:r>
          </w:p>
        </w:tc>
        <w:tc>
          <w:tcPr>
            <w:tcW w:w="100" w:type="dxa"/>
            <w:vAlign w:val="bottom"/>
          </w:tcPr>
          <w:p>
            <w:pPr>
              <w:spacing w:after="0"/>
              <w:rPr>
                <w:sz w:val="19"/>
                <w:szCs w:val="19"/>
                <w:color w:val="auto"/>
              </w:rPr>
            </w:pPr>
          </w:p>
        </w:tc>
      </w:tr>
      <w:tr>
        <w:trPr>
          <w:trHeight w:val="232"/>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Treasury stock — at cost, 6,843,000 shares in 2023 and 5,565,000 shares in 2022</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6"/>
                <w:szCs w:val="16"/>
                <w:color w:val="auto"/>
              </w:rPr>
              <w:t>(411,750 )</w:t>
            </w:r>
          </w:p>
        </w:tc>
        <w:tc>
          <w:tcPr>
            <w:tcW w:w="4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(308,598 )</w:t>
            </w:r>
          </w:p>
        </w:tc>
      </w:tr>
      <w:tr>
        <w:trPr>
          <w:trHeight w:val="220"/>
        </w:trPr>
        <w:tc>
          <w:tcPr>
            <w:tcW w:w="8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Kirby stockholders’ equity</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3,185,431</w:t>
            </w: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3,042,877</w:t>
            </w:r>
          </w:p>
        </w:tc>
        <w:tc>
          <w:tcPr>
            <w:tcW w:w="100" w:type="dxa"/>
            <w:vAlign w:val="bottom"/>
            <w:tcBorders>
              <w:top w:val="single" w:sz="8" w:color="CFF0FC"/>
            </w:tcBorders>
          </w:tcPr>
          <w:p>
            <w:pPr>
              <w:spacing w:after="0"/>
              <w:rPr>
                <w:sz w:val="19"/>
                <w:szCs w:val="19"/>
                <w:color w:val="auto"/>
              </w:rPr>
            </w:pPr>
          </w:p>
        </w:tc>
      </w:tr>
      <w:tr>
        <w:trPr>
          <w:trHeight w:val="232"/>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3,186,677</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3,045,168</w:t>
            </w:r>
          </w:p>
        </w:tc>
        <w:tc>
          <w:tcPr>
            <w:tcW w:w="100" w:type="dxa"/>
            <w:vAlign w:val="bottom"/>
          </w:tcPr>
          <w:p>
            <w:pPr>
              <w:spacing w:after="0"/>
              <w:rPr>
                <w:sz w:val="19"/>
                <w:szCs w:val="19"/>
                <w:color w:val="auto"/>
              </w:rPr>
            </w:pPr>
          </w:p>
        </w:tc>
      </w:tr>
      <w:tr>
        <w:trPr>
          <w:trHeight w:val="263"/>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5,722,197</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5,554,924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-6241415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-6241415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-5059680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-5042535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-5059680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-5042535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-2995930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-2995930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-2097405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-633095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-333375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thousands, except per share</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60" w:type="dxa"/>
            <w:vAlign w:val="bottom"/>
          </w:tcPr>
          <w:p>
            <w:pPr>
              <w:spacing w:after="0"/>
              <w:rPr>
                <w:sz w:val="20"/>
                <w:szCs w:val="20"/>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100" w:type="dxa"/>
            <w:vAlign w:val="bottom"/>
          </w:tcPr>
          <w:p>
            <w:pPr>
              <w:spacing w:after="0"/>
              <w:rPr>
                <w:sz w:val="20"/>
                <w:szCs w:val="20"/>
                <w:color w:val="auto"/>
              </w:rPr>
            </w:pPr>
          </w:p>
        </w:tc>
      </w:tr>
      <w:tr>
        <w:trPr>
          <w:trHeight w:val="240"/>
        </w:trPr>
        <w:tc>
          <w:tcPr>
            <w:tcW w:w="6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2,180,422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2,060,941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1,652,961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(5,009 )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(8,279 )</w:t>
            </w:r>
          </w:p>
        </w:tc>
        <w:tc>
          <w:tcPr>
            <w:tcW w:w="4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(5,761 )</w:t>
            </w: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2,756,548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2,591,868</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2,504,793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(258,133 )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(44,588 )</w:t>
            </w:r>
          </w:p>
        </w:tc>
        <w:tc>
          <w:tcPr>
            <w:tcW w:w="4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(42,469 )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294,125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(290,601 )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(71,220 )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(42,214 )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(246,771 )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(470 )</w:t>
            </w:r>
          </w:p>
        </w:tc>
        <w:tc>
          <w:tcPr>
            <w:tcW w:w="4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260" w:type="dxa"/>
            <w:vAlign w:val="bottom"/>
            <w:shd w:val="clear" w:color="auto" w:fill="CFF0FC"/>
          </w:tcPr>
          <w:p>
            <w:pPr>
              <w:spacing w:after="0"/>
              <w:rPr>
                <w:sz w:val="24"/>
                <w:szCs w:val="24"/>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(246,954 )</w:t>
            </w:r>
          </w:p>
        </w:tc>
      </w:tr>
      <w:tr>
        <w:trPr>
          <w:trHeight w:val="227"/>
        </w:trPr>
        <w:tc>
          <w:tcPr>
            <w:tcW w:w="66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20"/>
                <w:szCs w:val="20"/>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-3475990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-3475990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-1908810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-1908810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-641350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-624205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-641350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-624205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5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(246,771 )</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(1,061 )</w:t>
            </w: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241,058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165,580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(211,285 )</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Kirby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241,088</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165,110</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(211,468 )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-1292225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-1292225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-658495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-658495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155"/>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222,905</w:t>
            </w:r>
          </w:p>
        </w:tc>
        <w:tc>
          <w:tcPr>
            <w:tcW w:w="140" w:type="dxa"/>
            <w:vAlign w:val="bottom"/>
          </w:tcPr>
          <w:p>
            <w:pPr>
              <w:spacing w:after="0"/>
              <w:rPr>
                <w:sz w:val="19"/>
                <w:szCs w:val="19"/>
                <w:color w:val="auto"/>
              </w:rPr>
            </w:pP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122,761</w:t>
            </w:r>
          </w:p>
        </w:tc>
        <w:tc>
          <w:tcPr>
            <w:tcW w:w="26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(246,771 )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earnings (loss) to net cash provided by operations: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213,718</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(credit) for doubtful accounts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(138 )</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(44,419 )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(5,009 )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(8,279 )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(5,761 )</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340,713</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share-based compensation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major maintenance costs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33,213</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(3,338 )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(283 )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(640 )</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cash flows resulting from changes in: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(50,135 )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(31,550 )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29,126</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(127,095 )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(19,248 )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(37,688 )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(27,801 )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(38,335 )</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(18,271 )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75,996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100" w:type="dxa"/>
            <w:vAlign w:val="bottom"/>
            <w:shd w:val="clear" w:color="auto" w:fill="CFF0FC"/>
          </w:tcPr>
          <w:p>
            <w:pPr>
              <w:spacing w:after="0"/>
              <w:rPr>
                <w:sz w:val="20"/>
                <w:szCs w:val="20"/>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27,974</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540,228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294,128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6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(401,730 )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(172,606 )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(98,015 )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businesses and marine equipment, net of cash acquired</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(37,500 )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(3,900 )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(9,115 )</w:t>
            </w: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disposition of assets and 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51,342</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(413,149 )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(139,601 )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(55,788 )</w:t>
            </w:r>
          </w:p>
        </w:tc>
      </w:tr>
      <w:tr>
        <w:trPr>
          <w:trHeight w:val="229"/>
        </w:trPr>
        <w:tc>
          <w:tcPr>
            <w:tcW w:w="66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(payments) on bank credit facilities,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(248,105 )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(350,000 )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(395,000 )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(60,000 )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debt issue costs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(1,254 )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(1,977 )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related to tax withholding for share-based compensation</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(3,908 )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(3,408 )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(2,856 )</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purchases</w:t>
            </w:r>
          </w:p>
        </w:tc>
        <w:tc>
          <w:tcPr>
            <w:tcW w:w="3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(112,803 )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(22,901 )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Return of investment to noncontrolling interests and other</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(722 )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(981 )</w:t>
            </w:r>
          </w:p>
        </w:tc>
      </w:tr>
      <w:tr>
        <w:trPr>
          <w:trHeight w:val="23"/>
        </w:trPr>
        <w:tc>
          <w:tcPr>
            <w:tcW w:w="66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(175,079 )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(108,763 )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(311,313 )</w:t>
            </w:r>
          </w:p>
        </w:tc>
      </w:tr>
      <w:tr>
        <w:trPr>
          <w:trHeight w:val="23"/>
        </w:trPr>
        <w:tc>
          <w:tcPr>
            <w:tcW w:w="6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(48,000 )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(45,525 )</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80,338</w:t>
            </w:r>
          </w:p>
        </w:tc>
        <w:tc>
          <w:tcPr>
            <w:tcW w:w="100" w:type="dxa"/>
            <w:vAlign w:val="bottom"/>
          </w:tcPr>
          <w:p>
            <w:pPr>
              <w:spacing w:after="0"/>
              <w:rPr>
                <w:sz w:val="19"/>
                <w:szCs w:val="19"/>
                <w:color w:val="auto"/>
              </w:rPr>
            </w:pPr>
          </w:p>
        </w:tc>
      </w:tr>
      <w:tr>
        <w:trPr>
          <w:trHeight w:val="26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14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100" w:type="dxa"/>
            <w:vAlign w:val="bottom"/>
            <w:shd w:val="clear" w:color="auto" w:fill="CFF0FC"/>
          </w:tcPr>
          <w:p>
            <w:pPr>
              <w:spacing w:after="0"/>
              <w:rPr>
                <w:sz w:val="22"/>
                <w:szCs w:val="22"/>
                <w:color w:val="auto"/>
              </w:rPr>
            </w:pPr>
          </w:p>
        </w:tc>
      </w:tr>
      <w:tr>
        <w:trPr>
          <w:trHeight w:val="216"/>
        </w:trPr>
        <w:tc>
          <w:tcPr>
            <w:tcW w:w="66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(received) during the period: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49,317</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42,816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40,878</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(65,787 )</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26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(116,648 )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cash outflow from operating leases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43,954</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44,089</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18,633</w:t>
            </w:r>
          </w:p>
        </w:tc>
        <w:tc>
          <w:tcPr>
            <w:tcW w:w="100" w:type="dxa"/>
            <w:vAlign w:val="bottom"/>
            <w:shd w:val="clear" w:color="auto" w:fill="CFF0FC"/>
          </w:tcPr>
          <w:p>
            <w:pPr>
              <w:spacing w:after="0"/>
              <w:rPr>
                <w:sz w:val="20"/>
                <w:szCs w:val="20"/>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39,153</w:t>
            </w:r>
          </w:p>
        </w:tc>
        <w:tc>
          <w:tcPr>
            <w:tcW w:w="140" w:type="dxa"/>
            <w:vAlign w:val="bottom"/>
          </w:tcPr>
          <w:p>
            <w:pPr>
              <w:spacing w:after="0"/>
              <w:rPr>
                <w:sz w:val="18"/>
                <w:szCs w:val="18"/>
                <w:color w:val="auto"/>
              </w:rPr>
            </w:pP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26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-4285615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-4285615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-3395345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-3395345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-3395345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-1931035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-1931035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-1931035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-1322705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-1305560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-1322705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-1305560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p>
      <w:pPr>
        <w:ind w:left="29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6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1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ng</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Balance at December 31, 2020</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844,979</w:t>
            </w:r>
          </w:p>
        </w:tc>
        <w:tc>
          <w:tcPr>
            <w:tcW w:w="2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(61,452 )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2,593,39</w:t>
            </w:r>
          </w:p>
        </w:tc>
        <w:tc>
          <w:tcPr>
            <w:tcW w:w="2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(5,434 )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(299,161 )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2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3,087,553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(6,201 )</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(2,856 )</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(2,856 )</w:t>
            </w: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net of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(246,954 )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(211,285 )</w:t>
            </w: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(972 )</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(972 )</w:t>
            </w: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854,512</w:t>
            </w:r>
          </w:p>
        </w:tc>
        <w:tc>
          <w:tcPr>
            <w:tcW w:w="2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(25,966 )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2,346,43</w:t>
            </w: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(5,361 )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(295,208 )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2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2,888,782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(9,789 )</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(3,408 )</w:t>
            </w: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(3,408 )</w:t>
            </w: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(386 )</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(22,901 )</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(22,901 )</w:t>
            </w: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comprehensive income,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122,291</w:t>
            </w:r>
          </w:p>
        </w:tc>
        <w:tc>
          <w:tcPr>
            <w:tcW w:w="2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165,580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(637 )</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(637 )</w:t>
            </w: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859,345</w:t>
            </w:r>
          </w:p>
        </w:tc>
        <w:tc>
          <w:tcPr>
            <w:tcW w:w="2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100" w:type="dxa"/>
            <w:vAlign w:val="bottom"/>
          </w:tcPr>
          <w:p>
            <w:pPr>
              <w:spacing w:after="0"/>
              <w:rPr>
                <w:sz w:val="11"/>
                <w:szCs w:val="1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2,468,73</w:t>
            </w: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(5,565 )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(308,598 )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2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3,045,168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(10,776 )</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(3,908 )</w:t>
            </w: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(3,908 )</w:t>
            </w: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(1,485 )</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(112,803 )</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(112,803 )</w:t>
            </w: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Excise taxes on treasury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(972 )</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(972 )</w:t>
            </w:r>
          </w:p>
        </w:tc>
        <w:tc>
          <w:tcPr>
            <w:tcW w:w="0" w:type="dxa"/>
            <w:vAlign w:val="bottom"/>
          </w:tcPr>
          <w:p>
            <w:pPr>
              <w:spacing w:after="0"/>
              <w:rPr>
                <w:sz w:val="1"/>
                <w:szCs w:val="1"/>
                <w:color w:val="auto"/>
              </w:rPr>
            </w:pPr>
          </w:p>
        </w:tc>
      </w:tr>
      <w:tr>
        <w:trPr>
          <w:trHeight w:val="18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comprehensive income, net of</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222,935</w:t>
            </w:r>
          </w:p>
        </w:tc>
        <w:tc>
          <w:tcPr>
            <w:tcW w:w="2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(30 )</w:t>
            </w: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241,058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investment to</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(1,015 )</w:t>
            </w:r>
          </w:p>
        </w:tc>
        <w:tc>
          <w:tcPr>
            <w:tcW w:w="14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(1,015 )</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863,963</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35,006</w:t>
            </w:r>
          </w:p>
        </w:tc>
        <w:tc>
          <w:tcPr>
            <w:tcW w:w="10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2,691,66</w:t>
            </w:r>
          </w:p>
        </w:tc>
        <w:tc>
          <w:tcPr>
            <w:tcW w:w="20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(6,843 )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(411,750 )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3,186,677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36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460" w:type="dxa"/>
            <w:vAlign w:val="bottom"/>
            <w:gridSpan w:val="2"/>
            <w:vMerge w:val="continue"/>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gridSpan w:val="2"/>
            <w:vMerge w:val="continue"/>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-3373120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-3373120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-3373120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-3373120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-3373120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-3373120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-3373120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-3373120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-3373120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-1908810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-1908810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-1908810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-1908810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-1908810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-1908810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-1908810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-1908810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-1908810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0" w:right="4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Kirby Corporation and all majority-owned subsidiaries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 Such reclassifications have no impact on previously reported net earnings (loss), stockholders’ equity,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Cash equivalents consist of all short-term, highly liquid investments with maturities of three months or less at date of purchase.</w:t>
      </w:r>
    </w:p>
    <w:p>
      <w:pPr>
        <w:spacing w:after="0" w:line="19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In the normal course of business, the Company extends credit to its customers. The Company regularly reviews the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adequate provisions for probable uncollectible balances. It is the Company’s opinion that the accounts have no impairment, other than that for which provisions have been made. Included in accounts receivable-trade as of December 31, 2023 and 2022 were $136.3 million and $139.5 million, respectively, of accruals for revenues earned which have not been invoiced as of the end of each year.</w:t>
      </w:r>
    </w:p>
    <w:p>
      <w:pPr>
        <w:spacing w:after="0" w:line="13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Accrued Insurance. </w:t>
      </w:r>
      <w:r>
        <w:rPr>
          <w:rFonts w:ascii="Times New Roman" w:cs="Times New Roman" w:eastAsia="Times New Roman" w:hAnsi="Times New Roman"/>
          <w:sz w:val="18"/>
          <w:szCs w:val="18"/>
          <w:color w:val="auto"/>
        </w:rPr>
        <w:t>The Company’s marine transportation and distribution and services operations are subject to hazards associated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The marine transportation business in particular is subject to property damage and casualty risks associated with operating vessels carrying large volumes of bulk liquid and dry cargo in a marine environment. The Company maintains insurance coverage against these hazards with insurance companies subject to a deductible, below which the Company is liable. The Company uses historic experience and actuarial analysis by outside consultants to estimate an appropriate level of accrued insurance liabilities including estimates on individual claims outstanding and an estimated amount for losses that may have occurred but have not been reported to the Company (“IBNR”) or not yet fully developed. If the actual number of claims and magnitude were substantially greater than assumed, the required level of accrued liabilities for claims incurred but not reported or fully developed could be materially understated. Insurance premiums, IBNR losses and incurred claim losses, up to the Company’s deductible for the years ended December 31, 2023, 2022, and 2021, were $52.5 million, $39.1 million, and $37.8 million, respectively.</w:t>
      </w:r>
    </w:p>
    <w:p>
      <w:pPr>
        <w:spacing w:after="0" w:line="14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records receivables from its insurers for incurred claims above the Company’s deductible. If the solvency of the insurers becomes impaired, there could be an adverse impact on the accrued receivables and the availability of insurance. Included in accounts receivable-other as of December 31, 2023 and 2022 were $29.6 million and $27.7 million, respectively, of receivables from insurance companies to cover claims in excess of the Company’s deductible.</w:t>
      </w:r>
    </w:p>
    <w:p>
      <w:pPr>
        <w:spacing w:after="0" w:line="15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Financial instruments which potentially subject the Company to concentrations of credit risk are primarily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14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average cost or net realizable value.</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or acquisition date fair value; improvements and betterments are capitalized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Depreciation is recorded using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7" w:name="page58"/>
    <w:bookmarkEnd w:id="57"/>
    <w:p>
      <w:pPr>
        <w:jc w:val="both"/>
        <w:spacing w:after="0" w:line="281" w:lineRule="auto"/>
        <w:rPr>
          <w:sz w:val="20"/>
          <w:szCs w:val="20"/>
          <w:color w:val="auto"/>
        </w:rPr>
      </w:pPr>
      <w:r>
        <w:rPr>
          <w:rFonts w:ascii="Times New Roman" w:cs="Times New Roman" w:eastAsia="Times New Roman" w:hAnsi="Times New Roman"/>
          <w:sz w:val="18"/>
          <w:szCs w:val="18"/>
          <w:color w:val="auto"/>
        </w:rPr>
        <w:t>in United States Coast Guard (“USCG”) inspections unless the shipyard extends the life, improves the operating capacity, or replaces significant components of the vessel, which results in the costs being capitalized.</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balances of property and equipment – net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00" w:type="dxa"/>
            <w:vAlign w:val="bottom"/>
            <w:shd w:val="clear" w:color="auto" w:fill="CFF0FC"/>
          </w:tcPr>
          <w:p>
            <w:pPr>
              <w:spacing w:after="0"/>
              <w:rPr>
                <w:sz w:val="20"/>
                <w:szCs w:val="20"/>
                <w:color w:val="auto"/>
              </w:rPr>
            </w:pPr>
          </w:p>
        </w:tc>
      </w:tr>
      <w:tr>
        <w:trPr>
          <w:trHeight w:val="238"/>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equipment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5,029,653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4,837,379</w:t>
            </w:r>
          </w:p>
        </w:tc>
        <w:tc>
          <w:tcPr>
            <w:tcW w:w="100" w:type="dxa"/>
            <w:vAlign w:val="bottom"/>
          </w:tcPr>
          <w:p>
            <w:pPr>
              <w:spacing w:after="0"/>
              <w:rPr>
                <w:sz w:val="20"/>
                <w:szCs w:val="20"/>
                <w:color w:val="auto"/>
              </w:rPr>
            </w:pPr>
          </w:p>
        </w:tc>
      </w:tr>
      <w:tr>
        <w:trPr>
          <w:trHeight w:val="247"/>
        </w:trPr>
        <w:tc>
          <w:tcPr>
            <w:tcW w:w="8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other equipment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641,871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505,942</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70,271</w:t>
            </w:r>
          </w:p>
        </w:tc>
        <w:tc>
          <w:tcPr>
            <w:tcW w:w="100" w:type="dxa"/>
            <w:vAlign w:val="bottom"/>
          </w:tcPr>
          <w:p>
            <w:pPr>
              <w:spacing w:after="0"/>
              <w:rPr>
                <w:sz w:val="20"/>
                <w:szCs w:val="20"/>
                <w:color w:val="auto"/>
              </w:rPr>
            </w:pPr>
          </w:p>
        </w:tc>
      </w:tr>
      <w:tr>
        <w:trPr>
          <w:trHeight w:val="240"/>
        </w:trPr>
        <w:tc>
          <w:tcPr>
            <w:tcW w:w="87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5,824,038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5,452,143</w:t>
            </w:r>
          </w:p>
        </w:tc>
        <w:tc>
          <w:tcPr>
            <w:tcW w:w="100" w:type="dxa"/>
            <w:vAlign w:val="bottom"/>
            <w:shd w:val="clear" w:color="auto" w:fill="CFF0FC"/>
          </w:tcPr>
          <w:p>
            <w:pPr>
              <w:spacing w:after="0"/>
              <w:rPr>
                <w:sz w:val="20"/>
                <w:szCs w:val="20"/>
                <w:color w:val="auto"/>
              </w:rPr>
            </w:pPr>
          </w:p>
        </w:tc>
      </w:tr>
      <w:tr>
        <w:trPr>
          <w:trHeight w:val="238"/>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(1,962,933 )</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(1,818,681 )</w:t>
            </w:r>
          </w:p>
        </w:tc>
      </w:tr>
      <w:tr>
        <w:trPr>
          <w:trHeight w:val="276"/>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Drydocking on Ocean-Going Vessels. </w:t>
      </w:r>
      <w:r>
        <w:rPr>
          <w:rFonts w:ascii="Times New Roman" w:cs="Times New Roman" w:eastAsia="Times New Roman" w:hAnsi="Times New Roman"/>
          <w:sz w:val="18"/>
          <w:szCs w:val="18"/>
          <w:color w:val="auto"/>
        </w:rPr>
        <w:t>The Company’s ocean-going vessels are subject to regulatory drydocking requirements after certain periods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be inspected, have planned major maintenance performed and be recertified by the American Bureau of Shipping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or replace significant components of the vessel are capitalized. The Company recognized amortization of major maintenance costs of $29.0 million, $29.0 million, and $33.2 million for the years ended December 31, 2023, 2022, and 2021, respectively, in costs of sales and operating expenses. Routine repairs and maintenance on ocean-going vessels are expensed as incurred. Interest is capitalized on the construction of new ocean-going vessels. For the years ended December 31, 2023, 2022 and 2021, no interest was capitalized.</w:t>
      </w:r>
    </w:p>
    <w:p>
      <w:pPr>
        <w:spacing w:after="0" w:line="15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The Company expenses costs related to environmental events as they are incurred or when a loss is considered probable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estimable.</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goodwill. The Company conducted its annual goodwill impairment tests at November 30, 2023, 2022, and 2021. The Company also conducted an interim goodwill impairment test at September 30, 2021. Refer to Note 7, Impairments and other charges for more information. The Company will continue to conduct goodwill impairment tests as of November 30 of subsequent years, or whenever events or circumstances indicate that interim impairment testing is necessary. The amount of goodwill impairment, if any, is typically measured based on a combination of projected discounted future operating cash flows using an appropriate discount rate and a market approach for comparable companies. The following table summarizes the changes in goodwill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Distribution and</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40" w:type="dxa"/>
            <w:vAlign w:val="bottom"/>
          </w:tcPr>
          <w:p>
            <w:pPr>
              <w:spacing w:after="0"/>
              <w:rPr>
                <w:sz w:val="16"/>
                <w:szCs w:val="16"/>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(gross)</w:t>
            </w: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505,784</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560,155</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impairment and amortization</w:t>
            </w:r>
          </w:p>
        </w:tc>
        <w:tc>
          <w:tcPr>
            <w:tcW w:w="1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(237,626 )</w:t>
            </w:r>
          </w:p>
        </w:tc>
        <w:tc>
          <w:tcPr>
            <w:tcW w:w="1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(389,565 )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(627,191 )</w:t>
            </w:r>
          </w:p>
        </w:tc>
        <w:tc>
          <w:tcPr>
            <w:tcW w:w="0" w:type="dxa"/>
            <w:vAlign w:val="bottom"/>
          </w:tcPr>
          <w:p>
            <w:pPr>
              <w:spacing w:after="0"/>
              <w:rPr>
                <w:sz w:val="1"/>
                <w:szCs w:val="1"/>
                <w:color w:val="auto"/>
              </w:rPr>
            </w:pPr>
          </w:p>
        </w:tc>
      </w:tr>
      <w:tr>
        <w:trPr>
          <w:trHeight w:val="276"/>
        </w:trPr>
        <w:tc>
          <w:tcPr>
            <w:tcW w:w="1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and 2023</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Other intangibles include assets for favorable contracts and customer relationships, distributorship and dealership agreements,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non-compete agreements and liabilities for unfavorable leases and contracts. The following table summarizes the balances of other intangible assets and other intangible liabilities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gross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203,242</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(141,695 )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(151,779 )</w:t>
            </w: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liabilities – gross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(8,800 )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(13,280 )</w:t>
            </w: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liabilities –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-675640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-658495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costs of intangible assets and liabilities are amortized to expense in a systematic and rational manner over their estimated useful lives. For the years ended December 31, 2023, 2022, and 2021, the amortization expense for intangibles was $8.1 million, $7.6 million, and $7.8 million, respectively. Estimated net amortization expense for amortizable intangible assets and liabilities for the next five years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8" w:name="page59"/>
    <w:bookmarkEnd w:id="58"/>
    <w:p>
      <w:pPr>
        <w:jc w:val="both"/>
        <w:spacing w:after="0" w:line="281" w:lineRule="auto"/>
        <w:rPr>
          <w:sz w:val="20"/>
          <w:szCs w:val="20"/>
          <w:color w:val="auto"/>
        </w:rPr>
      </w:pPr>
      <w:r>
        <w:rPr>
          <w:rFonts w:ascii="Times New Roman" w:cs="Times New Roman" w:eastAsia="Times New Roman" w:hAnsi="Times New Roman"/>
          <w:sz w:val="18"/>
          <w:szCs w:val="18"/>
          <w:color w:val="auto"/>
        </w:rPr>
        <w:t>(2024 – 2028) is approximately $8.5 million, $8.5 million, $6.3 million, $5.0 million, and $3.5 million, respectively, and $11.1 million thereafter. As of December 31, 2023, the weighted average amortization period for intangible assets and liabilities was approximately seven years.</w:t>
      </w:r>
    </w:p>
    <w:p>
      <w:pPr>
        <w:spacing w:after="0" w:line="13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majority of marine transportation revenue is derived from term contracts, ranging from one to three years, some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renewal options, and the remainder is from spot contracts. The majority of the term contracts by revenue are for terms of one year. The Company provides marine transportation services for its customers and, in almost all cases, does not assume ownership of the products it transports. The Company enters into agreements with its customers to transport cargo from a designated origin to a designated destination at a set rate (affreightment) or at a daily rate (time charter). The rate may or may not escalate during the term of the contract, however, the base rate generally remains constant and contracts often include escalation provisions to recover changes in specific costs such as fuel. Time charter or contracts of affreightment of one year or greater are considered term contract revenues and agreements of less than a year are included in spot contract revenues. Spot contracts typically involve an agreement with a customer to move cargo from a specific origin to a designated destination for a rate generally negotiated at the time the cargo movement takes place. Spot contract rates are typically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1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generally recognized on a straight-line basis over the rental period. The Company recognizes the revenues on manufacturing activities upon shipment and transfer of control to the customer. The transactions in the distribution and services segment (“KDS”)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14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has share-based compensation plans covering selected officers and other key employees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Stock-based grants made under the Company’s stock plans are measured at fair value on the date of the grant and the cost for all grants made under the director plan and for grants made under the employee plan is generally recognized ratably over the vesting period of the restricted stock unit (“RSU”), stock option, or restricted stock. The employee plan, however,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Stock option grants are valued at the date of grant as calculated under the Black-Scholes option pricing model. The Company accounts for forfeitures as they occur. The Company’s stock-based compensation plans are more fully described in Note 8, Stock Award Plans.</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Taxes on Income. </w:t>
      </w:r>
      <w:r>
        <w:rPr>
          <w:rFonts w:ascii="Times New Roman" w:cs="Times New Roman" w:eastAsia="Times New Roman" w:hAnsi="Times New Roman"/>
          <w:sz w:val="18"/>
          <w:szCs w:val="18"/>
          <w:color w:val="auto"/>
        </w:rPr>
        <w:t>The Company follows the asset and liability method of accounting for income taxes. Under the asset and liability method,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The Company follows the average cost method of accounting for treasury stock transactions.</w:t>
      </w:r>
    </w:p>
    <w:p>
      <w:pPr>
        <w:spacing w:after="0" w:line="184"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for Long-lived Assets to Be Disposed Of. </w:t>
      </w:r>
      <w:r>
        <w:rPr>
          <w:rFonts w:ascii="Times New Roman" w:cs="Times New Roman" w:eastAsia="Times New Roman" w:hAnsi="Times New Roman"/>
          <w:sz w:val="18"/>
          <w:szCs w:val="18"/>
          <w:color w:val="auto"/>
        </w:rPr>
        <w:t>The Company performs an impairment assessment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of long-lived assets may not be recoverable.</w:t>
      </w:r>
    </w:p>
    <w:p>
      <w:pPr>
        <w:spacing w:after="0" w:line="13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generally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9" w:name="page60"/>
    <w:bookmarkEnd w:id="59"/>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The accounting guidance for using fair value to measure certain assets and liabilities establishes a three tier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 The fair value of the Company’s debt instruments is described in Note 5,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requires entities to disclose additional information in specified categories with respect to the reconciliation of the effective tax rate to the statutory rate for federal, state, and foreign income taxes. ASU 2023-09 is effective for annual and interim periods beginning after December 15, 2023, with early adoption permitted. The Company is currently evaluating the impact that the adoption of this standard will have on its consolidated financial statements.</w:t>
      </w:r>
    </w:p>
    <w:p>
      <w:pPr>
        <w:spacing w:after="0" w:line="15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to improve reportable segment disclosure requirements. The amendments require disclosure of significant segment expenses regularly provided to the chief operating decision maker (“CODM”) as well as other segment items, extend certain annual disclosures to interim periods, clarify the applicability to single reportable segment entities, permit more than one measure of profit or loss to be reported under certain conditions, and require disclosure of the title and position of the CODM. ASU 2023-07 is effective for annual periods beginning after December 15, 2024 and for interim periods beginning after December 15, 2025, with early adoption permitted. The Company is currently evaluating the impact that the adoption of this standard will have on its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5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Assets acquired consisted primarily of property and equipment.</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$7.5 million in cash during 2021. The Company had been leasing the barges prior to the purchase.</w:t>
      </w:r>
    </w:p>
    <w:p>
      <w:pPr>
        <w:spacing w:after="0" w:line="13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On October 4, 2021, the Company paid $1.6 million in cash to purchase assets of an energy storage systems manufacturer based in Texas which have been key to the development of new power generation solutions for electric fracturing equipment. Assets acquired and liabilities assumed consisted primarily of a right of use lease asset and lease liability for an operating lease assumed as part of the acquisition.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1,416,483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1,277,010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1,005,145</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305,454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339,957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802,474</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651,566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578,011</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567,229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516,221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-838200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-838200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revenue is measured based on consideration specified in its contracts with its customers. The Company recognizes revenue over time as it provides services to its customers, or at the point in time that control over a part or product transfers to its customer.</w:t>
      </w:r>
    </w:p>
    <w:p>
      <w:pPr>
        <w:spacing w:after="0" w:line="12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 Contract liabilities represent advance consideration received from customers, and are recognized as revenue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 point in time as the related performance obligation is satisfied. Revenues recognized during the years ended December 31, 2023, 2022, and 2021, that were included in the opening contract liability balances were $84.0 million, $61.7 million and $40.9 million, respectively. The Company has recognized all contract liabilities within the deferred revenues financial statement caption on the balance sheet. The Company did not have any contract assets at December 31, 2023 or December 31, 2022. The Company applies the practical expedient that allows non-disclosure of information about remaining performance obligations that have original expected durations of one year or less.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Data</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2"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Provides marine transportation by United States flagged vessels principally of liquid cargoes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w:t>
      </w:r>
      <w:r>
        <w:rPr>
          <w:rFonts w:ascii="Times New Roman" w:cs="Times New Roman" w:eastAsia="Times New Roman" w:hAnsi="Times New Roman"/>
          <w:sz w:val="18"/>
          <w:szCs w:val="18"/>
          <w:color w:val="auto"/>
        </w:rPr>
        <w:t>— Provides after-market services and genuine replacement parts for engines, transmissions, reduction gears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5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KDS from KMT of $39.8 million, $31.9 million, and $23.6 million in 2023, 2022, and 2021, respectively, as well as the related intersegment profit of $4.0 million, $3.2 million, and $2.4 million in 2023, 2022, and 2021, respectively, have been eliminated from the tables below.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61" w:name="page62"/>
    <w:bookmarkEnd w:id="61"/>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tables set forth by reportable segment the revenues, profit or loss, total assets, depreciation and amortization, and capital expenditures attributable to the principal activities of the Company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136,184</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(59,299 )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(38,246 )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(381,223 )</w:t>
            </w:r>
          </w:p>
        </w:tc>
        <w:tc>
          <w:tcPr>
            <w:tcW w:w="0" w:type="dxa"/>
            <w:vAlign w:val="bottom"/>
          </w:tcPr>
          <w:p>
            <w:pPr>
              <w:spacing w:after="0"/>
              <w:rPr>
                <w:sz w:val="1"/>
                <w:szCs w:val="1"/>
                <w:color w:val="auto"/>
              </w:rPr>
            </w:pPr>
          </w:p>
        </w:tc>
      </w:tr>
      <w:tr>
        <w:trPr>
          <w:trHeight w:val="20"/>
        </w:trPr>
        <w:tc>
          <w:tcPr>
            <w:tcW w:w="66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40" w:type="dxa"/>
            <w:vAlign w:val="bottom"/>
            <w:tcBorders>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294,125</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gridSpan w:val="2"/>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26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(290,601 )</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184,225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147,170</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140,769</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right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401,730</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4,454,931</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1,156,384</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26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94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profit (loss) (in thousands):</w:t>
            </w:r>
          </w:p>
        </w:tc>
        <w:tc>
          <w:tcPr>
            <w:tcW w:w="10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(23,341 )</w:t>
            </w:r>
          </w:p>
        </w:tc>
        <w:tc>
          <w:tcPr>
            <w:tcW w:w="4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(18,614 )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(13,803 )</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3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(340,713 )</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(52,008 )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(44,588 )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(42,469 )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11,041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(59,299 )</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(38,246 )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(381,223 )</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108,306</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8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26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66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6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-7431405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-7431405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-7431405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-6463665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-6447155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-6463665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-6447155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-6463665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-6447155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-5821680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-5821680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-5821680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-4853940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-4837430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-4853940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-4837430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-4853940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-4837430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-3672840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-3655695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-3672840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-3655695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-2225675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-2225675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-915670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-898525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88"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352,275</w:t>
            </w:r>
          </w:p>
        </w:tc>
        <w:tc>
          <w:tcPr>
            <w:tcW w:w="100" w:type="dxa"/>
            <w:vAlign w:val="bottom"/>
            <w:shd w:val="clear" w:color="auto" w:fill="CFF0FC"/>
          </w:tcPr>
          <w:p>
            <w:pPr>
              <w:spacing w:after="0"/>
              <w:rPr>
                <w:sz w:val="21"/>
                <w:szCs w:val="2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477,660</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shd w:val="clear" w:color="auto" w:fill="CFF0FC"/>
          </w:tcPr>
          <w:p>
            <w:pPr>
              <w:spacing w:after="0"/>
              <w:rPr>
                <w:sz w:val="21"/>
                <w:szCs w:val="2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0"/>
                <w:szCs w:val="20"/>
                <w:color w:val="auto"/>
              </w:rPr>
            </w:pPr>
          </w:p>
        </w:tc>
      </w:tr>
      <w:tr>
        <w:trPr>
          <w:trHeight w:val="240"/>
        </w:trPr>
        <w:tc>
          <w:tcPr>
            <w:tcW w:w="5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100" w:type="dxa"/>
            <w:vAlign w:val="bottom"/>
            <w:shd w:val="clear" w:color="auto" w:fill="CFF0FC"/>
          </w:tcPr>
          <w:p>
            <w:pPr>
              <w:spacing w:after="0"/>
              <w:rPr>
                <w:sz w:val="20"/>
                <w:szCs w:val="20"/>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(5,473 )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(3,674 )</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0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-24765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6.8% and 5.8% at December 31, 2023 and 2022, respectively.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aggregate payments due on the long-term debt in each of the next five years were as follows (in thousands):</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FF0FC"/>
          </w:tcPr>
          <w:p>
            <w:pPr>
              <w:spacing w:after="0"/>
              <w:rPr>
                <w:sz w:val="21"/>
                <w:szCs w:val="21"/>
                <w:color w:val="auto"/>
              </w:rPr>
            </w:pPr>
          </w:p>
        </w:tc>
      </w:tr>
      <w:tr>
        <w:trPr>
          <w:trHeight w:val="23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Pr>
          <w:p>
            <w:pPr>
              <w:spacing w:after="0"/>
              <w:rPr>
                <w:sz w:val="20"/>
                <w:szCs w:val="20"/>
                <w:color w:val="auto"/>
              </w:rPr>
            </w:pPr>
          </w:p>
        </w:tc>
      </w:tr>
      <w:tr>
        <w:trPr>
          <w:trHeight w:val="247"/>
        </w:trPr>
        <w:tc>
          <w:tcPr>
            <w:tcW w:w="9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00" w:type="dxa"/>
            <w:vAlign w:val="bottom"/>
            <w:shd w:val="clear" w:color="auto" w:fill="CFF0FC"/>
          </w:tcPr>
          <w:p>
            <w:pPr>
              <w:spacing w:after="0"/>
              <w:rPr>
                <w:sz w:val="21"/>
                <w:szCs w:val="21"/>
                <w:color w:val="auto"/>
              </w:rPr>
            </w:pPr>
          </w:p>
        </w:tc>
      </w:tr>
      <w:tr>
        <w:trPr>
          <w:trHeight w:val="23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125,250</w:t>
            </w:r>
          </w:p>
        </w:tc>
        <w:tc>
          <w:tcPr>
            <w:tcW w:w="100" w:type="dxa"/>
            <w:vAlign w:val="bottom"/>
          </w:tcPr>
          <w:p>
            <w:pPr>
              <w:spacing w:after="0"/>
              <w:rPr>
                <w:sz w:val="20"/>
                <w:szCs w:val="20"/>
                <w:color w:val="auto"/>
              </w:rPr>
            </w:pPr>
          </w:p>
        </w:tc>
      </w:tr>
      <w:tr>
        <w:trPr>
          <w:trHeight w:val="247"/>
        </w:trPr>
        <w:tc>
          <w:tcPr>
            <w:tcW w:w="9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21"/>
                <w:szCs w:val="21"/>
                <w:color w:val="auto"/>
              </w:rPr>
            </w:pPr>
          </w:p>
        </w:tc>
      </w:tr>
      <w:tr>
        <w:trPr>
          <w:trHeight w:val="23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0"/>
                <w:szCs w:val="20"/>
                <w:color w:val="auto"/>
              </w:rPr>
            </w:pPr>
          </w:p>
        </w:tc>
      </w:tr>
      <w:tr>
        <w:trPr>
          <w:trHeight w:val="276"/>
        </w:trPr>
        <w:tc>
          <w:tcPr>
            <w:tcW w:w="98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4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$6,000 and available borrowing capacity was $456.0 million as of December 31, 2023.</w:t>
      </w:r>
    </w:p>
    <w:p>
      <w:pPr>
        <w:spacing w:after="0" w:line="1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3" w:name="page64"/>
    <w:bookmarkEnd w:id="63"/>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36" w:lineRule="exact"/>
        <w:rPr>
          <w:sz w:val="20"/>
          <w:szCs w:val="20"/>
          <w:color w:val="auto"/>
        </w:rPr>
      </w:pPr>
    </w:p>
    <w:p>
      <w:pPr>
        <w:jc w:val="both"/>
        <w:ind w:firstLine="433"/>
        <w:spacing w:after="0" w:line="256" w:lineRule="auto"/>
        <w:rPr>
          <w:sz w:val="20"/>
          <w:szCs w:val="20"/>
          <w:color w:val="auto"/>
        </w:rPr>
      </w:pPr>
      <w:r>
        <w:rPr>
          <w:rFonts w:ascii="Times New Roman" w:cs="Times New Roman" w:eastAsia="Times New Roman" w:hAnsi="Times New Roman"/>
          <w:sz w:val="18"/>
          <w:szCs w:val="18"/>
          <w:color w:val="auto"/>
        </w:rPr>
        <w:t>The Company has $500 million of 4.2% senior unsecured notes due March 1, 2028 (the “2028 Notes”) with U.S. Bank National 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4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are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4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has a $10.0 million line of credit (“Credit Line”) with Bank of America, N.A. (“Bank of America”) for short-term liquidity needs and letters of credit, with a maturity date of June 30, 2024. The Credit Line allows the Company to borrow at an interest rate agreed to by Bank of America and the Company at the time each borrowing is made or continued. The Company had no borrowings outstanding under the Credit Line as of December 31, 2023. Outstanding letters of credit under the Credit Line were $7.3 million and available borrowing capacity was $2.7 million as of December 31, 2023.</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also had $8.1 million and $3.3 million of short-term unsecured loans outstanding, as of December 31, 2023 and 2022, respectively, related to its Colombia operations.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the Company was in compliance with all covenants under its debt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100" w:type="dxa"/>
            <w:vAlign w:val="bottom"/>
            <w:shd w:val="clear" w:color="auto" w:fill="CFF0FC"/>
          </w:tcPr>
          <w:p>
            <w:pPr>
              <w:spacing w:after="0"/>
              <w:rPr>
                <w:sz w:val="21"/>
                <w:szCs w:val="2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100" w:type="dxa"/>
            <w:vAlign w:val="bottom"/>
            <w:shd w:val="clear" w:color="auto" w:fill="CFF0FC"/>
          </w:tcPr>
          <w:p>
            <w:pPr>
              <w:spacing w:after="0"/>
              <w:rPr>
                <w:sz w:val="21"/>
                <w:szCs w:val="2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FF0FC"/>
          </w:tcPr>
          <w:p>
            <w:pPr>
              <w:spacing w:after="0"/>
              <w:rPr>
                <w:sz w:val="21"/>
                <w:szCs w:val="2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79,755</w:t>
            </w:r>
          </w:p>
        </w:tc>
        <w:tc>
          <w:tcPr>
            <w:tcW w:w="100" w:type="dxa"/>
            <w:vAlign w:val="bottom"/>
          </w:tcPr>
          <w:p>
            <w:pPr>
              <w:spacing w:after="0"/>
              <w:rPr>
                <w:sz w:val="20"/>
                <w:szCs w:val="20"/>
                <w:color w:val="auto"/>
              </w:rPr>
            </w:pPr>
          </w:p>
        </w:tc>
      </w:tr>
      <w:tr>
        <w:trPr>
          <w:trHeight w:val="240"/>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6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212,441</w:t>
            </w:r>
          </w:p>
        </w:tc>
        <w:tc>
          <w:tcPr>
            <w:tcW w:w="100" w:type="dxa"/>
            <w:vAlign w:val="bottom"/>
            <w:shd w:val="clear" w:color="auto" w:fill="CFF0FC"/>
          </w:tcPr>
          <w:p>
            <w:pPr>
              <w:spacing w:after="0"/>
              <w:rPr>
                <w:sz w:val="20"/>
                <w:szCs w:val="20"/>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(40,290 )</w:t>
            </w:r>
          </w:p>
        </w:tc>
      </w:tr>
      <w:tr>
        <w:trPr>
          <w:trHeight w:val="276"/>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3780" w:type="dxa"/>
            <w:vAlign w:val="bottom"/>
          </w:tcPr>
          <w:p>
            <w:pPr>
              <w:spacing w:after="0"/>
              <w:rPr>
                <w:sz w:val="24"/>
                <w:szCs w:val="24"/>
                <w:color w:val="auto"/>
              </w:rPr>
            </w:pPr>
          </w:p>
        </w:tc>
        <w:tc>
          <w:tcPr>
            <w:tcW w:w="604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78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4" w:name="page65"/>
    <w:bookmarkEnd w:id="64"/>
    <w:p>
      <w:pPr>
        <w:ind w:left="3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42,821</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(3,223 )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(1,032 )</w:t>
            </w:r>
          </w:p>
        </w:tc>
        <w:tc>
          <w:tcPr>
            <w:tcW w:w="60" w:type="dxa"/>
            <w:vAlign w:val="bottom"/>
          </w:tcPr>
          <w:p>
            <w:pPr>
              <w:spacing w:after="0"/>
              <w:rPr>
                <w:sz w:val="20"/>
                <w:szCs w:val="20"/>
                <w:color w:val="auto"/>
              </w:rPr>
            </w:pPr>
          </w:p>
        </w:tc>
      </w:tr>
      <w:tr>
        <w:trPr>
          <w:trHeight w:val="276"/>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2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806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2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9 years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9 years</w:t>
            </w:r>
          </w:p>
        </w:tc>
        <w:tc>
          <w:tcPr>
            <w:tcW w:w="3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-975360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-958215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-975360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-958215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Impairments and Other Charges</w:t>
      </w:r>
    </w:p>
    <w:p>
      <w:pPr>
        <w:spacing w:after="0" w:line="202" w:lineRule="exact"/>
        <w:rPr>
          <w:sz w:val="20"/>
          <w:szCs w:val="20"/>
          <w:color w:val="auto"/>
        </w:rPr>
      </w:pPr>
    </w:p>
    <w:p>
      <w:pPr>
        <w:jc w:val="both"/>
        <w:ind w:right="60" w:firstLine="374"/>
        <w:spacing w:after="0" w:line="220" w:lineRule="exact"/>
        <w:rPr>
          <w:sz w:val="20"/>
          <w:szCs w:val="20"/>
          <w:color w:val="auto"/>
        </w:rPr>
      </w:pPr>
      <w:r>
        <w:rPr>
          <w:rFonts w:ascii="Times New Roman" w:cs="Times New Roman" w:eastAsia="Times New Roman" w:hAnsi="Times New Roman"/>
          <w:sz w:val="18"/>
          <w:szCs w:val="18"/>
          <w:color w:val="auto"/>
        </w:rPr>
        <w:t>During the third quarter of 2021, the Company decided to exit the Hawaii marine transportation market, selling marine transportation equipment including four coastal tank barges, seven coastal tugboats, and certain other assets for aggregate cash proceeds of $17.2 million. In addition, as of September 30, 2021, the Company retired and classified as held for sale, an additional 12 coastal tank barges and four coastal tugboats which were underutilized. The sales and retirements of coastal marine transportation equipment resulted in an aggregate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of $97.5 million to reduce the carrying value of these assets to their estimated sales prices, net of costs to sell.</w:t>
      </w:r>
    </w:p>
    <w:p>
      <w:pPr>
        <w:spacing w:after="0" w:line="199"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As a result of the sale of the Hawaii marine transportation equipment, and the decision to retire certain additional underutilized coastal tank barges and tugboats, the Company concluded that a triggering event had occurred and performed interim quantitative impairment tests as of September 30, 2021 for certain of KMT’s long-lived assets and goodwill within the coastal marine market.</w:t>
      </w:r>
    </w:p>
    <w:p>
      <w:pPr>
        <w:spacing w:after="0" w:line="177"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Company determined the estimated fair value of such long-lived assets using a combination of a cost approach, a discounted cash flow analysis, and a market approach. The Company determined the estimated fair value of the reporting unit using a combination of a discounted cash flow analysis and a market approach for comparable companies. These analyses included management’s judgment regarding short-term and long-term internal forecasts, updated for recent events, appropriate discount rates, and capital expenditures using inputs characteristic of a Level 3 fair value measurement.</w:t>
      </w:r>
    </w:p>
    <w:p>
      <w:pPr>
        <w:spacing w:after="0" w:line="18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In performing the impairment test of certain long-lived assets within KMT, the Company determined that the carrying value of certain long-lived assets, including certain coastal marine transportation equipment and operating lease right-of-use assets, were no longer recoverable, resulting in a non-cash impairment charge of $24.2 million during the three months ended September 30, 2021 to reduce such long-lived assets to fair value.</w:t>
      </w:r>
    </w:p>
    <w:p>
      <w:pPr>
        <w:spacing w:after="0" w:line="177"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Based upon the results of the goodwill impairment test, the Company concluded that the carrying value of one reporting unit in KMT exceeded its estimated fair value. The carrying value of the reporting unit, including goodwill, and after recording impairments of long-lived assets identified above, exceeded its estimated fair value, resulting in a non-cash goodwill impairment charge of $219.1 million for the three months ended September 30,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Award Plans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 award plans and the income tax benefit recognized in the statement of earnings for stock awards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100" w:type="dxa"/>
            <w:vAlign w:val="bottom"/>
            <w:shd w:val="clear" w:color="auto" w:fill="CFF0FC"/>
          </w:tcPr>
          <w:p>
            <w:pPr>
              <w:spacing w:after="0"/>
              <w:rPr>
                <w:sz w:val="20"/>
                <w:szCs w:val="20"/>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RSUs, stock options, restricted stock awards, and performance awards. Restricted stock and RSUs generally vest ratably over five years, however, the plan includes a provision for the continued vesting of unvested stock options and RSUs for employees who meet certain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9" w:right="279" w:bottom="1440" w:gutter="0" w:footer="0" w:header="0"/>
        </w:sectPr>
      </w:pPr>
    </w:p>
    <w:bookmarkStart w:id="65" w:name="page66"/>
    <w:bookmarkEnd w:id="65"/>
    <w:p>
      <w:pPr>
        <w:jc w:val="both"/>
        <w:spacing w:after="0" w:line="265" w:lineRule="auto"/>
        <w:rPr>
          <w:sz w:val="20"/>
          <w:szCs w:val="20"/>
          <w:color w:val="auto"/>
        </w:rPr>
      </w:pPr>
      <w:r>
        <w:rPr>
          <w:rFonts w:ascii="Times New Roman" w:cs="Times New Roman" w:eastAsia="Times New Roman" w:hAnsi="Times New Roman"/>
          <w:sz w:val="18"/>
          <w:szCs w:val="18"/>
          <w:color w:val="auto"/>
        </w:rPr>
        <w:t>years of service and age requirements at the time of their retirement. The provision results in shorter expense accrual periods on stock options and RSUs granted to employees who are nearing retirement and meet the service and age requirements. At December 31, 2023, there were 2,045,694 shares available for future grants under the Plan.</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and no outstanding stock options under the employee plan were issued with stock appreciation rights.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396,165</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(117,896 )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(23,024 )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255,245</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0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108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4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23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$73.29 – $75.50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$84.90</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$64.89 – $84.90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255,245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-187960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There were no unvested restricted stock awards under the employee plan at December 31, 2023 and 2022 and no restricted stock awards were granted under the employee plan during 2023, 2022, and 2021.</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RSU activity under the employee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Unvested RSUs</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558,819</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(161,550 )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(27,105 )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554,604</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for the years ended December 31, 2023, 2022, and 2021 was $72.23, $66.13, and $51.36, respectively.</w:t>
      </w:r>
    </w:p>
    <w:p>
      <w:pPr>
        <w:spacing w:after="0" w:line="12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February 2024, the Company granted 164,793 RSUs to selected officers and other key employees under its employee stock award plan, which substantially all vest ratably over five years.</w:t>
      </w:r>
    </w:p>
    <w:p>
      <w:pPr>
        <w:spacing w:after="0" w:line="13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6" w:name="page67"/>
    <w:bookmarkEnd w:id="66"/>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stock issued after each annual meeting of stockholders vests six months after the date of grant. Options granted and restricted stock issued in lieu of cash director fees vest in equal quarterly increments during the year to which they relate. At December 31, 2023, 369,360 shares were available for future grants under the director plan. The director stock award plan is intended as an incentive to attract and retain qualified independent directors.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0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1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3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$70.65 – $73.57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$84.90 – $85.30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$70.65 – $99.52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w:t>
            </w: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(32,604 )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awards granted under the director plan for the years ended December 31, 2023, 2022, and 2021 were $72.67, $64.61, and $65.13, respectively.</w:t>
      </w:r>
    </w:p>
    <w:p>
      <w:pPr>
        <w:spacing w:after="0" w:line="122"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$1.5 million, $0.4 million, and $0.1 million for the years ended December 31, 2023, 2022, and 2021, respectively.</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total fair value of all the restricted stock vestings under all of the Company’s plans was $2.5 million, $3.2 million, and $5.3 million for the years ended December 31, 2023, 2022, and 2021, respectively. The actual tax benefit realized for tax deductions from restricted stock vestings was $0.6 million, $0.8 million, and $1.5 million for the years ended December 31, 2023, 2022, and 2021, respectively.</w:t>
      </w:r>
    </w:p>
    <w:p>
      <w:pPr>
        <w:spacing w:after="0" w:line="15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total fair value of all the RSU vestings under the Company’s employee plan was $10.9 million, $9.5 million, and $4.4 million for the years ended December 31, 2023, 2022, and 2021, respectively. The actual tax benefit realized for tax deductions from RSU vestings was $2.6 million, $2.4 million, and $1.2 million for the years ended December 31, 2023, 2022, and 2021,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7" w:name="page68"/>
    <w:bookmarkEnd w:id="67"/>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2023, there was $45,000 of unrecognized compensation cost related to restricted stock and $15.3 million related to nonvested RSUs. The restricted stock is expected to be recognized over a weighted average period of approximately 0.2 years and RSUs over approximately 2.7 years.</w:t>
      </w:r>
    </w:p>
    <w:p>
      <w:pPr>
        <w:spacing w:after="0" w:line="150"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There were no stock options granted under the employee plan during the years ended December 31, 2023, 2022, and 2021. The weighted average per share fair value of stock options granted under the director plan during the year ended December 31, 2023 was $32.33 and the fair value of the stock options was $0.1 million. There were no stock options granted under the director plan during the years ended December 31, 2022 and 2021. The Company currently uses treasury stock shares for restricted stock grants, RSU vestings, and stock option exercises. The fair value of each stock option was determined using the Black-Scholes option pricing model.</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input variables used in valuing the stock options granted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22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9080" w:type="dxa"/>
            <w:vAlign w:val="bottom"/>
          </w:tcPr>
          <w:p>
            <w:pPr>
              <w:spacing w:after="0"/>
              <w:rPr>
                <w:sz w:val="14"/>
                <w:szCs w:val="14"/>
                <w:color w:val="auto"/>
              </w:rPr>
            </w:pPr>
          </w:p>
        </w:tc>
        <w:tc>
          <w:tcPr>
            <w:tcW w:w="206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p>
        </w:tc>
      </w:tr>
      <w:tr>
        <w:trPr>
          <w:trHeight w:val="234"/>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8"/>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 volatility</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option term</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Taxes on Income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293,011</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(290,181 )</w:t>
            </w: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(290,601 )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(460 )</w:t>
            </w:r>
          </w:p>
        </w:tc>
      </w:tr>
      <w:tr>
        <w:trPr>
          <w:trHeight w:val="24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(48,843 )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(49,303 )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(511 )</w:t>
            </w:r>
          </w:p>
        </w:tc>
      </w:tr>
      <w:tr>
        <w:trPr>
          <w:trHeight w:val="223"/>
        </w:trPr>
        <w:tc>
          <w:tcPr>
            <w:tcW w:w="6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(44,419 )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(43,830 )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-2945130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-2945130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-1985645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-1985645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-1335405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-1335405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-675640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-658495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-675640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-658495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On November 13, 2021, the voters of the state of Louisiana approved a constitutional amendment that removed the corporate tax deduction for federal income taxes paid and lowered the corporate income tax rate from 8% to 7.5% effective January 1, 2022. The result of the amendment was an increase in the effective Louisiana state income tax rate, net of deduction for federal income tax, from 6.3% to 7.5%. As a result of the amendment, the Company recognized a one-time deferred tax provision of $5.7 million during the fourth quarter of 2021 due to remeasuring the Company’s Louisiana and U.S. deferred tax assets and liabilities based on the new effective Louisiana state income tax rate.</w:t>
      </w:r>
    </w:p>
    <w:p>
      <w:pPr>
        <w:spacing w:after="0" w:line="141"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During 2021, the Company received a tax refund of $119.5 million, including accrued interest, for its 2019 tax return related to net operating losses being carried back to offset taxable income generated between 2014 and 2017.</w:t>
      </w:r>
    </w:p>
    <w:p>
      <w:pPr>
        <w:spacing w:after="0" w:line="12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At December 31, 2022, the Company had a federal income tax receivable of $70.4 million, included in Accounts Receivable – Other on the balance sheet. In April 2023, the Company received its tax refund of $70.4 million plus accrued interest.</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0" w:right="279" w:bottom="1440" w:gutter="0" w:footer="0" w:header="0"/>
        </w:sectPr>
      </w:pPr>
    </w:p>
    <w:bookmarkStart w:id="68" w:name="page69"/>
    <w:bookmarkEnd w:id="68"/>
    <w:p>
      <w:pPr>
        <w:ind w:left="380"/>
        <w:spacing w:after="0"/>
        <w:rPr>
          <w:sz w:val="20"/>
          <w:szCs w:val="20"/>
          <w:color w:val="auto"/>
        </w:rPr>
      </w:pPr>
      <w:r>
        <w:rPr>
          <w:rFonts w:ascii="Times New Roman" w:cs="Times New Roman" w:eastAsia="Times New Roman" w:hAnsi="Times New Roman"/>
          <w:sz w:val="18"/>
          <w:szCs w:val="18"/>
          <w:color w:val="auto"/>
        </w:rPr>
        <w:t>The Company’s provision (benefit) for taxes on income varied from the statutory federal income tax rate due to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income tax statutory rate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21"/>
                <w:szCs w:val="21"/>
                <w:color w:val="auto"/>
              </w:rPr>
            </w:pPr>
          </w:p>
        </w:tc>
      </w:tr>
      <w:tr>
        <w:trPr>
          <w:trHeight w:val="24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60" w:type="dxa"/>
            <w:vAlign w:val="bottom"/>
          </w:tcPr>
          <w:p>
            <w:pPr>
              <w:spacing w:after="0"/>
              <w:rPr>
                <w:sz w:val="21"/>
                <w:szCs w:val="2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65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accruals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defined benefit plans</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(9,982 )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(5,532 )</w:t>
            </w: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52,847</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79,699</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shd w:val="clear" w:color="auto" w:fill="CFF0FC"/>
          </w:tcPr>
          <w:p>
            <w:pPr>
              <w:spacing w:after="0"/>
              <w:rPr>
                <w:sz w:val="21"/>
                <w:szCs w:val="21"/>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20"/>
                <w:szCs w:val="20"/>
                <w:color w:val="auto"/>
              </w:rPr>
            </w:pPr>
          </w:p>
        </w:tc>
      </w:tr>
      <w:tr>
        <w:trPr>
          <w:trHeight w:val="240"/>
        </w:trPr>
        <w:tc>
          <w:tcPr>
            <w:tcW w:w="8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128,401</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168,242</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(22,073 )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(19,960 )</w:t>
            </w:r>
          </w:p>
        </w:tc>
      </w:tr>
      <w:tr>
        <w:trPr>
          <w:trHeight w:val="236"/>
        </w:trPr>
        <w:tc>
          <w:tcPr>
            <w:tcW w:w="8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106,328</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(695,233 )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(671,830 )</w:t>
            </w: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state taxes</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(90,457 )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(87,445 )</w:t>
            </w:r>
          </w:p>
        </w:tc>
      </w:tr>
      <w:tr>
        <w:trPr>
          <w:trHeight w:val="24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(17,195 )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(14,891 )</w:t>
            </w:r>
          </w:p>
        </w:tc>
      </w:tr>
      <w:tr>
        <w:trPr>
          <w:trHeight w:val="20"/>
        </w:trPr>
        <w:tc>
          <w:tcPr>
            <w:tcW w:w="8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(802,885 )</w:t>
            </w: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(774,166 )</w:t>
            </w:r>
          </w:p>
        </w:tc>
      </w:tr>
      <w:tr>
        <w:trPr>
          <w:trHeight w:val="20"/>
        </w:trPr>
        <w:tc>
          <w:tcPr>
            <w:tcW w:w="8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82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(696,557 )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(625,884 )</w:t>
            </w:r>
          </w:p>
        </w:tc>
      </w:tr>
      <w:tr>
        <w:trPr>
          <w:trHeight w:val="20"/>
        </w:trPr>
        <w:tc>
          <w:tcPr>
            <w:tcW w:w="8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-975360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During 2023, the Company generated federal taxable income which was completely offset by federal net operating loss carryforwards. The Company had federal operating loss deferred tax assets of $19.8 million and $47.9 million at December 31, 2023 and 2022, respectively.</w:t>
      </w:r>
    </w:p>
    <w:p>
      <w:pPr>
        <w:spacing w:after="0" w:line="136"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Company had state operating loss deferred tax assets of $27.2 million and $26.6 million at December 31, 2023 and 2022, respectively. The valuation allowance for state deferred tax assets as of December 31, 2023 and 2022 was $17.0 million and $14.8 million, respectively, related to the Company’s state net operating loss carryforwards based on the Company’s determination that it is more likely than not that the deferred tax assets will not be realized. Expiration of these state net operating loss carryforwards vary by state through 2030 and none will expire in fiscal 2024.</w:t>
      </w:r>
    </w:p>
    <w:p>
      <w:pPr>
        <w:spacing w:after="0" w:line="141"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2023 and 2022, the Company had a Canadian net operating loss carryforward of $5.1 million which expires between 2037 and 2043. A full valuation allowance has been provided for this asset.</w:t>
      </w:r>
    </w:p>
    <w:p>
      <w:pPr>
        <w:spacing w:after="0" w:line="122"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United States federal jurisdiction and various state jurisdictions. During the first quarter of 2023, the Internal Revenue Service (“IRS”) communicated to the Company that it had completed its examination of the Company’s federal income tax returns for the years 2013 through 2020. With few exceptions, the Company and its subsidiaries’ state income tax returns are open to audit under the statute of limitations for the 2017 through 2022 tax years.</w:t>
      </w:r>
    </w:p>
    <w:p>
      <w:pPr>
        <w:spacing w:after="0" w:line="155"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provided a liability of $0.8 million for unrecognized tax benefits related to various income tax issues which includes interest and penalties. The amount that would impact the Company’s effective tax rate, if recognized, is $0.7 million,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2024 due to the uncertainty of possible examination results.</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0" w:right="279" w:bottom="1440" w:gutter="0" w:footer="0" w:header="0"/>
        </w:sectPr>
      </w:pPr>
    </w:p>
    <w:bookmarkStart w:id="69" w:name="page70"/>
    <w:bookmarkEnd w:id="69"/>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unrecognized tax benefits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(340 )</w:t>
            </w:r>
          </w:p>
        </w:tc>
      </w:tr>
      <w:tr>
        <w:trPr>
          <w:trHeight w:val="276"/>
        </w:trPr>
        <w:tc>
          <w:tcPr>
            <w:tcW w:w="6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The Company had $0.2 million of accrued liabilities for the payment of interest and penalties at both December 31, 2023 and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(loss)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1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(246,954 )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basic</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(246,954 )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(246,954 )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60,099</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60,038</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-1977390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-1977390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-692785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-675640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-692785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-675640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Diluted earnings per share was computed using the treasury stock method. Certain outstanding options to purchase approximately 33,000, 381,000, and 567,000 shares of common stock were excluded in the computation of diluted earnings per share as of December 31, 2023, 2022, and 2021, respectively, as such stock options would have been antidilutive. Certain outstanding RSUs to convert to 7,000 shares of common stock were also excluded in the computation of diluted earnings per share as of December 31, 2021 as such RSUs would have been antidilutive. No RSUs were antidilutive at December 31, 2023 and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Inventories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358,702</w:t>
            </w:r>
          </w:p>
        </w:tc>
        <w:tc>
          <w:tcPr>
            <w:tcW w:w="100" w:type="dxa"/>
            <w:vAlign w:val="bottom"/>
            <w:shd w:val="clear" w:color="auto" w:fill="CFF0FC"/>
          </w:tcPr>
          <w:p>
            <w:pPr>
              <w:spacing w:after="0"/>
              <w:rPr>
                <w:sz w:val="20"/>
                <w:szCs w:val="20"/>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103,339</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100" w:type="dxa"/>
            <w:vAlign w:val="bottom"/>
          </w:tcPr>
          <w:p>
            <w:pPr>
              <w:spacing w:after="0"/>
              <w:rPr>
                <w:sz w:val="20"/>
                <w:szCs w:val="20"/>
                <w:color w:val="auto"/>
              </w:rPr>
            </w:pPr>
          </w:p>
        </w:tc>
      </w:tr>
      <w:tr>
        <w:trPr>
          <w:trHeight w:val="276"/>
        </w:trPr>
        <w:tc>
          <w:tcPr>
            <w:tcW w:w="8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88"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0" w:name="page71"/>
    <w:bookmarkEnd w:id="70"/>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the Kirby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$8.2 million, $0.9 million and $0.5 million for the years ended December 31, 2023, 2022 and 2021, respectively.</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$375.9 million and $341.1 million at December 31, 2023 and 2022, respectively. Pension assets were allocated among asset categories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left="678"/>
              <w:spacing w:after="0" w:line="149" w:lineRule="exact"/>
              <w:rPr>
                <w:sz w:val="20"/>
                <w:szCs w:val="20"/>
                <w:color w:val="auto"/>
              </w:rPr>
            </w:pPr>
            <w:r>
              <w:rPr>
                <w:rFonts w:ascii="Times New Roman" w:cs="Times New Roman" w:eastAsia="Times New Roman" w:hAnsi="Times New Roman"/>
                <w:sz w:val="14"/>
                <w:szCs w:val="14"/>
                <w:b w:val="1"/>
                <w:bCs w:val="1"/>
                <w:color w:val="auto"/>
              </w:rPr>
              <w:t>Minimum, Target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2"/>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and Maximum</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Borders>
              <w:bottom w:val="single" w:sz="8" w:color="auto"/>
            </w:tcBorders>
            <w:gridSpan w:val="2"/>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Allocation Policy</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9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9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50%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7"/>
              </w:rPr>
              <w:t>— 55%</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20%</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28%</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9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30%</w:t>
            </w:r>
          </w:p>
        </w:tc>
        <w:tc>
          <w:tcPr>
            <w:tcW w:w="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7"/>
              </w:rPr>
              <w:t>— 40%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52"/>
        </w:trPr>
        <w:tc>
          <w:tcPr>
            <w:tcW w:w="50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9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-24765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-7620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At December 31, 2022, $4.8 million was held in cash as well as debt and equity securities classified within Level 1 of the valuation hierarchy. There were no investments within Level 3 of the valuation hierarchy at December 31, 2023 and 2022. All other plan assets are invested in common collective trusts and valued using the net asset value per share practical expedient and therefore not valued within the valuation hierarchy.</w:t>
      </w:r>
    </w:p>
    <w:p>
      <w:pPr>
        <w:spacing w:after="0" w:line="15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3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6.75% in both 2023 and 2022.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1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115% of the pension plans’ accumulated benefit obligation at December 31, 2023, including both the Kirby Pension Plan and the Higman Pension Plan.</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1" w:name="page72"/>
    <w:bookmarkEnd w:id="71"/>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change in benefit obligation and plan assets for the Company’s defined benefit plans and postretirement benefit plan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3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40" w:type="dxa"/>
            <w:vAlign w:val="bottom"/>
            <w:gridSpan w:val="2"/>
          </w:tcPr>
          <w:p>
            <w:pPr>
              <w:spacing w:after="0"/>
              <w:rPr>
                <w:sz w:val="14"/>
                <w:szCs w:val="14"/>
                <w:color w:val="auto"/>
              </w:rPr>
            </w:pPr>
          </w:p>
        </w:tc>
      </w:tr>
      <w:tr>
        <w:trPr>
          <w:trHeight w:val="169"/>
        </w:trPr>
        <w:tc>
          <w:tcPr>
            <w:tcW w:w="3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339,509</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495,272</w:t>
            </w:r>
          </w:p>
        </w:tc>
        <w:tc>
          <w:tcPr>
            <w:tcW w:w="2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Actuarial (gain) loss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(158,816 )</w:t>
            </w: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(74 )</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40" w:type="dxa"/>
            <w:vAlign w:val="bottom"/>
          </w:tcPr>
          <w:p>
            <w:pPr>
              <w:spacing w:after="0"/>
              <w:rPr>
                <w:sz w:val="20"/>
                <w:szCs w:val="20"/>
                <w:color w:val="auto"/>
              </w:rPr>
            </w:pPr>
          </w:p>
        </w:tc>
      </w:tr>
      <w:tr>
        <w:trPr>
          <w:trHeight w:val="21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benefits paid</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(32,052 )</w:t>
            </w:r>
          </w:p>
        </w:tc>
        <w:tc>
          <w:tcPr>
            <w:tcW w:w="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(12,665 )</w:t>
            </w: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(155 )</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(109 )</w:t>
            </w:r>
          </w:p>
        </w:tc>
        <w:tc>
          <w:tcPr>
            <w:tcW w:w="40" w:type="dxa"/>
            <w:vAlign w:val="bottom"/>
          </w:tcPr>
          <w:p>
            <w:pPr>
              <w:spacing w:after="0"/>
              <w:rPr>
                <w:sz w:val="18"/>
                <w:szCs w:val="18"/>
                <w:color w:val="auto"/>
              </w:rPr>
            </w:pPr>
          </w:p>
        </w:tc>
      </w:tr>
      <w:tr>
        <w:trPr>
          <w:trHeight w:val="242"/>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Settlements</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(5,599 )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3"/>
        </w:trPr>
        <w:tc>
          <w:tcPr>
            <w:tcW w:w="3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342,749</w:t>
            </w: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339,509</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 at end of year</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326,987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325,274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assumption used to determine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at end of year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5.5 %</w:t>
            </w:r>
          </w:p>
        </w:tc>
        <w:tc>
          <w:tcPr>
            <w:tcW w:w="3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21"/>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Service-based</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Service-based</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3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Health care cost trend rate</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Initial rate</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6.25 %</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29"/>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Ultimate rate</w:t>
            </w: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39"/>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Years to ultimate</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430,821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(72,402 )</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Employer contribution</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benefits paid</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(32,052 )</w:t>
            </w:r>
          </w:p>
        </w:tc>
        <w:tc>
          <w:tcPr>
            <w:tcW w:w="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(12,665 )</w:t>
            </w: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(155 )</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(109 )</w:t>
            </w:r>
          </w:p>
        </w:tc>
        <w:tc>
          <w:tcPr>
            <w:tcW w:w="40" w:type="dxa"/>
            <w:vAlign w:val="bottom"/>
          </w:tcPr>
          <w:p>
            <w:pPr>
              <w:spacing w:after="0"/>
              <w:rPr>
                <w:sz w:val="18"/>
                <w:szCs w:val="18"/>
                <w:color w:val="auto"/>
              </w:rPr>
            </w:pPr>
          </w:p>
        </w:tc>
      </w:tr>
      <w:tr>
        <w:trPr>
          <w:trHeight w:val="24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(5,599 )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3"/>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375,917</w:t>
            </w: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-2199640</wp:posOffset>
            </wp:positionV>
            <wp:extent cx="7132320" cy="145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-3115945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-3115945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-3115945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-3115945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-3115945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-3115945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-179070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-179070</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-179070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-179070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right="4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discount rate was 5.1% for the Kirby Pension Plan and 5.2% for the Higman Pension Plan. The 2022 discount rate was 5.5% for both the Kirby Pension Plan and the Higman Pension Plan.</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ending December 31, 2023, actual returns on plan assets performed better than expected which improved the funding position.</w:t>
      </w:r>
    </w:p>
    <w:p>
      <w:pPr>
        <w:spacing w:after="0" w:line="184"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During the year ending December 31, 2022, actual returns on plan assets performed less than expected which deteriorated the funding position but the overall funded position at December 31, 2022 was improved due to a decrease in the benefit obligation primarily due to an increase in the discount rate.</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60" w:right="299" w:bottom="1440" w:gutter="0" w:footer="0" w:header="0"/>
        </w:sectPr>
      </w:pPr>
    </w:p>
    <w:bookmarkStart w:id="72" w:name="page73"/>
    <w:bookmarkEnd w:id="72"/>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funded status and amounts recognized in the Company’s consolidated balance sheet for the Company’s defined benefit plans and postretirement benefit plan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3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6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Funded status at end of year</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375,917</w:t>
            </w:r>
          </w:p>
        </w:tc>
        <w:tc>
          <w:tcPr>
            <w:tcW w:w="260" w:type="dxa"/>
            <w:vAlign w:val="bottom"/>
          </w:tcPr>
          <w:p>
            <w:pPr>
              <w:spacing w:after="0"/>
              <w:rPr>
                <w:sz w:val="19"/>
                <w:szCs w:val="19"/>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6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Benefit obligations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(342,749 )</w:t>
            </w: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(339,509 )</w:t>
            </w: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(814 )</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(833 )</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(415 )</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(432 )</w:t>
            </w:r>
          </w:p>
        </w:tc>
      </w:tr>
      <w:tr>
        <w:trPr>
          <w:trHeight w:val="23"/>
        </w:trPr>
        <w:tc>
          <w:tcPr>
            <w:tcW w:w="38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Funded status and amount recognized at end of year</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33,168</w:t>
            </w:r>
          </w:p>
        </w:tc>
        <w:tc>
          <w:tcPr>
            <w:tcW w:w="260" w:type="dxa"/>
            <w:vAlign w:val="bottom"/>
          </w:tcPr>
          <w:p>
            <w:pPr>
              <w:spacing w:after="0"/>
              <w:rPr>
                <w:sz w:val="19"/>
                <w:szCs w:val="19"/>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6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(814 )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(833 )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(432 )</w:t>
            </w: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Noncurrent asset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42,698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liability</w:t>
            </w:r>
          </w:p>
        </w:tc>
        <w:tc>
          <w:tcPr>
            <w:tcW w:w="2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(106 )</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(46 )</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r>
      <w:tr>
        <w:trPr>
          <w:trHeight w:val="23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liability</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(9,530 )</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(17,143 )</w:t>
            </w: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(708 )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(727 )</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(369 )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(383 )</w:t>
            </w:r>
          </w:p>
        </w:tc>
      </w:tr>
      <w:tr>
        <w:trPr>
          <w:trHeight w:val="229"/>
        </w:trPr>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accumulated other</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actuarial (gain)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(48,033 )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(25,449 )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4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(2,299 )</w:t>
            </w:r>
          </w:p>
        </w:tc>
      </w:tr>
      <w:tr>
        <w:trPr>
          <w:trHeight w:val="232"/>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compensation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(48,033 )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(25,449 )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4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(2,299 )</w:t>
            </w: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-1925955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-1925955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-1925955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-1925955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-1925955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-179070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-179070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-179070</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-179070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expected cash flows for the Company’s defined benefit plans and postretirement benefit plan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3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SERP</w:t>
            </w:r>
          </w:p>
        </w:tc>
        <w:tc>
          <w:tcPr>
            <w:tcW w:w="7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employer contributions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 (gross)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one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two</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three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four</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five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Next five years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r>
      <w:tr>
        <w:trPr>
          <w:trHeight w:val="607"/>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3" w:name="page74"/>
    <w:bookmarkEnd w:id="73"/>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plan assets and benefit obligations recognized in other comprehensive income for the Company’s defined benefit plans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SERP</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net periodic benefit cost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26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2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(22,910 )</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(28,399 )</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(26,244 )</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(859 )</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(7,048 )</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changes in plan assets and benefit obligations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recognized in other comprehensive income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year actuarial (gain) loss</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(22,583 )</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(58,015 )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(44,583 )</w:t>
            </w: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Recognition of actuarial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(34 )</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(4,193 )</w:t>
            </w:r>
          </w:p>
        </w:tc>
        <w:tc>
          <w:tcPr>
            <w:tcW w:w="3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(23 )</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(30 )</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(22,583 )</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(58,049 )</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(48,776 )</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(104 )</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net periodic benefit cost and</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(23,442 )</w:t>
            </w:r>
          </w:p>
        </w:tc>
        <w:tc>
          <w:tcPr>
            <w:tcW w:w="16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(65,097 )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(48,627 )</w:t>
            </w:r>
          </w:p>
        </w:tc>
        <w:tc>
          <w:tcPr>
            <w:tcW w:w="360" w:type="dxa"/>
            <w:vAlign w:val="bottom"/>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shd w:val="clear" w:color="auto" w:fill="CFF0FC"/>
          </w:tcPr>
          <w:p>
            <w:pPr>
              <w:spacing w:after="0"/>
              <w:rPr>
                <w:sz w:val="17"/>
                <w:szCs w:val="17"/>
                <w:color w:val="auto"/>
              </w:rPr>
            </w:pP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(45 )</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assumptions used to determine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 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4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6.75 %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6.75 %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Service-based</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Service-based</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Service-based</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table</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table</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-2427605</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-2427605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-2427605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-2427605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-2427605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-2427605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-1399540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-1399540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-1399540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-1399540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-1399540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-997585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-980440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-997585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-980440</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-997585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-980440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-997585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-980440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-997585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-980440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-997585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-980440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ind w:left="760" w:right="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discount rate for benefit cost is 5.5% for both the Kirby Pension Plan and the Higman Pension Plan. The 2022 discount rate for benefit cost is 3.0% for the Kirby Pension Plan and 3.1% for the Higman Pension Plan.</w:t>
      </w:r>
    </w:p>
    <w:p>
      <w:pPr>
        <w:spacing w:after="0" w:line="136"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benefit obligations recognized in other comprehensive income for the Company’s postretirement benefit plan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8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(344 )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Pr>
          <w:p>
            <w:pPr>
              <w:spacing w:after="0"/>
              <w:rPr>
                <w:sz w:val="20"/>
                <w:szCs w:val="20"/>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(322 )</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changes in benefit obligations recognized in other comprehensive income</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year actuarial loss (gain)</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actuarial gain</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8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8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vMerge w:val="continue"/>
            <w:shd w:val="clear" w:color="auto" w:fill="CFF0FC"/>
          </w:tcPr>
          <w:p>
            <w:pPr>
              <w:spacing w:after="0"/>
              <w:rPr>
                <w:sz w:val="21"/>
                <w:szCs w:val="21"/>
                <w:color w:val="auto"/>
              </w:rPr>
            </w:pPr>
          </w:p>
        </w:tc>
        <w:tc>
          <w:tcPr>
            <w:tcW w:w="460" w:type="dxa"/>
            <w:vAlign w:val="bottom"/>
            <w:vMerge w:val="continue"/>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vMerge w:val="continue"/>
            <w:shd w:val="clear" w:color="auto" w:fill="CFF0FC"/>
          </w:tcPr>
          <w:p>
            <w:pPr>
              <w:spacing w:after="0"/>
              <w:rPr>
                <w:sz w:val="21"/>
                <w:szCs w:val="21"/>
                <w:color w:val="auto"/>
              </w:rPr>
            </w:pPr>
          </w:p>
        </w:tc>
        <w:tc>
          <w:tcPr>
            <w:tcW w:w="1260" w:type="dxa"/>
            <w:vAlign w:val="bottom"/>
            <w:gridSpan w:val="2"/>
            <w:vMerge w:val="continue"/>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rate</w:t>
            </w:r>
          </w:p>
        </w:tc>
        <w:tc>
          <w:tcPr>
            <w:tcW w:w="88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6.50 %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Ultimate rate</w:t>
            </w:r>
          </w:p>
        </w:tc>
        <w:tc>
          <w:tcPr>
            <w:tcW w:w="88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Years to ultimate</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6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6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-1181100</wp:posOffset>
            </wp:positionV>
            <wp:extent cx="7132320"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-3355975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-3355975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-2405380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-2405380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-1977390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-1960245</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-1977390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-1960245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60" w:right="279" w:bottom="829" w:gutter="0" w:footer="0" w:header="0"/>
        </w:sectPr>
      </w:pPr>
    </w:p>
    <w:bookmarkStart w:id="74" w:name="page75"/>
    <w:bookmarkEnd w:id="74"/>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vessel crew members of its coastal operations and expires on April 30, 2025. The Company began participation in the Seafarers Pension Trust (“SPT”) with the Penn Maritime, Inc. acquisition on December 14, 2012.</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Contributions to the SPT are made currently based on a per day worked basis and charged to expense as incurred and included in costs of sales and operating expenses in the consolidated statement of earnings. During 2023 and 2022, the Company made contributions of $0.4 million and $0.5 million, respectively, to the SPT. The Company’s contributions to the SPT did not exceed 5% of total contributions to the SPT in 2022. Total contributions for 2023 are not yet available. The Company did not pay any material surcharges in 2023 and 2022.</w:t>
      </w:r>
    </w:p>
    <w:p>
      <w:pPr>
        <w:spacing w:after="0" w:line="14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federal identification number of the SPT is 13-6100329 and the Certified Zone Status is Green at December 31, 2022. The Company’s future minimum contribution requirements under the SPT are unavailable because actuarial reports for the 2023 plan year are not yet complete and such contributions are subject to negotiations between the employers and the unions. The SPT was not in endangered or critical status for the 2022 plan year, the latest period for which a report is available, as the funded status was in excess of 100%. Based on the most recent communication from the SPT, there would be no withdrawal liability if the Company chose to withdraw from the SPT although the Company currently has no intention of terminating its participation in the SPT.</w:t>
      </w:r>
    </w:p>
    <w:p>
      <w:pPr>
        <w:spacing w:after="0" w:line="14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employees of KDS in New Jersey and expires on October 8, 2028. The Company began participation in the Central Pension Fund of the International Union of Operating Engineers and Participating Employers (“CPF”) with the Stewart &amp; Stevenson LLC acquisition on September 13, 2017.</w:t>
      </w:r>
    </w:p>
    <w:p>
      <w:pPr>
        <w:spacing w:after="0" w:line="15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2023 and 2022, the Company made contributions of $0.6 and $0.7 million, respectively, to the CPF. Total contributions for the 2023 plan year are not yet available. The Company did not pay any material surcharges in 2023 and 2022.</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federal identification number of the CPF is 36-6052390 and the Certified Zone Status is Green at January 31, 2024. The Company’s future minimum contribution requirements under the CPF are unavailable because actuarial reports for the 2023 plan year, which ended January 31, 2024, are not yet complete and such contributions are subject to negotiations between the employers and the unions. The CPF was not in endangered or critical status for the 2022 plan year, ending January 31, 2023, the latest period for which a report is available, as the funded status was 107%. There would be no withdrawal liability if the Company chose to withdraw from the CPF although the Company currently has no intention of terminating its participation in the CPF.</w:t>
      </w:r>
    </w:p>
    <w:p>
      <w:pPr>
        <w:spacing w:after="0" w:line="14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 addition to the defined benefit plans, the Company sponsors various defined contribution plans for substantially all employees. The aggregate contributions to the plans were $26.9 million, $27.9 million, and $25.9 million in 2023, 2022, and 2021,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8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80" w:type="dxa"/>
            <w:vAlign w:val="bottom"/>
          </w:tcPr>
          <w:p>
            <w:pPr>
              <w:spacing w:after="0"/>
              <w:rPr>
                <w:sz w:val="11"/>
                <w:szCs w:val="11"/>
                <w:color w:val="auto"/>
              </w:rPr>
            </w:pP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2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(a):</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(321 )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(5,467 )</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58,147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(14,030 )</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(10,774 )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(1,049 )</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(1,049 )</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(1,061 )</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(1,061 )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(5,389 )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56,768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(13,949 )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47,212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(11,726 )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-24765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-7620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-24765</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-7620</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540" w:right="3220" w:hanging="5158"/>
        <w:spacing w:after="0" w:line="484" w:lineRule="auto"/>
        <w:tabs>
          <w:tab w:leader="none" w:pos="7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12 – Retirement Plans)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(14) Contingencies and Commitments</w:t>
      </w:r>
    </w:p>
    <w:p>
      <w:pPr>
        <w:spacing w:after="0" w:line="20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2009, the Company was named by the Environmental Protection Agency (the “EPA”) as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2015, the Company was served as a defendant in a Complaint originally filed on August 14, 2014, in the U.S. District Court of the Southern District of Texas - Houston Division, </w:t>
      </w:r>
      <w:r>
        <w:rPr>
          <w:rFonts w:ascii="Times New Roman" w:cs="Times New Roman" w:eastAsia="Times New Roman" w:hAnsi="Times New Roman"/>
          <w:sz w:val="18"/>
          <w:szCs w:val="18"/>
          <w:i w:val="1"/>
          <w:iCs w:val="1"/>
          <w:color w:val="auto"/>
        </w:rPr>
        <w:t>USOR Site PRP Group vs. A&amp;M Contractors, USES, Inc. et al.</w:t>
      </w:r>
      <w:r>
        <w:rPr>
          <w:rFonts w:ascii="Times New Roman" w:cs="Times New Roman" w:eastAsia="Times New Roman" w:hAnsi="Times New Roman"/>
          <w:sz w:val="18"/>
          <w:szCs w:val="18"/>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1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13, 2016, the Company, as a successor to Hollywood Marine, Inc.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15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With respect to the above sites, the Company has accrued a liability,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13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6" w:name="page77"/>
    <w:bookmarkEnd w:id="76"/>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Significant Risks and Uncertainties. </w:t>
      </w:r>
      <w:r>
        <w:rPr>
          <w:rFonts w:ascii="Times New Roman" w:cs="Times New Roman" w:eastAsia="Times New Roman" w:hAnsi="Times New Roman"/>
          <w:sz w:val="18"/>
          <w:szCs w:val="18"/>
          <w:color w:val="auto"/>
        </w:rPr>
        <w:t>The preparation of financial statements in conformity with United States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$26.7 million at December 31, 2023, including $12.1 million in letters of credit and $14.6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0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David W. Grzebinski, President and Chief Executive Officer of the Company, is a member of the board of directors for ABS, a not-for-profit that provides global classification services to the marine, offshore and gas industries. The Company paid ABS $1.5 million in 2023, $1.3 million in 2022, and $1.6 million in 2021 to perform audits and surveys of the Company’s vessels in the ordinary course of business.</w:t>
      </w:r>
    </w:p>
    <w:p>
      <w:pPr>
        <w:spacing w:after="0" w:line="13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Mr. Grzebinski is a member of the board of directors of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Standard Mutual. The Company paid $3.6 million during 2023 in premiums for coverage in the 2023-2024 policy period, $3.4 million during 2022 in premiums for coverage in the 2022-2023 policy period, and $3.2 million in 2021 in premiums for coverage in the 2021-2022 policy period in the ordinary course of business.</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Amy D. Husted, Vice President, General Counsel and Secretary of the Company, is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$0.7 million in 2023, $0.5 million in 2022 and $0.6 million in 2021 in the ordinary course of business.</w:t>
      </w:r>
    </w:p>
    <w:p>
      <w:pPr>
        <w:spacing w:after="0" w:line="1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husband of Ms. Husted is a partner in the law firm of Clark Hill PLC. The Company paid the law firm $0.9 million in 2023, $1.0 million in 2022, and $2.9 million in 2021 for legal services in connection with matters in the ordinary course of business.</w:t>
      </w:r>
    </w:p>
    <w:p>
      <w:pPr>
        <w:spacing w:after="0" w:line="12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brother of Christian G. O’Neil, President of Kirby Inland Marine, LP, Kirby Offshore Marine, LLC, San Jac Marine, LLC and Kirby Offshore Wind, LLC, is a partner in the law firm of W. Sean O’Neil Attorney at Law. The Company paid the law firm $0.1 million in 2023, $0.1 million in 2022, and $0.1 million in 2021 for legal services in the ordinary course of business.</w:t>
      </w:r>
    </w:p>
    <w:p>
      <w:pPr>
        <w:spacing w:after="0" w:line="13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Rocky B. Dewbre, a director of the Company, serves as President and Chief Operating Officer of Mansfield Service Partners. Mansfield Service Partners is under the same common control as O’Rourke Marine Services (“O’Rourke”), a distributor of lubricants, fuels, and environmental services. The Company paid O’Rourke $29.4 million in 2023 in the ordinary course of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00"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Part III of this report on pages 49 to 77:</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LLP, Houston, TX, PCAOB ID 185).</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Balance Sheets, December 31, 2023 and 2022.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December 31, 2023, 2022, and 2021.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2022, and 2021.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2023, 2022, and 2021.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Financial Statement Schedules</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All schedules are omitted as the required information is inapplicable or the information is presented in the consolidated financial statements or related notes.</w:t>
      </w:r>
    </w:p>
    <w:p>
      <w:pPr>
        <w:spacing w:after="0" w:line="120"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40" w:type="dxa"/>
            <w:vAlign w:val="bottom"/>
            <w:gridSpan w:val="11"/>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64"/>
        </w:trPr>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740" w:type="dxa"/>
            <w:vAlign w:val="bottom"/>
            <w:tcBorders>
              <w:bottom w:val="single" w:sz="8" w:color="auto"/>
            </w:tcBorders>
            <w:gridSpan w:val="11"/>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2"/>
        </w:trPr>
        <w:tc>
          <w:tcPr>
            <w:tcW w:w="10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8"/>
            <w:shd w:val="clear" w:color="auto" w:fill="CFF0FC"/>
          </w:tcPr>
          <w:p>
            <w:pPr>
              <w:ind w:left="80"/>
              <w:spacing w:after="0" w:line="18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4">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940" w:type="dxa"/>
            <w:vAlign w:val="bottom"/>
            <w:tcBorders>
              <w:top w:val="single" w:sz="8" w:color="0000FF"/>
              <w:bottom w:val="single" w:sz="8" w:color="0000FF"/>
            </w:tcBorders>
            <w:gridSpan w:val="9"/>
            <w:shd w:val="clear" w:color="auto" w:fill="CFF0FC"/>
          </w:tcPr>
          <w:p>
            <w:pPr>
              <w:spacing w:after="0" w:line="195" w:lineRule="exact"/>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Registrant’s Annual Report on Form 10-K for the year ended December 31, 2014).</w:t>
              </w:r>
            </w:hyperlink>
          </w:p>
        </w:tc>
        <w:tc>
          <w:tcPr>
            <w:tcW w:w="3920" w:type="dxa"/>
            <w:vAlign w:val="bottom"/>
            <w:tcBorders>
              <w:top w:val="single" w:sz="8" w:color="0000FF"/>
              <w:bottom w:val="single" w:sz="8" w:color="CFF0FC"/>
            </w:tcBorders>
            <w:gridSpan w:val="7"/>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5">
              <w:r>
                <w:rPr>
                  <w:rFonts w:ascii="Times New Roman" w:cs="Times New Roman" w:eastAsia="Times New Roman" w:hAnsi="Times New Roman"/>
                  <w:sz w:val="18"/>
                  <w:szCs w:val="18"/>
                  <w:color w:val="0000FF"/>
                </w:rPr>
                <w:t>Bylaws of the Company with all amendments to date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Form 8-K filed with the Commission on October 28,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18"/>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See Exhibits 3.1 and 3.2 hereof for provisions of our Restated Articles of Incorporation of the Company with all amendments to date and</w:t>
            </w:r>
          </w:p>
        </w:tc>
        <w:tc>
          <w:tcPr>
            <w:tcW w:w="0" w:type="dxa"/>
            <w:vAlign w:val="bottom"/>
          </w:tcPr>
          <w:p>
            <w:pPr>
              <w:spacing w:after="0"/>
              <w:rPr>
                <w:sz w:val="1"/>
                <w:szCs w:val="1"/>
                <w:color w:val="auto"/>
              </w:rPr>
            </w:pPr>
          </w:p>
        </w:tc>
      </w:tr>
      <w:tr>
        <w:trPr>
          <w:trHeight w:val="194"/>
        </w:trPr>
        <w:tc>
          <w:tcPr>
            <w:tcW w:w="10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860" w:type="dxa"/>
            <w:vAlign w:val="bottom"/>
            <w:gridSpan w:val="16"/>
            <w:shd w:val="clear" w:color="auto" w:fill="CFF0FC"/>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the Company with all amendments to date (incorporated, respectively, by reference to Exhibit </w:t>
            </w:r>
            <w:hyperlink r:id="rId48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10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20" w:type="dxa"/>
            <w:vAlign w:val="bottom"/>
            <w:gridSpan w:val="2"/>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tcBorders>
              <w:right w:val="single" w:sz="8" w:color="0000EE"/>
            </w:tcBorders>
            <w:shd w:val="clear" w:color="auto" w:fill="CFF0FC"/>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860" w:type="dxa"/>
            <w:vAlign w:val="bottom"/>
            <w:gridSpan w:val="16"/>
            <w:shd w:val="clear" w:color="auto" w:fill="CFF0FC"/>
          </w:tcPr>
          <w:p>
            <w:pPr>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and Exhibit </w:t>
            </w:r>
            <w:hyperlink r:id="rId48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w:t>
            </w:r>
          </w:p>
        </w:tc>
        <w:tc>
          <w:tcPr>
            <w:tcW w:w="0" w:type="dxa"/>
            <w:vAlign w:val="bottom"/>
          </w:tcPr>
          <w:p>
            <w:pPr>
              <w:spacing w:after="0"/>
              <w:rPr>
                <w:sz w:val="1"/>
                <w:szCs w:val="1"/>
                <w:color w:val="auto"/>
              </w:rPr>
            </w:pPr>
          </w:p>
        </w:tc>
      </w:tr>
      <w:tr>
        <w:trPr>
          <w:trHeight w:val="250"/>
        </w:trPr>
        <w:tc>
          <w:tcPr>
            <w:tcW w:w="102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860" w:type="dxa"/>
            <w:vAlign w:val="bottom"/>
            <w:tcBorders>
              <w:top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filed with the Commission on October 28, 2022).</w:t>
            </w:r>
          </w:p>
        </w:tc>
        <w:tc>
          <w:tcPr>
            <w:tcW w:w="220" w:type="dxa"/>
            <w:vAlign w:val="bottom"/>
            <w:tcBorders>
              <w:top w:val="single" w:sz="8" w:color="0000FF"/>
            </w:tcBorders>
            <w:gridSpan w:val="2"/>
            <w:shd w:val="clear" w:color="auto" w:fill="CFF0FC"/>
          </w:tcPr>
          <w:p>
            <w:pPr>
              <w:spacing w:after="0"/>
              <w:rPr>
                <w:sz w:val="21"/>
                <w:szCs w:val="21"/>
                <w:color w:val="auto"/>
              </w:rPr>
            </w:pPr>
          </w:p>
        </w:tc>
        <w:tc>
          <w:tcPr>
            <w:tcW w:w="3780" w:type="dxa"/>
            <w:vAlign w:val="bottom"/>
            <w:tcBorders>
              <w:top w:val="single" w:sz="8" w:color="CFF0FC"/>
            </w:tcBorders>
            <w:gridSpan w:val="6"/>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2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rPr>
              <w:t>— 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instruments to the Commission upon request.</w:t>
            </w:r>
          </w:p>
        </w:tc>
        <w:tc>
          <w:tcPr>
            <w:tcW w:w="0" w:type="dxa"/>
            <w:vAlign w:val="bottom"/>
          </w:tcPr>
          <w:p>
            <w:pPr>
              <w:spacing w:after="0"/>
              <w:rPr>
                <w:sz w:val="1"/>
                <w:szCs w:val="1"/>
                <w:color w:val="auto"/>
              </w:rPr>
            </w:pPr>
          </w:p>
        </w:tc>
      </w:tr>
      <w:tr>
        <w:trPr>
          <w:trHeight w:val="195"/>
        </w:trPr>
        <w:tc>
          <w:tcPr>
            <w:tcW w:w="102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18"/>
            <w:shd w:val="clear" w:color="auto" w:fill="CFF0FC"/>
          </w:tcPr>
          <w:p>
            <w:pPr>
              <w:ind w:left="8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6">
              <w:r>
                <w:rPr>
                  <w:rFonts w:ascii="Times New Roman" w:cs="Times New Roman" w:eastAsia="Times New Roman" w:hAnsi="Times New Roman"/>
                  <w:sz w:val="18"/>
                  <w:szCs w:val="18"/>
                  <w:color w:val="0000FF"/>
                </w:rPr>
                <w:t>Note Purchase Agreement dated February 3, 2022 (incorporated by reference to Exhibit 10.1 to the Registrant’s Form 8-K filed with the</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840" w:type="dxa"/>
            <w:vAlign w:val="bottom"/>
            <w:tcBorders>
              <w:top w:val="single" w:sz="8" w:color="0000FF"/>
            </w:tcBorders>
            <w:gridSpan w:val="15"/>
            <w:shd w:val="clear" w:color="auto" w:fill="CFF0FC"/>
          </w:tcPr>
          <w:p>
            <w:pPr>
              <w:spacing w:after="0" w:line="195"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Commission on February 8, 2022).</w:t>
              </w:r>
            </w:hyperlink>
          </w:p>
        </w:tc>
        <w:tc>
          <w:tcPr>
            <w:tcW w:w="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7">
              <w:r>
                <w:rPr>
                  <w:rFonts w:ascii="Times New Roman" w:cs="Times New Roman" w:eastAsia="Times New Roman" w:hAnsi="Times New Roman"/>
                  <w:sz w:val="18"/>
                  <w:szCs w:val="18"/>
                  <w:color w:val="0000FF"/>
                </w:rPr>
                <w:t>Credit Agreement dated July 29, 2022 among Kirby Corporation, JPMorgan Chase Bank, N.A., as Administrative Agent, and the banks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named therein (incorporated by reference to Exhibit 10.1 to the Registrant’s Current Report on Form 8-K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5"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July 29, 2022).</w:t>
              </w:r>
            </w:hyperlink>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18"/>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8">
              <w:r>
                <w:rPr>
                  <w:rFonts w:ascii="Times New Roman" w:cs="Times New Roman" w:eastAsia="Times New Roman" w:hAnsi="Times New Roman"/>
                  <w:sz w:val="18"/>
                  <w:szCs w:val="18"/>
                  <w:color w:val="0000FF"/>
                </w:rPr>
                <w:t>Incentive and Retention Award Agreement of David W. Grzebinski dated February 25, 2021 (incorporated by reference to Exhibit 10.1</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840" w:type="dxa"/>
            <w:vAlign w:val="bottom"/>
            <w:tcBorders>
              <w:top w:val="single" w:sz="8" w:color="0000FF"/>
            </w:tcBorders>
            <w:gridSpan w:val="15"/>
            <w:shd w:val="clear" w:color="auto" w:fill="CFF0FC"/>
          </w:tcPr>
          <w:p>
            <w:pPr>
              <w:spacing w:after="0" w:line="195"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to the Registrant’s Current Report on Form 8-K filed with the Commission on February 26, 2021).</w:t>
              </w:r>
            </w:hyperlink>
          </w:p>
        </w:tc>
        <w:tc>
          <w:tcPr>
            <w:tcW w:w="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16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1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89">
              <w:r>
                <w:rPr>
                  <w:rFonts w:ascii="Times New Roman" w:cs="Times New Roman" w:eastAsia="Times New Roman" w:hAnsi="Times New Roman"/>
                  <w:sz w:val="18"/>
                  <w:szCs w:val="18"/>
                  <w:color w:val="0000FF"/>
                </w:rPr>
                <w:t>Incentive and Retention Award Agreement of Christian G. O’Neil dated February 25, 2021 (incorporated by reference to Exhibit 10.2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the Registrant’s Current Report on Form 8-K filed with the Commission on February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18"/>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0">
              <w:r>
                <w:rPr>
                  <w:rFonts w:ascii="Times New Roman" w:cs="Times New Roman" w:eastAsia="Times New Roman" w:hAnsi="Times New Roman"/>
                  <w:sz w:val="18"/>
                  <w:szCs w:val="18"/>
                  <w:color w:val="0000FF"/>
                </w:rPr>
                <w:t>Annual Incentive Plan Guidelines for 2023 (incorporated by reference to Exhibit 10.6 to the Registrant’s Annual Report on Form 10-K</w:t>
              </w:r>
            </w:hyperlink>
          </w:p>
        </w:tc>
        <w:tc>
          <w:tcPr>
            <w:tcW w:w="0" w:type="dxa"/>
            <w:vAlign w:val="bottom"/>
          </w:tcPr>
          <w:p>
            <w:pPr>
              <w:spacing w:after="0"/>
              <w:rPr>
                <w:sz w:val="1"/>
                <w:szCs w:val="1"/>
                <w:color w:val="auto"/>
              </w:rPr>
            </w:pPr>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60" w:type="dxa"/>
            <w:vAlign w:val="bottom"/>
            <w:tcBorders>
              <w:top w:val="single" w:sz="8" w:color="0000FF"/>
              <w:bottom w:val="single" w:sz="8" w:color="0000FF"/>
            </w:tcBorders>
            <w:gridSpan w:val="4"/>
            <w:shd w:val="clear" w:color="auto" w:fill="CFF0FC"/>
          </w:tcPr>
          <w:p>
            <w:pPr>
              <w:spacing w:after="0" w:line="195" w:lineRule="exact"/>
              <w:rPr>
                <w:rFonts w:ascii="Times New Roman" w:cs="Times New Roman" w:eastAsia="Times New Roman" w:hAnsi="Times New Roman"/>
                <w:sz w:val="18"/>
                <w:szCs w:val="18"/>
                <w:color w:val="0000FF"/>
                <w:w w:val="98"/>
              </w:rPr>
            </w:pPr>
            <w:hyperlink r:id="rId490">
              <w:r>
                <w:rPr>
                  <w:rFonts w:ascii="Times New Roman" w:cs="Times New Roman" w:eastAsia="Times New Roman" w:hAnsi="Times New Roman"/>
                  <w:sz w:val="18"/>
                  <w:szCs w:val="18"/>
                  <w:color w:val="0000FF"/>
                  <w:w w:val="98"/>
                </w:rPr>
                <w:t>for the year ended December 31, 2022).</w:t>
              </w:r>
            </w:hyperlink>
          </w:p>
        </w:tc>
        <w:tc>
          <w:tcPr>
            <w:tcW w:w="7000" w:type="dxa"/>
            <w:vAlign w:val="bottom"/>
            <w:tcBorders>
              <w:top w:val="single" w:sz="8" w:color="0000FF"/>
              <w:bottom w:val="single" w:sz="8" w:color="CFF0FC"/>
            </w:tcBorders>
            <w:gridSpan w:val="1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1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1">
              <w:r>
                <w:rPr>
                  <w:rFonts w:ascii="Times New Roman" w:cs="Times New Roman" w:eastAsia="Times New Roman" w:hAnsi="Times New Roman"/>
                  <w:sz w:val="18"/>
                  <w:szCs w:val="18"/>
                  <w:color w:val="0000FF"/>
                </w:rPr>
                <w:t>Amended and Restated Annual Incentive Plan 2023 Plan Year Guidelines (incorporated by reference to Exhibit 10.1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Current Report on Form 8-K filed with the Commission on March 24,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8"/>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Annual Incentive Plan Guidelines for 2024.</w:t>
            </w:r>
          </w:p>
        </w:tc>
        <w:tc>
          <w:tcPr>
            <w:tcW w:w="0" w:type="dxa"/>
            <w:vAlign w:val="bottom"/>
          </w:tcPr>
          <w:p>
            <w:pPr>
              <w:spacing w:after="0"/>
              <w:rPr>
                <w:sz w:val="1"/>
                <w:szCs w:val="1"/>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0000FF"/>
            </w:tcBorders>
            <w:shd w:val="clear" w:color="auto" w:fill="CFF0FC"/>
          </w:tcPr>
          <w:p>
            <w:pPr>
              <w:spacing w:after="0"/>
              <w:rPr>
                <w:sz w:val="2"/>
                <w:szCs w:val="2"/>
                <w:color w:val="auto"/>
              </w:rPr>
            </w:pPr>
          </w:p>
        </w:tc>
        <w:tc>
          <w:tcPr>
            <w:tcW w:w="12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1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2">
              <w:r>
                <w:rPr>
                  <w:rFonts w:ascii="Times New Roman" w:cs="Times New Roman" w:eastAsia="Times New Roman" w:hAnsi="Times New Roman"/>
                  <w:sz w:val="18"/>
                  <w:szCs w:val="18"/>
                  <w:color w:val="0000FF"/>
                </w:rPr>
                <w:t>2005 Stock and Incentive Plan (incorporated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Commission on April 29,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0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320" w:type="dxa"/>
            <w:vAlign w:val="bottom"/>
            <w:tcBorders>
              <w:top w:val="single" w:sz="8" w:color="0000FF"/>
            </w:tcBorders>
            <w:gridSpan w:val="2"/>
          </w:tcPr>
          <w:p>
            <w:pPr>
              <w:spacing w:after="0"/>
              <w:rPr>
                <w:sz w:val="24"/>
                <w:szCs w:val="24"/>
                <w:color w:val="auto"/>
              </w:rPr>
            </w:pPr>
          </w:p>
        </w:tc>
        <w:tc>
          <w:tcPr>
            <w:tcW w:w="322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5"/>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gridSpan w:val="21"/>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2"/>
        </w:trPr>
        <w:tc>
          <w:tcPr>
            <w:tcW w:w="10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28"/>
            <w:shd w:val="clear" w:color="auto" w:fill="CFF0FC"/>
          </w:tcPr>
          <w:p>
            <w:pPr>
              <w:ind w:left="80"/>
              <w:spacing w:after="0" w:line="18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5">
              <w:r>
                <w:rPr>
                  <w:rFonts w:ascii="Times New Roman" w:cs="Times New Roman" w:eastAsia="Times New Roman" w:hAnsi="Times New Roman"/>
                  <w:sz w:val="18"/>
                  <w:szCs w:val="18"/>
                  <w:color w:val="0000FF"/>
                </w:rPr>
                <w:t>2000 Nonemployee Director Stock Plan (incorporated by reference to Exhibit 10.2 to the Registrant’s Current Report on Form 8-K filed</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960" w:type="dxa"/>
            <w:vAlign w:val="bottom"/>
            <w:tcBorders>
              <w:top w:val="single" w:sz="8" w:color="0000FF"/>
              <w:bottom w:val="single" w:sz="8" w:color="0000FF"/>
            </w:tcBorders>
            <w:gridSpan w:val="4"/>
            <w:shd w:val="clear" w:color="auto" w:fill="CFF0FC"/>
          </w:tcPr>
          <w:p>
            <w:pPr>
              <w:spacing w:after="0" w:line="195" w:lineRule="exact"/>
              <w:rPr>
                <w:rFonts w:ascii="Times New Roman" w:cs="Times New Roman" w:eastAsia="Times New Roman" w:hAnsi="Times New Roman"/>
                <w:sz w:val="18"/>
                <w:szCs w:val="18"/>
                <w:color w:val="0000FF"/>
                <w:w w:val="98"/>
              </w:rPr>
            </w:pPr>
            <w:hyperlink r:id="rId495">
              <w:r>
                <w:rPr>
                  <w:rFonts w:ascii="Times New Roman" w:cs="Times New Roman" w:eastAsia="Times New Roman" w:hAnsi="Times New Roman"/>
                  <w:sz w:val="18"/>
                  <w:szCs w:val="18"/>
                  <w:color w:val="0000FF"/>
                  <w:w w:val="98"/>
                </w:rPr>
                <w:t>with the Commission on April 29, 2021).</w:t>
              </w:r>
            </w:hyperlink>
          </w:p>
        </w:tc>
        <w:tc>
          <w:tcPr>
            <w:tcW w:w="6880" w:type="dxa"/>
            <w:vAlign w:val="bottom"/>
            <w:tcBorders>
              <w:top w:val="single" w:sz="8" w:color="0000FF"/>
              <w:bottom w:val="single" w:sz="8" w:color="CFF0FC"/>
            </w:tcBorders>
            <w:gridSpan w:val="21"/>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2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6">
              <w:r>
                <w:rPr>
                  <w:rFonts w:ascii="Times New Roman" w:cs="Times New Roman" w:eastAsia="Times New Roman" w:hAnsi="Times New Roman"/>
                  <w:sz w:val="18"/>
                  <w:szCs w:val="18"/>
                  <w:color w:val="0000FF"/>
                </w:rPr>
                <w:t>Nonemployee Director Compensation Program effective April 24, 2018 (incorporated by reference to Exhibit 10.2 to the Registrant’s</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Quarterly Report on Form 10-Q for the quarter ended March 31, 2018).</w:t>
              </w:r>
            </w:hyperlink>
          </w:p>
        </w:tc>
        <w:tc>
          <w:tcPr>
            <w:tcW w:w="20" w:type="dxa"/>
            <w:vAlign w:val="bottom"/>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02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340" w:type="dxa"/>
            <w:vAlign w:val="bottom"/>
            <w:tcBorders>
              <w:bottom w:val="single" w:sz="8" w:color="0000FF"/>
            </w:tcBorders>
            <w:gridSpan w:val="1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Nonemployee Director Compensation Program effective January 29, 2024</w:t>
            </w:r>
          </w:p>
        </w:tc>
        <w:tc>
          <w:tcPr>
            <w:tcW w:w="4520" w:type="dxa"/>
            <w:vAlign w:val="bottom"/>
            <w:tcBorders>
              <w:bottom w:val="single" w:sz="8" w:color="CFF0FC"/>
            </w:tcBorders>
            <w:gridSpan w:val="16"/>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2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7">
              <w:r>
                <w:rPr>
                  <w:rFonts w:ascii="Times New Roman" w:cs="Times New Roman" w:eastAsia="Times New Roman" w:hAnsi="Times New Roman"/>
                  <w:sz w:val="18"/>
                  <w:szCs w:val="18"/>
                  <w:color w:val="0000FF"/>
                </w:rPr>
                <w:t>Deferred Compensation Plan for Key Employees (As Amended and Restated Effective April 1, 2022 and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Exhibit 10.3 to the Registrant’s Quarterly Report on Form 10-Q filed with the Commission on May 9, 2022).</w:t>
              </w:r>
            </w:hyperlink>
          </w:p>
        </w:tc>
        <w:tc>
          <w:tcPr>
            <w:tcW w:w="200" w:type="dxa"/>
            <w:vAlign w:val="bottom"/>
            <w:gridSpan w:val="4"/>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3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28"/>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8">
              <w:r>
                <w:rPr>
                  <w:rFonts w:ascii="Times New Roman" w:cs="Times New Roman" w:eastAsia="Times New Roman" w:hAnsi="Times New Roman"/>
                  <w:sz w:val="18"/>
                  <w:szCs w:val="18"/>
                  <w:color w:val="0000FF"/>
                </w:rPr>
                <w:t>Change of Control Agreement by and between Kirby Corporation and David W. Grzebinski dated May 16, 2022 (incorporated by</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580" w:type="dxa"/>
            <w:vAlign w:val="bottom"/>
            <w:tcBorders>
              <w:top w:val="single" w:sz="8" w:color="0000FF"/>
              <w:bottom w:val="single" w:sz="8" w:color="0000FF"/>
            </w:tcBorders>
            <w:gridSpan w:val="13"/>
            <w:shd w:val="clear" w:color="auto" w:fill="CFF0FC"/>
          </w:tcPr>
          <w:p>
            <w:pPr>
              <w:spacing w:after="0" w:line="195" w:lineRule="exact"/>
              <w:rPr>
                <w:rFonts w:ascii="Times New Roman" w:cs="Times New Roman" w:eastAsia="Times New Roman" w:hAnsi="Times New Roman"/>
                <w:sz w:val="18"/>
                <w:szCs w:val="18"/>
                <w:color w:val="0000FF"/>
                <w:w w:val="99"/>
              </w:rPr>
            </w:pPr>
            <w:hyperlink r:id="rId498">
              <w:r>
                <w:rPr>
                  <w:rFonts w:ascii="Times New Roman" w:cs="Times New Roman" w:eastAsia="Times New Roman" w:hAnsi="Times New Roman"/>
                  <w:sz w:val="18"/>
                  <w:szCs w:val="18"/>
                  <w:color w:val="0000FF"/>
                  <w:w w:val="99"/>
                </w:rPr>
                <w:t>reference to Exhibit 10.1 to the Registrant’s Current Report on Form 8-K filed with the Commission on May 20, 2022).</w:t>
              </w:r>
            </w:hyperlink>
          </w:p>
        </w:tc>
        <w:tc>
          <w:tcPr>
            <w:tcW w:w="780" w:type="dxa"/>
            <w:vAlign w:val="bottom"/>
            <w:tcBorders>
              <w:top w:val="single" w:sz="8" w:color="0000FF"/>
              <w:bottom w:val="single" w:sz="8" w:color="CFF0FC"/>
            </w:tcBorders>
            <w:gridSpan w:val="6"/>
            <w:shd w:val="clear" w:color="auto" w:fill="CFF0FC"/>
          </w:tcPr>
          <w:p>
            <w:pPr>
              <w:spacing w:after="0"/>
              <w:rPr>
                <w:sz w:val="19"/>
                <w:szCs w:val="19"/>
                <w:color w:val="auto"/>
              </w:rPr>
            </w:pPr>
          </w:p>
        </w:tc>
        <w:tc>
          <w:tcPr>
            <w:tcW w:w="500" w:type="dxa"/>
            <w:vAlign w:val="bottom"/>
            <w:tcBorders>
              <w:top w:val="single" w:sz="8" w:color="CFF0FC"/>
              <w:bottom w:val="single" w:sz="8" w:color="CFF0FC"/>
            </w:tcBorders>
            <w:gridSpan w:val="7"/>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2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9">
              <w:r>
                <w:rPr>
                  <w:rFonts w:ascii="Times New Roman" w:cs="Times New Roman" w:eastAsia="Times New Roman" w:hAnsi="Times New Roman"/>
                  <w:sz w:val="18"/>
                  <w:szCs w:val="18"/>
                  <w:color w:val="0000FF"/>
                </w:rPr>
                <w:t>Change of Control Agreement by and between Kirby Corporation and Raj Kumar dated May 16, 2022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Exhibit 10.2 to the Registrant’s Current Report on Form 8-K filed with the Commission on May 20, 2022).</w:t>
              </w:r>
            </w:hyperlink>
          </w:p>
        </w:tc>
        <w:tc>
          <w:tcPr>
            <w:tcW w:w="340" w:type="dxa"/>
            <w:vAlign w:val="bottom"/>
            <w:gridSpan w:val="5"/>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3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28"/>
            <w:shd w:val="clear" w:color="auto" w:fill="CFF0FC"/>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0">
              <w:r>
                <w:rPr>
                  <w:rFonts w:ascii="Times New Roman" w:cs="Times New Roman" w:eastAsia="Times New Roman" w:hAnsi="Times New Roman"/>
                  <w:sz w:val="18"/>
                  <w:szCs w:val="18"/>
                  <w:color w:val="0000FF"/>
                </w:rPr>
                <w:t>Change of Control Agreement by and between Kirby Corporation and Christian G. O’Neil dated May 16, 2022 (incorporated by</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580" w:type="dxa"/>
            <w:vAlign w:val="bottom"/>
            <w:tcBorders>
              <w:top w:val="single" w:sz="8" w:color="0000FF"/>
              <w:bottom w:val="single" w:sz="8" w:color="0000FF"/>
            </w:tcBorders>
            <w:gridSpan w:val="13"/>
            <w:shd w:val="clear" w:color="auto" w:fill="CFF0FC"/>
          </w:tcPr>
          <w:p>
            <w:pPr>
              <w:spacing w:after="0" w:line="195" w:lineRule="exact"/>
              <w:rPr>
                <w:rFonts w:ascii="Times New Roman" w:cs="Times New Roman" w:eastAsia="Times New Roman" w:hAnsi="Times New Roman"/>
                <w:sz w:val="18"/>
                <w:szCs w:val="18"/>
                <w:color w:val="0000FF"/>
                <w:w w:val="99"/>
              </w:rPr>
            </w:pPr>
            <w:hyperlink r:id="rId500">
              <w:r>
                <w:rPr>
                  <w:rFonts w:ascii="Times New Roman" w:cs="Times New Roman" w:eastAsia="Times New Roman" w:hAnsi="Times New Roman"/>
                  <w:sz w:val="18"/>
                  <w:szCs w:val="18"/>
                  <w:color w:val="0000FF"/>
                  <w:w w:val="99"/>
                </w:rPr>
                <w:t>reference to Exhibit 10.3 to the Registrant’s Current Report on Form 8-K filed with the Commission on May 20, 2022).</w:t>
              </w:r>
            </w:hyperlink>
          </w:p>
        </w:tc>
        <w:tc>
          <w:tcPr>
            <w:tcW w:w="680" w:type="dxa"/>
            <w:vAlign w:val="bottom"/>
            <w:tcBorders>
              <w:top w:val="single" w:sz="8" w:color="0000FF"/>
              <w:bottom w:val="single" w:sz="8" w:color="CFF0FC"/>
            </w:tcBorders>
            <w:gridSpan w:val="4"/>
            <w:shd w:val="clear" w:color="auto" w:fill="CFF0FC"/>
          </w:tcPr>
          <w:p>
            <w:pPr>
              <w:spacing w:after="0"/>
              <w:rPr>
                <w:sz w:val="19"/>
                <w:szCs w:val="19"/>
                <w:color w:val="auto"/>
              </w:rPr>
            </w:pPr>
          </w:p>
        </w:tc>
        <w:tc>
          <w:tcPr>
            <w:tcW w:w="600" w:type="dxa"/>
            <w:vAlign w:val="bottom"/>
            <w:tcBorders>
              <w:top w:val="single" w:sz="8" w:color="CFF0FC"/>
              <w:bottom w:val="single" w:sz="8" w:color="CFF0FC"/>
            </w:tcBorders>
            <w:gridSpan w:val="9"/>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2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1">
              <w:r>
                <w:rPr>
                  <w:rFonts w:ascii="Times New Roman" w:cs="Times New Roman" w:eastAsia="Times New Roman" w:hAnsi="Times New Roman"/>
                  <w:sz w:val="18"/>
                  <w:szCs w:val="18"/>
                  <w:color w:val="0000FF"/>
                </w:rPr>
                <w:t>Change of Control Agreement by and between Kirby Corporation and Amy D. Husted dated May 16, 2022 (incorporated by reference to</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501">
              <w:r>
                <w:rPr>
                  <w:rFonts w:ascii="Times New Roman" w:cs="Times New Roman" w:eastAsia="Times New Roman" w:hAnsi="Times New Roman"/>
                  <w:sz w:val="18"/>
                  <w:szCs w:val="18"/>
                  <w:color w:val="0000FF"/>
                </w:rPr>
                <w:t>Exhibit 10.4 to the Registrant’s Current Report on Form 8-K filed with the Commission on May 20, 2022).</w:t>
              </w:r>
            </w:hyperlink>
          </w:p>
        </w:tc>
        <w:tc>
          <w:tcPr>
            <w:tcW w:w="20" w:type="dxa"/>
            <w:vAlign w:val="bottom"/>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3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3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280" w:type="dxa"/>
            <w:vAlign w:val="bottom"/>
            <w:tcBorders>
              <w:bottom w:val="single" w:sz="8" w:color="0000FF"/>
            </w:tcBorders>
            <w:gridSpan w:val="18"/>
            <w:shd w:val="clear" w:color="auto" w:fill="CFF0FC"/>
          </w:tcPr>
          <w:p>
            <w:pPr>
              <w:spacing w:after="0" w:line="189" w:lineRule="exact"/>
              <w:rPr>
                <w:rFonts w:ascii="Times New Roman" w:cs="Times New Roman" w:eastAsia="Times New Roman" w:hAnsi="Times New Roman"/>
                <w:sz w:val="18"/>
                <w:szCs w:val="18"/>
                <w:color w:val="0000FF"/>
                <w:w w:val="99"/>
              </w:rPr>
            </w:pPr>
            <w:hyperlink r:id="rId502">
              <w:r>
                <w:rPr>
                  <w:rFonts w:ascii="Times New Roman" w:cs="Times New Roman" w:eastAsia="Times New Roman" w:hAnsi="Times New Roman"/>
                  <w:sz w:val="18"/>
                  <w:szCs w:val="18"/>
                  <w:color w:val="0000FF"/>
                  <w:w w:val="99"/>
                </w:rPr>
                <w:t>Amendment to Change of Control Agreement by and between Kirby Corporation and David W. Grzebinski dated March 6, 2023</w:t>
              </w:r>
            </w:hyperlink>
          </w:p>
        </w:tc>
        <w:tc>
          <w:tcPr>
            <w:tcW w:w="580" w:type="dxa"/>
            <w:vAlign w:val="bottom"/>
            <w:tcBorders>
              <w:bottom w:val="single" w:sz="8" w:color="CFF0FC"/>
            </w:tcBorders>
            <w:gridSpan w:val="8"/>
            <w:shd w:val="clear" w:color="auto" w:fill="CFF0FC"/>
          </w:tcPr>
          <w:p>
            <w:pPr>
              <w:spacing w:after="0"/>
              <w:rPr>
                <w:sz w:val="16"/>
                <w:szCs w:val="16"/>
                <w:color w:val="auto"/>
              </w:rPr>
            </w:pPr>
          </w:p>
        </w:tc>
      </w:tr>
      <w:tr>
        <w:trPr>
          <w:trHeight w:val="196"/>
        </w:trPr>
        <w:tc>
          <w:tcPr>
            <w:tcW w:w="10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480" w:type="dxa"/>
            <w:vAlign w:val="bottom"/>
            <w:tcBorders>
              <w:bottom w:val="single" w:sz="8" w:color="0000FF"/>
            </w:tcBorders>
            <w:gridSpan w:val="20"/>
            <w:shd w:val="clear" w:color="auto" w:fill="CFF0FC"/>
          </w:tcPr>
          <w:p>
            <w:pPr>
              <w:spacing w:after="0" w:line="195" w:lineRule="exact"/>
              <w:rPr>
                <w:rFonts w:ascii="Times New Roman" w:cs="Times New Roman" w:eastAsia="Times New Roman" w:hAnsi="Times New Roman"/>
                <w:sz w:val="18"/>
                <w:szCs w:val="18"/>
                <w:color w:val="0000FF"/>
                <w:w w:val="99"/>
              </w:rPr>
            </w:pPr>
            <w:hyperlink r:id="rId502">
              <w:r>
                <w:rPr>
                  <w:rFonts w:ascii="Times New Roman" w:cs="Times New Roman" w:eastAsia="Times New Roman" w:hAnsi="Times New Roman"/>
                  <w:sz w:val="18"/>
                  <w:szCs w:val="18"/>
                  <w:color w:val="0000FF"/>
                  <w:w w:val="99"/>
                </w:rPr>
                <w:t>(incorporated by reference to Exhibit 10.4 to the Registrant’s Quarterly Report on Form 10-Q filed with the Commission on May 8,</w:t>
              </w:r>
            </w:hyperlink>
          </w:p>
        </w:tc>
        <w:tc>
          <w:tcPr>
            <w:tcW w:w="380" w:type="dxa"/>
            <w:vAlign w:val="bottom"/>
            <w:tcBorders>
              <w:bottom w:val="single" w:sz="8" w:color="CFF0FC"/>
            </w:tcBorders>
            <w:gridSpan w:val="6"/>
            <w:shd w:val="clear" w:color="auto" w:fill="CFF0FC"/>
          </w:tcPr>
          <w:p>
            <w:pPr>
              <w:spacing w:after="0"/>
              <w:rPr>
                <w:sz w:val="17"/>
                <w:szCs w:val="17"/>
                <w:color w:val="auto"/>
              </w:rPr>
            </w:pPr>
          </w:p>
        </w:tc>
      </w:tr>
      <w:tr>
        <w:trPr>
          <w:trHeight w:val="196"/>
        </w:trPr>
        <w:tc>
          <w:tcPr>
            <w:tcW w:w="1020" w:type="dxa"/>
            <w:vAlign w:val="bottom"/>
            <w:shd w:val="clear" w:color="auto" w:fill="CFF0FC"/>
          </w:tcPr>
          <w:p>
            <w:pPr>
              <w:spacing w:after="0"/>
              <w:rPr>
                <w:sz w:val="17"/>
                <w:szCs w:val="17"/>
                <w:color w:val="auto"/>
              </w:rPr>
            </w:pPr>
          </w:p>
        </w:tc>
        <w:tc>
          <w:tcPr>
            <w:tcW w:w="2860" w:type="dxa"/>
            <w:vAlign w:val="bottom"/>
            <w:gridSpan w:val="4"/>
            <w:shd w:val="clear" w:color="auto" w:fill="CFF0FC"/>
          </w:tcPr>
          <w:p>
            <w:pPr>
              <w:ind w:left="340"/>
              <w:spacing w:after="0" w:line="195" w:lineRule="exact"/>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2023).</w:t>
              </w:r>
            </w:hyperlink>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20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tcBorders>
              <w:bottom w:val="single" w:sz="8" w:color="0000FF"/>
            </w:tcBorders>
            <w:gridSpan w:val="24"/>
          </w:tcPr>
          <w:p>
            <w:pPr>
              <w:spacing w:after="0" w:line="189" w:lineRule="exact"/>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Amendment to Change of Control Agreement by and between Kirby Corporation and Raj Kumar dated March 6, 2023 (incorporated by</w:t>
              </w:r>
            </w:hyperlink>
          </w:p>
        </w:tc>
        <w:tc>
          <w:tcPr>
            <w:tcW w:w="60" w:type="dxa"/>
            <w:vAlign w:val="bottom"/>
            <w:gridSpan w:val="2"/>
          </w:tcPr>
          <w:p>
            <w:pPr>
              <w:spacing w:after="0"/>
              <w:rPr>
                <w:sz w:val="16"/>
                <w:szCs w:val="16"/>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5" w:lineRule="exact"/>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reference to Exhibit 10.5 to the Registrant’s Quarterly Report on Form 10-Q filed with the Commission on May 8, 2023).</w:t>
              </w:r>
            </w:hyperlink>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3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3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180" w:type="dxa"/>
            <w:vAlign w:val="bottom"/>
            <w:tcBorders>
              <w:bottom w:val="single" w:sz="8" w:color="0000FF"/>
            </w:tcBorders>
            <w:gridSpan w:val="16"/>
            <w:shd w:val="clear" w:color="auto" w:fill="CFF0FC"/>
          </w:tcPr>
          <w:p>
            <w:pPr>
              <w:spacing w:after="0" w:line="189" w:lineRule="exact"/>
              <w:rPr>
                <w:rFonts w:ascii="Times New Roman" w:cs="Times New Roman" w:eastAsia="Times New Roman" w:hAnsi="Times New Roman"/>
                <w:sz w:val="18"/>
                <w:szCs w:val="18"/>
                <w:color w:val="0000FF"/>
                <w:w w:val="99"/>
              </w:rPr>
            </w:pPr>
            <w:hyperlink r:id="rId504">
              <w:r>
                <w:rPr>
                  <w:rFonts w:ascii="Times New Roman" w:cs="Times New Roman" w:eastAsia="Times New Roman" w:hAnsi="Times New Roman"/>
                  <w:sz w:val="18"/>
                  <w:szCs w:val="18"/>
                  <w:color w:val="0000FF"/>
                  <w:w w:val="99"/>
                </w:rPr>
                <w:t>Amendment to Change of Control Agreement by and between Kirby Corporation and Christian G. O’Neil dated March 6, 2023</w:t>
              </w:r>
            </w:hyperlink>
          </w:p>
        </w:tc>
        <w:tc>
          <w:tcPr>
            <w:tcW w:w="680" w:type="dxa"/>
            <w:vAlign w:val="bottom"/>
            <w:tcBorders>
              <w:bottom w:val="single" w:sz="8" w:color="CFF0FC"/>
            </w:tcBorders>
            <w:gridSpan w:val="10"/>
            <w:shd w:val="clear" w:color="auto" w:fill="CFF0FC"/>
          </w:tcPr>
          <w:p>
            <w:pPr>
              <w:spacing w:after="0"/>
              <w:rPr>
                <w:sz w:val="16"/>
                <w:szCs w:val="16"/>
                <w:color w:val="auto"/>
              </w:rPr>
            </w:pPr>
          </w:p>
        </w:tc>
      </w:tr>
      <w:tr>
        <w:trPr>
          <w:trHeight w:val="196"/>
        </w:trPr>
        <w:tc>
          <w:tcPr>
            <w:tcW w:w="10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480" w:type="dxa"/>
            <w:vAlign w:val="bottom"/>
            <w:tcBorders>
              <w:bottom w:val="single" w:sz="8" w:color="0000FF"/>
            </w:tcBorders>
            <w:gridSpan w:val="20"/>
            <w:shd w:val="clear" w:color="auto" w:fill="CFF0FC"/>
          </w:tcPr>
          <w:p>
            <w:pPr>
              <w:spacing w:after="0" w:line="195" w:lineRule="exact"/>
              <w:rPr>
                <w:rFonts w:ascii="Times New Roman" w:cs="Times New Roman" w:eastAsia="Times New Roman" w:hAnsi="Times New Roman"/>
                <w:sz w:val="18"/>
                <w:szCs w:val="18"/>
                <w:color w:val="0000FF"/>
                <w:w w:val="99"/>
              </w:rPr>
            </w:pPr>
            <w:hyperlink r:id="rId504">
              <w:r>
                <w:rPr>
                  <w:rFonts w:ascii="Times New Roman" w:cs="Times New Roman" w:eastAsia="Times New Roman" w:hAnsi="Times New Roman"/>
                  <w:sz w:val="18"/>
                  <w:szCs w:val="18"/>
                  <w:color w:val="0000FF"/>
                  <w:w w:val="99"/>
                </w:rPr>
                <w:t>(incorporated by reference to Exhibit 10.6 to the Registrant’s Quarterly Report on Form 10-Q filed with the Commission on May 8,</w:t>
              </w:r>
            </w:hyperlink>
          </w:p>
        </w:tc>
        <w:tc>
          <w:tcPr>
            <w:tcW w:w="380" w:type="dxa"/>
            <w:vAlign w:val="bottom"/>
            <w:tcBorders>
              <w:bottom w:val="single" w:sz="8" w:color="CFF0FC"/>
            </w:tcBorders>
            <w:gridSpan w:val="6"/>
            <w:shd w:val="clear" w:color="auto" w:fill="CFF0FC"/>
          </w:tcPr>
          <w:p>
            <w:pPr>
              <w:spacing w:after="0"/>
              <w:rPr>
                <w:sz w:val="17"/>
                <w:szCs w:val="17"/>
                <w:color w:val="auto"/>
              </w:rPr>
            </w:pPr>
          </w:p>
        </w:tc>
      </w:tr>
      <w:tr>
        <w:trPr>
          <w:trHeight w:val="196"/>
        </w:trPr>
        <w:tc>
          <w:tcPr>
            <w:tcW w:w="1020" w:type="dxa"/>
            <w:vAlign w:val="bottom"/>
            <w:shd w:val="clear" w:color="auto" w:fill="CFF0FC"/>
          </w:tcPr>
          <w:p>
            <w:pPr>
              <w:spacing w:after="0"/>
              <w:rPr>
                <w:sz w:val="17"/>
                <w:szCs w:val="17"/>
                <w:color w:val="auto"/>
              </w:rPr>
            </w:pPr>
          </w:p>
        </w:tc>
        <w:tc>
          <w:tcPr>
            <w:tcW w:w="2860" w:type="dxa"/>
            <w:vAlign w:val="bottom"/>
            <w:gridSpan w:val="4"/>
            <w:shd w:val="clear" w:color="auto" w:fill="CFF0FC"/>
          </w:tcPr>
          <w:p>
            <w:pPr>
              <w:ind w:left="340"/>
              <w:spacing w:after="0" w:line="195" w:lineRule="exact"/>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2023).</w:t>
              </w:r>
            </w:hyperlink>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20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10220" w:type="dxa"/>
            <w:vAlign w:val="bottom"/>
            <w:gridSpan w:val="28"/>
          </w:tcPr>
          <w:p>
            <w:pPr>
              <w:ind w:left="8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5">
              <w:r>
                <w:rPr>
                  <w:rFonts w:ascii="Times New Roman" w:cs="Times New Roman" w:eastAsia="Times New Roman" w:hAnsi="Times New Roman"/>
                  <w:sz w:val="18"/>
                  <w:szCs w:val="18"/>
                  <w:color w:val="0000FF"/>
                </w:rPr>
                <w:t>Cooperation Agreement dated February 3, 2023 by and among the Company and JCP Investment Management, LLC and certain of its</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505">
              <w:r>
                <w:rPr>
                  <w:rFonts w:ascii="Times New Roman" w:cs="Times New Roman" w:eastAsia="Times New Roman" w:hAnsi="Times New Roman"/>
                  <w:sz w:val="18"/>
                  <w:szCs w:val="18"/>
                  <w:color w:val="0000FF"/>
                  <w:w w:val="99"/>
                </w:rPr>
                <w:t>affiliates and associates (incorporated by reference to Exhibit 10.1 to the Registrant’s Current Report on Form 8-K filed with the</w:t>
              </w:r>
            </w:hyperlink>
          </w:p>
        </w:tc>
        <w:tc>
          <w:tcPr>
            <w:tcW w:w="440" w:type="dxa"/>
            <w:vAlign w:val="bottom"/>
            <w:tcBorders>
              <w:top w:val="single" w:sz="8" w:color="0000FF"/>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5" w:lineRule="exact"/>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Commission on February 3, 2023).</w:t>
              </w:r>
            </w:hyperlink>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220" w:type="dxa"/>
            <w:vAlign w:val="bottom"/>
            <w:gridSpan w:val="28"/>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Subsidiaries of the Registrant.</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20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28"/>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28"/>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20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20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28"/>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28"/>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20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20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3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0220" w:type="dxa"/>
            <w:vAlign w:val="bottom"/>
            <w:gridSpan w:val="28"/>
          </w:tcPr>
          <w:p>
            <w:pPr>
              <w:ind w:left="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Kirby Corporation Clawback Policy</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28"/>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48"/>
        </w:trPr>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860" w:type="dxa"/>
            <w:vAlign w:val="bottom"/>
            <w:gridSpan w:val="26"/>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r>
      <w:tr>
        <w:trPr>
          <w:trHeight w:val="243"/>
        </w:trPr>
        <w:tc>
          <w:tcPr>
            <w:tcW w:w="1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bottom w:val="single" w:sz="8" w:color="auto"/>
            </w:tcBorders>
            <w:gridSpan w:val="28"/>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8" w:lineRule="exact"/>
        <w:rPr>
          <w:sz w:val="20"/>
          <w:szCs w:val="20"/>
          <w:color w:val="auto"/>
        </w:rPr>
      </w:pPr>
    </w:p>
    <w:p>
      <w:pPr>
        <w:ind w:left="564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619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7">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Raj Kumar</w:t>
      </w:r>
    </w:p>
    <w:p>
      <w:pPr>
        <w:spacing w:after="0" w:line="3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w:t>
      </w:r>
    </w:p>
    <w:p>
      <w:pPr>
        <w:spacing w:after="0" w:line="3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20, 2024</w:t>
      </w:r>
    </w:p>
    <w:p>
      <w:pPr>
        <w:spacing w:after="0" w:line="22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0" w:type="dxa"/>
            <w:vAlign w:val="bottom"/>
          </w:tcPr>
          <w:p>
            <w:pPr>
              <w:spacing w:after="0"/>
              <w:rPr>
                <w:sz w:val="19"/>
                <w:szCs w:val="19"/>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200" w:type="dxa"/>
            <w:vAlign w:val="bottom"/>
          </w:tcPr>
          <w:p>
            <w:pPr>
              <w:spacing w:after="0"/>
              <w:rPr>
                <w:sz w:val="19"/>
                <w:szCs w:val="19"/>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7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JOSEPH H. PYNE</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Joseph H. Pyne</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590"/>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DAVID W. GRZEBINSKI</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Chief Executive Officer,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David W. Grzebinski</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 Director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RAJ KUMAR</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Raj Kumar</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RONALD A. DRAGG</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Vice President, Controller and</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Ronald A. Dragg</w:t>
            </w:r>
          </w:p>
        </w:tc>
        <w:tc>
          <w:tcPr>
            <w:tcW w:w="2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Assistant Secretary</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ANNE-MARIE N. AINSWORTH</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Anne-Marie N. Ainsworth</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J. ALARIO</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J. Alario</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TANYA S. BEDER</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Tanya S. Beder</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BARRY E. DAVIS</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Barry E. Davis</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ROCKY B. DEWBRE</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Rocky B. Dewbre</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6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SUSAN W. DIO</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Susan W. Dio</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6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RICHARD R. STEWART</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R. Stewart</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WILLIAM M. WATERMAN</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William M. Waterman</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6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SHAWN D. WILLIAMS</w:t>
            </w:r>
          </w:p>
        </w:tc>
        <w:tc>
          <w:tcPr>
            <w:tcW w:w="2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 2024</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Shawn D. Williams</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546"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alibri" w:cs="Calibri" w:eastAsia="Calibri" w:hAnsi="Calibri"/>
          <w:sz w:val="20"/>
          <w:szCs w:val="20"/>
          <w:b w:val="1"/>
          <w:bCs w:val="1"/>
          <w:color w:val="auto"/>
        </w:rPr>
        <w:t>ANNUAL INCENTIVE PLAN</w:t>
      </w:r>
    </w:p>
    <w:p>
      <w:pPr>
        <w:spacing w:after="0" w:line="241"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2024 Plan Year</w:t>
      </w:r>
    </w:p>
    <w:p>
      <w:pPr>
        <w:spacing w:after="0" w:line="241" w:lineRule="exact"/>
        <w:rPr>
          <w:sz w:val="20"/>
          <w:szCs w:val="20"/>
          <w:color w:val="auto"/>
        </w:rPr>
      </w:pPr>
    </w:p>
    <w:p>
      <w:pPr>
        <w:ind w:left="4060"/>
        <w:spacing w:after="0"/>
        <w:rPr>
          <w:sz w:val="20"/>
          <w:szCs w:val="20"/>
          <w:color w:val="auto"/>
        </w:rPr>
      </w:pPr>
      <w:r>
        <w:rPr>
          <w:rFonts w:ascii="Calibri" w:cs="Calibri" w:eastAsia="Calibri" w:hAnsi="Calibri"/>
          <w:sz w:val="20"/>
          <w:szCs w:val="20"/>
          <w:b w:val="1"/>
          <w:bCs w:val="1"/>
          <w:color w:val="auto"/>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20"/>
        <w:spacing w:after="0"/>
        <w:rPr>
          <w:sz w:val="20"/>
          <w:szCs w:val="20"/>
          <w:color w:val="auto"/>
        </w:rPr>
      </w:pPr>
      <w:r>
        <w:rPr>
          <w:rFonts w:ascii="Calibri" w:cs="Calibri" w:eastAsia="Calibri" w:hAnsi="Calibri"/>
          <w:sz w:val="20"/>
          <w:szCs w:val="20"/>
          <w:b w:val="1"/>
          <w:bCs w:val="1"/>
          <w:color w:val="auto"/>
        </w:rPr>
        <w:t>KIRBY CORPORATION</w:t>
      </w:r>
    </w:p>
    <w:p>
      <w:pPr>
        <w:spacing w:after="0" w:line="200" w:lineRule="exact"/>
        <w:rPr>
          <w:sz w:val="20"/>
          <w:szCs w:val="20"/>
          <w:color w:val="auto"/>
        </w:rPr>
      </w:pPr>
    </w:p>
    <w:p>
      <w:pPr>
        <w:spacing w:after="0" w:line="284" w:lineRule="exact"/>
        <w:rPr>
          <w:sz w:val="20"/>
          <w:szCs w:val="20"/>
          <w:color w:val="auto"/>
        </w:rPr>
      </w:pPr>
    </w:p>
    <w:p>
      <w:pPr>
        <w:ind w:left="3480"/>
        <w:spacing w:after="0"/>
        <w:rPr>
          <w:sz w:val="20"/>
          <w:szCs w:val="20"/>
          <w:color w:val="auto"/>
        </w:rPr>
      </w:pPr>
      <w:r>
        <w:rPr>
          <w:rFonts w:ascii="Calibri" w:cs="Calibri" w:eastAsia="Calibri" w:hAnsi="Calibri"/>
          <w:sz w:val="20"/>
          <w:szCs w:val="20"/>
          <w:color w:val="auto"/>
        </w:rPr>
        <w:t>EFFECTIVE: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915670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223"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44"/>
        </w:trPr>
        <w:tc>
          <w:tcPr>
            <w:tcW w:w="8800" w:type="dxa"/>
            <w:vAlign w:val="bottom"/>
          </w:tcPr>
          <w:p>
            <w:pPr>
              <w:ind w:left="4740"/>
              <w:spacing w:after="0"/>
              <w:rPr>
                <w:sz w:val="20"/>
                <w:szCs w:val="20"/>
                <w:color w:val="auto"/>
              </w:rPr>
            </w:pPr>
            <w:r>
              <w:rPr>
                <w:rFonts w:ascii="Calibri" w:cs="Calibri" w:eastAsia="Calibri" w:hAnsi="Calibri"/>
                <w:sz w:val="20"/>
                <w:szCs w:val="20"/>
                <w:b w:val="1"/>
                <w:bCs w:val="1"/>
                <w:i w:val="1"/>
                <w:iCs w:val="1"/>
                <w:color w:val="auto"/>
              </w:rPr>
              <w:t>TABLE OF CONTENTS</w:t>
            </w:r>
          </w:p>
        </w:tc>
        <w:tc>
          <w:tcPr>
            <w:tcW w:w="2400" w:type="dxa"/>
            <w:vAlign w:val="bottom"/>
          </w:tcPr>
          <w:p>
            <w:pPr>
              <w:spacing w:after="0"/>
              <w:rPr>
                <w:sz w:val="21"/>
                <w:szCs w:val="21"/>
                <w:color w:val="auto"/>
              </w:rPr>
            </w:pPr>
          </w:p>
        </w:tc>
      </w:tr>
      <w:tr>
        <w:trPr>
          <w:trHeight w:val="734"/>
        </w:trPr>
        <w:tc>
          <w:tcPr>
            <w:tcW w:w="8800" w:type="dxa"/>
            <w:vAlign w:val="bottom"/>
          </w:tcPr>
          <w:p>
            <w:pPr>
              <w:spacing w:after="0"/>
              <w:rPr>
                <w:sz w:val="20"/>
                <w:szCs w:val="20"/>
                <w:color w:val="auto"/>
              </w:rPr>
            </w:pPr>
            <w:r>
              <w:rPr>
                <w:rFonts w:ascii="Calibri" w:cs="Calibri" w:eastAsia="Calibri" w:hAnsi="Calibri"/>
                <w:sz w:val="20"/>
                <w:szCs w:val="20"/>
                <w:color w:val="auto"/>
              </w:rPr>
              <w:t>Introducton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The 2024 Annual Incentve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Plan Objectves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Business Groups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Performance Period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Eligibility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Individual Bonus Targets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Aggregate Payment Amount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Performance Measures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Business Group Weightng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Performance Standards for Interim Incentve Payment Calculatons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12"/>
        </w:trPr>
        <w:tc>
          <w:tcPr>
            <w:tcW w:w="8800" w:type="dxa"/>
            <w:vAlign w:val="bottom"/>
          </w:tcPr>
          <w:p>
            <w:pPr>
              <w:spacing w:after="0"/>
              <w:rPr>
                <w:sz w:val="20"/>
                <w:szCs w:val="20"/>
                <w:color w:val="auto"/>
              </w:rPr>
            </w:pPr>
            <w:r>
              <w:rPr>
                <w:rFonts w:ascii="Calibri" w:cs="Calibri" w:eastAsia="Calibri" w:hAnsi="Calibri"/>
                <w:sz w:val="20"/>
                <w:szCs w:val="20"/>
                <w:color w:val="auto"/>
              </w:rPr>
              <w:t>Administraton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82" w:name="page83"/>
    <w:bookmarkEnd w:id="82"/>
    <w:p>
      <w:pPr>
        <w:jc w:val="center"/>
        <w:ind w:right="-19"/>
        <w:spacing w:after="0"/>
        <w:rPr>
          <w:sz w:val="20"/>
          <w:szCs w:val="20"/>
          <w:color w:val="auto"/>
        </w:rPr>
      </w:pPr>
      <w:r>
        <w:rPr>
          <w:rFonts w:ascii="Calibri" w:cs="Calibri" w:eastAsia="Calibri" w:hAnsi="Calibri"/>
          <w:sz w:val="20"/>
          <w:szCs w:val="20"/>
          <w:b w:val="1"/>
          <w:bCs w:val="1"/>
          <w:i w:val="1"/>
          <w:iCs w:val="1"/>
          <w:color w:val="auto"/>
        </w:rPr>
        <w:t>Introducton</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0"/>
          <w:szCs w:val="20"/>
          <w:color w:val="auto"/>
        </w:rPr>
        <w:t>Kirby Corporaton (together with its subsidiaries, “</w:t>
      </w:r>
      <w:r>
        <w:rPr>
          <w:rFonts w:ascii="Calibri" w:cs="Calibri" w:eastAsia="Calibri" w:hAnsi="Calibri"/>
          <w:sz w:val="20"/>
          <w:szCs w:val="20"/>
          <w:u w:val="single" w:color="auto"/>
          <w:color w:val="auto"/>
        </w:rPr>
        <w:t>Kirby</w:t>
      </w:r>
      <w:r>
        <w:rPr>
          <w:rFonts w:ascii="Calibri" w:cs="Calibri" w:eastAsia="Calibri" w:hAnsi="Calibri"/>
          <w:sz w:val="20"/>
          <w:szCs w:val="20"/>
          <w:color w:val="auto"/>
        </w:rPr>
        <w:t>” or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established the 2024 Annual Incentve Plan (the “</w:t>
      </w:r>
      <w:r>
        <w:rPr>
          <w:rFonts w:ascii="Calibri" w:cs="Calibri" w:eastAsia="Calibri" w:hAnsi="Calibri"/>
          <w:sz w:val="20"/>
          <w:szCs w:val="20"/>
          <w:u w:val="single" w:color="auto"/>
          <w:color w:val="auto"/>
        </w:rPr>
        <w:t>Plan</w:t>
      </w:r>
      <w:r>
        <w:rPr>
          <w:rFonts w:ascii="Calibri" w:cs="Calibri" w:eastAsia="Calibri" w:hAnsi="Calibri"/>
          <w:sz w:val="20"/>
          <w:szCs w:val="20"/>
          <w:color w:val="auto"/>
        </w:rPr>
        <w:t>”) to focus employees of the Company on identfying and achieving business strategies that lead to increased stockholder value. The Plan is also intended to reward superior performance by employees and their contributon to achieving Kirby’s objectves.</w:t>
      </w:r>
    </w:p>
    <w:p>
      <w:pPr>
        <w:spacing w:after="0" w:line="25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Certain aspects of this Plan are complex. Although these Guidelines establish rules for Plan operaton, those rules may not work in all circumstances. Therefore, the Compensaton Commitee of the Kirby Board of Directors has discreton to interpret these Guidelines to assure the awards are consistent with the Plan’s purposes and the Company’s interests. All decisions by the Compensaton Commitee shall be fnal and binding.</w:t>
      </w:r>
    </w:p>
    <w:p>
      <w:pPr>
        <w:spacing w:after="0" w:line="253" w:lineRule="exact"/>
        <w:rPr>
          <w:sz w:val="20"/>
          <w:szCs w:val="20"/>
          <w:color w:val="auto"/>
        </w:rPr>
      </w:pPr>
    </w:p>
    <w:p>
      <w:pPr>
        <w:jc w:val="both"/>
        <w:spacing w:after="0" w:line="235" w:lineRule="auto"/>
        <w:rPr>
          <w:sz w:val="20"/>
          <w:szCs w:val="20"/>
          <w:color w:val="auto"/>
        </w:rPr>
      </w:pPr>
      <w:r>
        <w:rPr>
          <w:rFonts w:ascii="Calibri" w:cs="Calibri" w:eastAsia="Calibri" w:hAnsi="Calibri"/>
          <w:sz w:val="20"/>
          <w:szCs w:val="20"/>
          <w:color w:val="auto"/>
        </w:rPr>
        <w:t>Unless resolutons of the Compensaton Commitee expressly provide otherwise, awards granted under the Plan shall consttute performance awards granted under Artcle V of the Kirby Corporaton 2005 Stock and Incentve Plan and are subject to the terms and provisions of such Plan that apply to performance awards.</w:t>
      </w:r>
    </w:p>
    <w:p>
      <w:pPr>
        <w:spacing w:after="0" w:line="25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Plan may be amended, modifed or terminated at any tme without prior notce by writen authorizaton of the Compensaton Commitee or the Board of Directors of Kirby Corporaton.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83" w:name="page84"/>
    <w:bookmarkEnd w:id="83"/>
    <w:p>
      <w:pPr>
        <w:spacing w:after="0"/>
        <w:rPr>
          <w:sz w:val="20"/>
          <w:szCs w:val="20"/>
          <w:color w:val="auto"/>
        </w:rPr>
      </w:pPr>
      <w:r>
        <w:rPr>
          <w:rFonts w:ascii="Calibri" w:cs="Calibri" w:eastAsia="Calibri" w:hAnsi="Calibri"/>
          <w:sz w:val="20"/>
          <w:szCs w:val="20"/>
          <w:b w:val="1"/>
          <w:bCs w:val="1"/>
          <w:i w:val="1"/>
          <w:iCs w:val="1"/>
          <w:color w:val="auto"/>
        </w:rPr>
        <w:t>The 2024 Annual Incentve Plan</w:t>
      </w:r>
    </w:p>
    <w:p>
      <w:pPr>
        <w:spacing w:after="0" w:line="251"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Each award granted under the Plan is an award for Company performance or a combinaton of Company and Business Group performance. Awards are generally based on achieving the Company Performance Goal as well as additonal Company, Business Group and individual performance measures and objectves. Once the Company Performance Goal is reached, partcipants in the Plan become eligible for an incentve bonus payment.</w:t>
      </w:r>
    </w:p>
    <w:p>
      <w:pPr>
        <w:spacing w:after="0" w:line="253" w:lineRule="exact"/>
        <w:rPr>
          <w:sz w:val="20"/>
          <w:szCs w:val="20"/>
          <w:color w:val="auto"/>
        </w:rPr>
      </w:pPr>
    </w:p>
    <w:p>
      <w:pPr>
        <w:ind w:right="220"/>
        <w:spacing w:after="0" w:line="235" w:lineRule="auto"/>
        <w:rPr>
          <w:sz w:val="20"/>
          <w:szCs w:val="20"/>
          <w:color w:val="auto"/>
        </w:rPr>
      </w:pPr>
      <w:r>
        <w:rPr>
          <w:rFonts w:ascii="Calibri" w:cs="Calibri" w:eastAsia="Calibri" w:hAnsi="Calibri"/>
          <w:sz w:val="20"/>
          <w:szCs w:val="20"/>
          <w:color w:val="auto"/>
        </w:rPr>
        <w:t>All amounts paid to partcipants pursuant to the Plan shall be subject to any policy relatng to the recovery of erroneously awarded incentve compensaton that may hereafer be adopted by the Company to comply with Securites and Exchange Commission rules or New York Stock Exchange listng standards.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Plan Objectves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The key objectves of the Plan are:</w:t>
      </w:r>
    </w:p>
    <w:p>
      <w:pPr>
        <w:spacing w:after="0" w:line="243" w:lineRule="exact"/>
        <w:rPr>
          <w:sz w:val="20"/>
          <w:szCs w:val="20"/>
          <w:color w:val="auto"/>
        </w:rPr>
      </w:pPr>
    </w:p>
    <w:p>
      <w:pPr>
        <w:ind w:left="580"/>
        <w:spacing w:after="0"/>
        <w:tabs>
          <w:tab w:leader="none" w:pos="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Calibri" w:cs="Calibri" w:eastAsia="Calibri" w:hAnsi="Calibri"/>
          <w:sz w:val="20"/>
          <w:szCs w:val="20"/>
          <w:color w:val="auto"/>
        </w:rPr>
        <w:t>Provide an annual incentve plan that drives performance toward objectves critcal to  creatng stockholder value.</w:t>
      </w:r>
    </w:p>
    <w:p>
      <w:pPr>
        <w:spacing w:after="0" w:line="24" w:lineRule="exact"/>
        <w:rPr>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Ofer compettve cash compensaton opportunites to key Kirby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Reward outstanding achievement by employees who directly afect Kirby’s results.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Assist Kirby in atractng and retaining high quality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Refect both quanttatve and qualitatve performance factors in actual bonus payouts.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Ensure that incentve payments made by the Company are fully deductble by the Company.</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Business Groups are designated for purposes of the Plan:</w:t>
      </w:r>
    </w:p>
    <w:p>
      <w:pPr>
        <w:spacing w:after="0" w:line="252" w:lineRule="exact"/>
        <w:rPr>
          <w:sz w:val="20"/>
          <w:szCs w:val="20"/>
          <w:color w:val="auto"/>
        </w:rPr>
      </w:pPr>
    </w:p>
    <w:tbl>
      <w:tblPr>
        <w:tblLayout w:type="fixed"/>
        <w:tblInd w:w="1250" w:type="dxa"/>
        <w:tblCellMar>
          <w:top w:w="0" w:type="dxa"/>
          <w:left w:w="0" w:type="dxa"/>
          <w:bottom w:w="0" w:type="dxa"/>
          <w:right w:w="0" w:type="dxa"/>
        </w:tblCellMar>
      </w:tblPr>
      <w:tr>
        <w:trPr>
          <w:trHeight w:val="254"/>
        </w:trPr>
        <w:tc>
          <w:tcPr>
            <w:tcW w:w="4420" w:type="dxa"/>
            <w:vAlign w:val="bottom"/>
            <w:tcBorders>
              <w:top w:val="single" w:sz="8" w:color="auto"/>
              <w:left w:val="single" w:sz="8" w:color="auto"/>
            </w:tcBorders>
          </w:tcPr>
          <w:p>
            <w:pPr>
              <w:ind w:left="120"/>
              <w:spacing w:after="0"/>
              <w:rPr>
                <w:sz w:val="20"/>
                <w:szCs w:val="20"/>
                <w:color w:val="auto"/>
              </w:rPr>
            </w:pPr>
            <w:r>
              <w:rPr>
                <w:rFonts w:ascii="Calibri" w:cs="Calibri" w:eastAsia="Calibri" w:hAnsi="Calibri"/>
                <w:sz w:val="20"/>
                <w:szCs w:val="20"/>
                <w:color w:val="auto"/>
              </w:rPr>
              <w:t>Kirby Corporate Services (“KCS”)</w:t>
            </w:r>
          </w:p>
        </w:tc>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430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20"/>
                <w:szCs w:val="20"/>
                <w:color w:val="auto"/>
              </w:rPr>
              <w:t>ThermoKing (“TK/CON”)</w:t>
            </w:r>
          </w:p>
        </w:tc>
        <w:tc>
          <w:tcPr>
            <w:tcW w:w="0" w:type="dxa"/>
            <w:vAlign w:val="bottom"/>
          </w:tcPr>
          <w:p>
            <w:pPr>
              <w:spacing w:after="0"/>
              <w:rPr>
                <w:sz w:val="1"/>
                <w:szCs w:val="1"/>
                <w:color w:val="auto"/>
              </w:rPr>
            </w:pPr>
          </w:p>
        </w:tc>
      </w:tr>
      <w:tr>
        <w:trPr>
          <w:trHeight w:val="52"/>
        </w:trPr>
        <w:tc>
          <w:tcPr>
            <w:tcW w:w="4420" w:type="dxa"/>
            <w:vAlign w:val="bottom"/>
            <w:tcBorders>
              <w:left w:val="single" w:sz="8" w:color="auto"/>
            </w:tcBorders>
            <w:vMerge w:val="restart"/>
          </w:tcPr>
          <w:p>
            <w:pPr>
              <w:ind w:left="120"/>
              <w:spacing w:after="0" w:line="307" w:lineRule="exact"/>
              <w:rPr>
                <w:sz w:val="20"/>
                <w:szCs w:val="20"/>
                <w:color w:val="auto"/>
              </w:rPr>
            </w:pPr>
            <w:r>
              <w:rPr>
                <w:rFonts w:ascii="Calibri" w:cs="Calibri" w:eastAsia="Calibri" w:hAnsi="Calibri"/>
                <w:sz w:val="20"/>
                <w:szCs w:val="20"/>
                <w:color w:val="auto"/>
              </w:rPr>
              <w:t>Kirby Inland Marine, LP (“KIM”)</w:t>
            </w:r>
            <w:r>
              <w:rPr>
                <w:rFonts w:ascii="Calibri" w:cs="Calibri" w:eastAsia="Calibri" w:hAnsi="Calibri"/>
                <w:sz w:val="26"/>
                <w:szCs w:val="26"/>
                <w:color w:val="auto"/>
                <w:vertAlign w:val="superscript"/>
              </w:rPr>
              <w:t>1</w:t>
            </w:r>
          </w:p>
        </w:tc>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4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420" w:type="dxa"/>
            <w:vAlign w:val="bottom"/>
            <w:tcBorders>
              <w:left w:val="single" w:sz="8" w:color="auto"/>
            </w:tcBorders>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ind w:left="60"/>
              <w:spacing w:after="0" w:line="214" w:lineRule="exact"/>
              <w:rPr>
                <w:sz w:val="20"/>
                <w:szCs w:val="20"/>
                <w:color w:val="auto"/>
              </w:rPr>
            </w:pPr>
            <w:r>
              <w:rPr>
                <w:rFonts w:ascii="Calibri" w:cs="Calibri" w:eastAsia="Calibri" w:hAnsi="Calibri"/>
                <w:sz w:val="20"/>
                <w:szCs w:val="20"/>
                <w:color w:val="auto"/>
              </w:rPr>
              <w:t>Kirby Engine Systems, Inc. (“KES”)</w:t>
            </w:r>
          </w:p>
        </w:tc>
        <w:tc>
          <w:tcPr>
            <w:tcW w:w="0" w:type="dxa"/>
            <w:vAlign w:val="bottom"/>
          </w:tcPr>
          <w:p>
            <w:pPr>
              <w:spacing w:after="0"/>
              <w:rPr>
                <w:sz w:val="1"/>
                <w:szCs w:val="1"/>
                <w:color w:val="auto"/>
              </w:rPr>
            </w:pPr>
          </w:p>
        </w:tc>
      </w:tr>
      <w:tr>
        <w:trPr>
          <w:trHeight w:val="75"/>
        </w:trPr>
        <w:tc>
          <w:tcPr>
            <w:tcW w:w="4460" w:type="dxa"/>
            <w:vAlign w:val="bottom"/>
            <w:tcBorders>
              <w:left w:val="single" w:sz="8" w:color="auto"/>
              <w:bottom w:val="single" w:sz="8" w:color="auto"/>
              <w:right w:val="single" w:sz="8" w:color="auto"/>
            </w:tcBorders>
            <w:gridSpan w:val="2"/>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460" w:type="dxa"/>
            <w:vAlign w:val="bottom"/>
            <w:tcBorders>
              <w:left w:val="single" w:sz="8" w:color="auto"/>
              <w:right w:val="single" w:sz="8" w:color="auto"/>
            </w:tcBorders>
            <w:gridSpan w:val="2"/>
          </w:tcPr>
          <w:p>
            <w:pPr>
              <w:ind w:left="120"/>
              <w:spacing w:after="0" w:line="225" w:lineRule="exact"/>
              <w:rPr>
                <w:sz w:val="20"/>
                <w:szCs w:val="20"/>
                <w:color w:val="auto"/>
              </w:rPr>
            </w:pPr>
            <w:r>
              <w:rPr>
                <w:rFonts w:ascii="Calibri" w:cs="Calibri" w:eastAsia="Calibri" w:hAnsi="Calibri"/>
                <w:sz w:val="20"/>
                <w:szCs w:val="20"/>
                <w:color w:val="auto"/>
              </w:rPr>
              <w:t>Kirby Ofshore Marine, LLC (“KOM”)</w:t>
            </w:r>
          </w:p>
        </w:tc>
        <w:tc>
          <w:tcPr>
            <w:tcW w:w="4300" w:type="dxa"/>
            <w:vAlign w:val="bottom"/>
            <w:tcBorders>
              <w:right w:val="single" w:sz="8" w:color="auto"/>
            </w:tcBorders>
          </w:tcPr>
          <w:p>
            <w:pPr>
              <w:ind w:left="60"/>
              <w:spacing w:after="0" w:line="225" w:lineRule="exact"/>
              <w:rPr>
                <w:sz w:val="20"/>
                <w:szCs w:val="20"/>
                <w:color w:val="auto"/>
              </w:rPr>
            </w:pPr>
            <w:r>
              <w:rPr>
                <w:rFonts w:ascii="Calibri" w:cs="Calibri" w:eastAsia="Calibri" w:hAnsi="Calibri"/>
                <w:sz w:val="20"/>
                <w:szCs w:val="20"/>
                <w:color w:val="auto"/>
              </w:rPr>
              <w:t>Atlantc and Florida Detroit Diesel Allison</w:t>
            </w:r>
          </w:p>
        </w:tc>
        <w:tc>
          <w:tcPr>
            <w:tcW w:w="0" w:type="dxa"/>
            <w:vAlign w:val="bottom"/>
          </w:tcPr>
          <w:p>
            <w:pPr>
              <w:spacing w:after="0"/>
              <w:rPr>
                <w:sz w:val="1"/>
                <w:szCs w:val="1"/>
                <w:color w:val="auto"/>
              </w:rPr>
            </w:pPr>
          </w:p>
        </w:tc>
      </w:tr>
      <w:tr>
        <w:trPr>
          <w:trHeight w:val="234"/>
        </w:trPr>
        <w:tc>
          <w:tcPr>
            <w:tcW w:w="442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ind w:left="60"/>
              <w:spacing w:after="0" w:line="234" w:lineRule="exact"/>
              <w:rPr>
                <w:sz w:val="20"/>
                <w:szCs w:val="20"/>
                <w:color w:val="auto"/>
              </w:rPr>
            </w:pPr>
            <w:r>
              <w:rPr>
                <w:rFonts w:ascii="Calibri" w:cs="Calibri" w:eastAsia="Calibri" w:hAnsi="Calibri"/>
                <w:sz w:val="20"/>
                <w:szCs w:val="20"/>
                <w:color w:val="auto"/>
              </w:rPr>
              <w:t>(“DDAs”)</w:t>
            </w:r>
          </w:p>
        </w:tc>
        <w:tc>
          <w:tcPr>
            <w:tcW w:w="0" w:type="dxa"/>
            <w:vAlign w:val="bottom"/>
          </w:tcPr>
          <w:p>
            <w:pPr>
              <w:spacing w:after="0"/>
              <w:rPr>
                <w:sz w:val="1"/>
                <w:szCs w:val="1"/>
                <w:color w:val="auto"/>
              </w:rPr>
            </w:pPr>
          </w:p>
        </w:tc>
      </w:tr>
      <w:tr>
        <w:trPr>
          <w:trHeight w:val="114"/>
        </w:trPr>
        <w:tc>
          <w:tcPr>
            <w:tcW w:w="4460" w:type="dxa"/>
            <w:vAlign w:val="bottom"/>
            <w:tcBorders>
              <w:left w:val="single" w:sz="8" w:color="auto"/>
              <w:bottom w:val="single" w:sz="8" w:color="auto"/>
              <w:right w:val="single" w:sz="8" w:color="auto"/>
            </w:tcBorders>
            <w:gridSpan w:val="2"/>
          </w:tcPr>
          <w:p>
            <w:pPr>
              <w:spacing w:after="0"/>
              <w:rPr>
                <w:sz w:val="9"/>
                <w:szCs w:val="9"/>
                <w:color w:val="auto"/>
              </w:rPr>
            </w:pPr>
          </w:p>
        </w:tc>
        <w:tc>
          <w:tcPr>
            <w:tcW w:w="4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460" w:type="dxa"/>
            <w:vAlign w:val="bottom"/>
            <w:tcBorders>
              <w:left w:val="single" w:sz="8" w:color="auto"/>
              <w:right w:val="single" w:sz="8" w:color="auto"/>
            </w:tcBorders>
            <w:gridSpan w:val="2"/>
          </w:tcPr>
          <w:p>
            <w:pPr>
              <w:ind w:left="120"/>
              <w:spacing w:after="0" w:line="227" w:lineRule="exact"/>
              <w:rPr>
                <w:sz w:val="20"/>
                <w:szCs w:val="20"/>
                <w:color w:val="auto"/>
              </w:rPr>
            </w:pPr>
            <w:r>
              <w:rPr>
                <w:rFonts w:ascii="Calibri" w:cs="Calibri" w:eastAsia="Calibri" w:hAnsi="Calibri"/>
                <w:sz w:val="20"/>
                <w:szCs w:val="20"/>
                <w:color w:val="auto"/>
              </w:rPr>
              <w:t>S&amp;S and United (S&amp;S UE)</w:t>
            </w:r>
          </w:p>
        </w:tc>
        <w:tc>
          <w:tcPr>
            <w:tcW w:w="4300" w:type="dxa"/>
            <w:vAlign w:val="bottom"/>
            <w:tcBorders>
              <w:right w:val="single" w:sz="8" w:color="auto"/>
            </w:tcBorders>
          </w:tcPr>
          <w:p>
            <w:pPr>
              <w:ind w:left="60"/>
              <w:spacing w:after="0" w:line="227" w:lineRule="exact"/>
              <w:rPr>
                <w:sz w:val="20"/>
                <w:szCs w:val="20"/>
                <w:color w:val="auto"/>
              </w:rPr>
            </w:pPr>
            <w:r>
              <w:rPr>
                <w:rFonts w:ascii="Calibri" w:cs="Calibri" w:eastAsia="Calibri" w:hAnsi="Calibri"/>
                <w:sz w:val="20"/>
                <w:szCs w:val="20"/>
                <w:color w:val="auto"/>
              </w:rPr>
              <w:t>KDS Consolidated (KDS)</w:t>
            </w:r>
          </w:p>
        </w:tc>
        <w:tc>
          <w:tcPr>
            <w:tcW w:w="0" w:type="dxa"/>
            <w:vAlign w:val="bottom"/>
          </w:tcPr>
          <w:p>
            <w:pPr>
              <w:spacing w:after="0"/>
              <w:rPr>
                <w:sz w:val="1"/>
                <w:szCs w:val="1"/>
                <w:color w:val="auto"/>
              </w:rPr>
            </w:pPr>
          </w:p>
        </w:tc>
      </w:tr>
      <w:tr>
        <w:trPr>
          <w:trHeight w:val="103"/>
        </w:trPr>
        <w:tc>
          <w:tcPr>
            <w:tcW w:w="442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4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-831850</wp:posOffset>
            </wp:positionV>
            <wp:extent cx="2812415"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2">
                      <a:extLst>
                        <a:ext uri="{28A0092B-C50C-407E-A947-70E740481C1C}"/>
                      </a:extLst>
                    </a:blip>
                    <a:srcRect/>
                    <a:stretch>
                      <a:fillRect/>
                    </a:stretch>
                  </pic:blipFill>
                  <pic:spPr bwMode="auto">
                    <a:xfrm>
                      <a:off x="0" y="0"/>
                      <a:ext cx="2812415" cy="1270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16"/>
        </w:numPr>
        <w:rPr>
          <w:rFonts w:ascii="Calibri" w:cs="Calibri" w:eastAsia="Calibri" w:hAnsi="Calibri"/>
          <w:sz w:val="26"/>
          <w:szCs w:val="26"/>
          <w:color w:val="auto"/>
          <w:vertAlign w:val="superscript"/>
        </w:rPr>
      </w:pPr>
      <w:r>
        <w:rPr>
          <w:rFonts w:ascii="Calibri" w:cs="Calibri" w:eastAsia="Calibri" w:hAnsi="Calibri"/>
          <w:sz w:val="20"/>
          <w:szCs w:val="20"/>
          <w:color w:val="auto"/>
        </w:rPr>
        <w:t>KIM includes Kirby Ocean Transport Company, San Jac Marine and Osprey Line, LLC.</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Performance Period</w:t>
      </w:r>
    </w:p>
    <w:p>
      <w:pPr>
        <w:spacing w:after="0" w:line="251"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color w:val="auto"/>
        </w:rPr>
        <w:t>Performance is measured on a calendar year basis for the Plan. The Performance Period begins on January 1, 2024 and ends on December 31, 2024. Except as expressly provided in these Guidelines in the case of new employees or terminaton of employment, incentve compensaton payments under the Plan are for the full year 2024 and shall not be reduced for the period between the commencement of the Performance Period and the date on which the Compensaton Commitee approves these Guidelines and the individual bonus targets for partcipants in the Plan.</w:t>
      </w: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68" w:right="439" w:bottom="1440" w:gutter="0" w:footer="0" w:header="0"/>
        </w:sectPr>
      </w:pPr>
    </w:p>
    <w:bookmarkStart w:id="84" w:name="page85"/>
    <w:bookmarkEnd w:id="84"/>
    <w:p>
      <w:pPr>
        <w:spacing w:after="0"/>
        <w:rPr>
          <w:sz w:val="20"/>
          <w:szCs w:val="20"/>
          <w:color w:val="auto"/>
        </w:rPr>
      </w:pPr>
      <w:r>
        <w:rPr>
          <w:rFonts w:ascii="Calibri" w:cs="Calibri" w:eastAsia="Calibri" w:hAnsi="Calibri"/>
          <w:sz w:val="20"/>
          <w:szCs w:val="20"/>
          <w:b w:val="1"/>
          <w:bCs w:val="1"/>
          <w:i w:val="1"/>
          <w:iCs w:val="1"/>
          <w:color w:val="auto"/>
        </w:rPr>
        <w:t>Eligibility</w:t>
      </w:r>
    </w:p>
    <w:p>
      <w:pPr>
        <w:spacing w:after="0" w:line="265" w:lineRule="exact"/>
        <w:rPr>
          <w:sz w:val="20"/>
          <w:szCs w:val="20"/>
          <w:color w:val="auto"/>
        </w:rPr>
      </w:pPr>
    </w:p>
    <w:p>
      <w:pPr>
        <w:ind w:left="760" w:hanging="378"/>
        <w:spacing w:after="0" w:line="235" w:lineRule="auto"/>
        <w:tabs>
          <w:tab w:leader="none" w:pos="7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Generally, managerial employees and KIM wheelhouse employees classifed as Captain, Relief Captain or Pilot, are eligible for partcipaton. Selecton for partcipaton in the Plan is based upon each positon’s ability to impact long-term fnancial results of the Company and designaton by management.</w:t>
      </w:r>
    </w:p>
    <w:p>
      <w:pPr>
        <w:spacing w:after="0" w:line="267" w:lineRule="exact"/>
        <w:rPr>
          <w:rFonts w:ascii="Times New Roman" w:cs="Times New Roman" w:eastAsia="Times New Roman" w:hAnsi="Times New Roman"/>
          <w:sz w:val="20"/>
          <w:szCs w:val="20"/>
          <w:color w:val="auto"/>
        </w:rPr>
      </w:pPr>
    </w:p>
    <w:p>
      <w:pPr>
        <w:ind w:left="760" w:right="160" w:hanging="378"/>
        <w:spacing w:after="0" w:line="236" w:lineRule="auto"/>
        <w:tabs>
          <w:tab w:leader="none" w:pos="7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 be eligible to receive an incentve payment under the Plan, partcipants must be employed on the last day of the Performance Period and on the date bonuses are paid for the Performance Period, unless their terminaton reason is death or disability or if they meet the requirements of a retrement. For the purposes of the Plan, the defniton of retrement is a calculaton resultng in either 65 years of age on terminaton date or age plus service is greater than or equal to 80.</w:t>
      </w:r>
    </w:p>
    <w:p>
      <w:pPr>
        <w:spacing w:after="0" w:line="266" w:lineRule="exact"/>
        <w:rPr>
          <w:rFonts w:ascii="Times New Roman" w:cs="Times New Roman" w:eastAsia="Times New Roman" w:hAnsi="Times New Roman"/>
          <w:sz w:val="20"/>
          <w:szCs w:val="20"/>
          <w:color w:val="auto"/>
        </w:rPr>
      </w:pPr>
    </w:p>
    <w:p>
      <w:pPr>
        <w:ind w:left="760" w:right="140" w:hanging="378"/>
        <w:spacing w:after="0" w:line="234" w:lineRule="auto"/>
        <w:tabs>
          <w:tab w:leader="none" w:pos="7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Partcipaton in the Plan in 2024 does not guarantee partcipaton in similar plans in future years. Partcipants in the Plan or in similar plans in future years will be notfed annually of their selecton for partcipaton.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Individual Bonus Targets</w:t>
      </w:r>
    </w:p>
    <w:p>
      <w:pPr>
        <w:spacing w:after="0" w:line="251"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Each partcipant will be assigned a target bonus level defned as a percentage of base salary earned during the Performance Period. This bonus target is based on compettve market practces, as well as the employee’s ability to impact long-term Company performance. Market practces will be determined using data from either general industry, the marine transportaton industry or the diesel engine services industry, depending upon the individual positon being considered.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Aggregate Payment Amount</w:t>
      </w:r>
    </w:p>
    <w:p>
      <w:pPr>
        <w:spacing w:after="0" w:line="251"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At the end of the year, a preliminary incentve payment amount will frst be calculated for each partcipant in the Plan to determine the Aggregate Payment Amount for all partcipants for the year. The preliminary incentve payment amount for each partcipant will be calculated as of December 31, 2024 based on the target incentve level for such partcipant and the calculaton formulas described in these Guidelines. The Aggregate Payment Amount under the Plan shall equal the sum of all such preliminary incentve payment amounts.</w:t>
      </w:r>
    </w:p>
    <w:p>
      <w:pPr>
        <w:spacing w:after="0" w:line="256" w:lineRule="exact"/>
        <w:rPr>
          <w:sz w:val="20"/>
          <w:szCs w:val="20"/>
          <w:color w:val="auto"/>
        </w:rPr>
      </w:pPr>
    </w:p>
    <w:p>
      <w:pPr>
        <w:ind w:right="320"/>
        <w:spacing w:after="0" w:line="236" w:lineRule="auto"/>
        <w:rPr>
          <w:sz w:val="20"/>
          <w:szCs w:val="20"/>
          <w:color w:val="auto"/>
        </w:rPr>
      </w:pPr>
      <w:r>
        <w:rPr>
          <w:rFonts w:ascii="Calibri" w:cs="Calibri" w:eastAsia="Calibri" w:hAnsi="Calibri"/>
          <w:sz w:val="20"/>
          <w:szCs w:val="20"/>
          <w:color w:val="auto"/>
        </w:rPr>
        <w:t>The Company will be obligated to pay out the full Aggregate Payment Amount to eligible partcipants, subject to the discreton of the Compensaton Commitee, and the Chief Executve Ofcer to the extent authorized under these Guidelines, with respect to the allocaton of the Aggregate Payment Amount among individual partcipants. Therefore, the Company’s obligaton to pay out the Aggregate Payment Amount becomes fxed on the last day of the Performance Period.</w:t>
      </w:r>
    </w:p>
    <w:p>
      <w:pPr>
        <w:spacing w:after="0" w:line="253" w:lineRule="exact"/>
        <w:rPr>
          <w:sz w:val="20"/>
          <w:szCs w:val="20"/>
          <w:color w:val="auto"/>
        </w:rPr>
      </w:pPr>
    </w:p>
    <w:p>
      <w:pPr>
        <w:ind w:right="400"/>
        <w:spacing w:after="0" w:line="235" w:lineRule="auto"/>
        <w:rPr>
          <w:sz w:val="20"/>
          <w:szCs w:val="20"/>
          <w:color w:val="auto"/>
        </w:rPr>
      </w:pPr>
      <w:r>
        <w:rPr>
          <w:rFonts w:ascii="Calibri" w:cs="Calibri" w:eastAsia="Calibri" w:hAnsi="Calibri"/>
          <w:sz w:val="20"/>
          <w:szCs w:val="20"/>
          <w:color w:val="auto"/>
        </w:rPr>
        <w:t>The Compensaton Commitee, and the Chief Executve Ofcer if applicable, may determine the amount of the bonus paid to any partcipant based on the performance measures described in the Plan or any other criteria deemed appropriate in its discreton, provided that in no event will the aggregate incentve payments made pursuant to the Plan exceed the Aggregate Payment Amount.</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Performance Measures</w:t>
      </w:r>
    </w:p>
    <w:p>
      <w:pPr>
        <w:spacing w:after="0" w:line="238" w:lineRule="auto"/>
        <w:rPr>
          <w:sz w:val="20"/>
          <w:szCs w:val="20"/>
          <w:color w:val="auto"/>
        </w:rPr>
      </w:pPr>
      <w:r>
        <w:rPr>
          <w:rFonts w:ascii="Calibri" w:cs="Calibri" w:eastAsia="Calibri" w:hAnsi="Calibri"/>
          <w:sz w:val="20"/>
          <w:szCs w:val="20"/>
          <w:color w:val="auto"/>
        </w:rPr>
        <w:t>The performance measures for the Plan are:</w:t>
      </w:r>
    </w:p>
    <w:p>
      <w:pPr>
        <w:spacing w:after="0" w:line="13"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EBITDA (Earnings before interest, taxes, depreciaton and amortzaton)</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EPS (Earnings per share)</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Return on Total Capital (Earnings before interest and taxes divided by average capital)</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OP/ESG (metrics set on annual basis)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85" w:name="page86"/>
    <w:bookmarkEnd w:id="85"/>
    <w:p>
      <w:pPr>
        <w:ind w:right="460"/>
        <w:spacing w:after="0" w:line="234" w:lineRule="auto"/>
        <w:rPr>
          <w:sz w:val="20"/>
          <w:szCs w:val="20"/>
          <w:color w:val="auto"/>
        </w:rPr>
      </w:pPr>
      <w:r>
        <w:rPr>
          <w:rFonts w:ascii="Calibri" w:cs="Calibri" w:eastAsia="Calibri" w:hAnsi="Calibri"/>
          <w:sz w:val="20"/>
          <w:szCs w:val="20"/>
          <w:color w:val="auto"/>
        </w:rPr>
        <w:t>Annual performance targets will be established for each measure based on Kirby’s budget for the year and each of the performance measures will have the following weight in calculatng the preliminary incentve payment amount for each partcipant: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45020" cy="3124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5">
                      <a:extLst>
                        <a:ext uri="{28A0092B-C50C-407E-A947-70E740481C1C}"/>
                      </a:extLst>
                    </a:blip>
                    <a:srcRect/>
                    <a:stretch>
                      <a:fillRect/>
                    </a:stretch>
                  </pic:blipFill>
                  <pic:spPr bwMode="auto">
                    <a:xfrm>
                      <a:off x="0" y="0"/>
                      <a:ext cx="7145020" cy="312420"/>
                    </a:xfrm>
                    <a:prstGeom prst="rect">
                      <a:avLst/>
                    </a:prstGeom>
                    <a:noFill/>
                  </pic:spPr>
                </pic:pic>
              </a:graphicData>
            </a:graphic>
          </wp:anchor>
        </w:drawing>
      </w:r>
    </w:p>
    <w:p>
      <w:pPr>
        <w:ind w:left="4160"/>
        <w:spacing w:after="0"/>
        <w:rPr>
          <w:sz w:val="20"/>
          <w:szCs w:val="20"/>
          <w:color w:val="auto"/>
        </w:rPr>
      </w:pPr>
      <w:r>
        <w:rPr>
          <w:rFonts w:ascii="Calibri" w:cs="Calibri" w:eastAsia="Calibri" w:hAnsi="Calibri"/>
          <w:sz w:val="18"/>
          <w:szCs w:val="18"/>
          <w:b w:val="1"/>
          <w:bCs w:val="1"/>
          <w:color w:val="auto"/>
        </w:rPr>
        <w:t>Performance Measures for Incentve Payment Calculatons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360" w:type="dxa"/>
            <w:vAlign w:val="bottom"/>
            <w:tcBorders>
              <w:left w:val="single" w:sz="8" w:color="auto"/>
              <w:bottom w:val="single" w:sz="8" w:color="auto"/>
              <w:right w:val="single" w:sz="8" w:color="auto"/>
            </w:tcBorders>
          </w:tcPr>
          <w:p>
            <w:pPr>
              <w:ind w:left="400"/>
              <w:spacing w:after="0"/>
              <w:rPr>
                <w:sz w:val="20"/>
                <w:szCs w:val="20"/>
                <w:color w:val="auto"/>
              </w:rPr>
            </w:pPr>
            <w:r>
              <w:rPr>
                <w:rFonts w:ascii="Calibri" w:cs="Calibri" w:eastAsia="Calibri" w:hAnsi="Calibri"/>
                <w:sz w:val="18"/>
                <w:szCs w:val="18"/>
                <w:b w:val="1"/>
                <w:bCs w:val="1"/>
                <w:color w:val="auto"/>
              </w:rPr>
              <w:t>Division</w:t>
            </w:r>
          </w:p>
        </w:tc>
        <w:tc>
          <w:tcPr>
            <w:tcW w:w="3720" w:type="dxa"/>
            <w:vAlign w:val="bottom"/>
            <w:tcBorders>
              <w:top w:val="single" w:sz="8" w:color="auto"/>
              <w:bottom w:val="single" w:sz="8" w:color="auto"/>
              <w:right w:val="single" w:sz="8" w:color="auto"/>
            </w:tcBorders>
            <w:shd w:val="clear" w:color="auto" w:fill="D6DCE4"/>
          </w:tcPr>
          <w:p>
            <w:pPr>
              <w:ind w:left="1280"/>
              <w:spacing w:after="0"/>
              <w:rPr>
                <w:sz w:val="20"/>
                <w:szCs w:val="20"/>
                <w:color w:val="auto"/>
              </w:rPr>
            </w:pPr>
            <w:r>
              <w:rPr>
                <w:rFonts w:ascii="Calibri" w:cs="Calibri" w:eastAsia="Calibri" w:hAnsi="Calibri"/>
                <w:sz w:val="18"/>
                <w:szCs w:val="18"/>
                <w:b w:val="1"/>
                <w:bCs w:val="1"/>
                <w:color w:val="auto"/>
              </w:rPr>
              <w:t>Business Group</w:t>
            </w:r>
          </w:p>
        </w:tc>
        <w:tc>
          <w:tcPr>
            <w:tcW w:w="1560" w:type="dxa"/>
            <w:vAlign w:val="bottom"/>
            <w:tcBorders>
              <w:top w:val="single" w:sz="8" w:color="auto"/>
              <w:bottom w:val="single" w:sz="8" w:color="auto"/>
              <w:right w:val="single" w:sz="8" w:color="auto"/>
            </w:tcBorders>
            <w:shd w:val="clear" w:color="auto" w:fill="D6DCE4"/>
          </w:tcPr>
          <w:p>
            <w:pPr>
              <w:ind w:left="380"/>
              <w:spacing w:after="0"/>
              <w:rPr>
                <w:sz w:val="20"/>
                <w:szCs w:val="20"/>
                <w:color w:val="auto"/>
              </w:rPr>
            </w:pPr>
            <w:r>
              <w:rPr>
                <w:rFonts w:ascii="Calibri" w:cs="Calibri" w:eastAsia="Calibri" w:hAnsi="Calibri"/>
                <w:sz w:val="18"/>
                <w:szCs w:val="18"/>
                <w:b w:val="1"/>
                <w:bCs w:val="1"/>
                <w:color w:val="auto"/>
              </w:rPr>
              <w:t>Measure 1</w:t>
            </w:r>
          </w:p>
        </w:tc>
        <w:tc>
          <w:tcPr>
            <w:tcW w:w="1480" w:type="dxa"/>
            <w:vAlign w:val="bottom"/>
            <w:tcBorders>
              <w:top w:val="single" w:sz="8" w:color="auto"/>
              <w:bottom w:val="single" w:sz="8" w:color="auto"/>
              <w:right w:val="single" w:sz="8" w:color="auto"/>
            </w:tcBorders>
            <w:shd w:val="clear" w:color="auto" w:fill="D6DCE4"/>
          </w:tcPr>
          <w:p>
            <w:pPr>
              <w:ind w:left="340"/>
              <w:spacing w:after="0"/>
              <w:rPr>
                <w:sz w:val="20"/>
                <w:szCs w:val="20"/>
                <w:color w:val="auto"/>
              </w:rPr>
            </w:pPr>
            <w:r>
              <w:rPr>
                <w:rFonts w:ascii="Calibri" w:cs="Calibri" w:eastAsia="Calibri" w:hAnsi="Calibri"/>
                <w:sz w:val="18"/>
                <w:szCs w:val="18"/>
                <w:b w:val="1"/>
                <w:bCs w:val="1"/>
                <w:color w:val="auto"/>
              </w:rPr>
              <w:t>Measure 2</w:t>
            </w:r>
          </w:p>
        </w:tc>
        <w:tc>
          <w:tcPr>
            <w:tcW w:w="1460" w:type="dxa"/>
            <w:vAlign w:val="bottom"/>
            <w:tcBorders>
              <w:top w:val="single" w:sz="8" w:color="auto"/>
              <w:bottom w:val="single" w:sz="8" w:color="auto"/>
              <w:right w:val="single" w:sz="8" w:color="auto"/>
            </w:tcBorders>
            <w:shd w:val="clear" w:color="auto" w:fill="D6DCE4"/>
          </w:tcPr>
          <w:p>
            <w:pPr>
              <w:ind w:left="320"/>
              <w:spacing w:after="0"/>
              <w:rPr>
                <w:sz w:val="20"/>
                <w:szCs w:val="20"/>
                <w:color w:val="auto"/>
              </w:rPr>
            </w:pPr>
            <w:r>
              <w:rPr>
                <w:rFonts w:ascii="Calibri" w:cs="Calibri" w:eastAsia="Calibri" w:hAnsi="Calibri"/>
                <w:sz w:val="18"/>
                <w:szCs w:val="18"/>
                <w:b w:val="1"/>
                <w:bCs w:val="1"/>
                <w:color w:val="auto"/>
              </w:rPr>
              <w:t>Measure 3</w:t>
            </w:r>
          </w:p>
        </w:tc>
        <w:tc>
          <w:tcPr>
            <w:tcW w:w="1660" w:type="dxa"/>
            <w:vAlign w:val="bottom"/>
            <w:tcBorders>
              <w:top w:val="single" w:sz="8" w:color="auto"/>
              <w:bottom w:val="single" w:sz="8" w:color="auto"/>
              <w:right w:val="single" w:sz="8" w:color="D6DCE4"/>
            </w:tcBorders>
            <w:shd w:val="clear" w:color="auto" w:fill="D6DCE4"/>
          </w:tcPr>
          <w:p>
            <w:pPr>
              <w:ind w:left="400"/>
              <w:spacing w:after="0"/>
              <w:rPr>
                <w:sz w:val="20"/>
                <w:szCs w:val="20"/>
                <w:color w:val="auto"/>
              </w:rPr>
            </w:pPr>
            <w:r>
              <w:rPr>
                <w:rFonts w:ascii="Calibri" w:cs="Calibri" w:eastAsia="Calibri" w:hAnsi="Calibri"/>
                <w:sz w:val="18"/>
                <w:szCs w:val="18"/>
                <w:b w:val="1"/>
                <w:bCs w:val="1"/>
                <w:color w:val="auto"/>
              </w:rPr>
              <w:t>Measure 4</w:t>
            </w:r>
          </w:p>
        </w:tc>
      </w:tr>
      <w:tr>
        <w:trPr>
          <w:trHeight w:val="192"/>
        </w:trPr>
        <w:tc>
          <w:tcPr>
            <w:tcW w:w="1360" w:type="dxa"/>
            <w:vAlign w:val="bottom"/>
            <w:tcBorders>
              <w:right w:val="single" w:sz="8" w:color="auto"/>
            </w:tcBorders>
          </w:tcPr>
          <w:p>
            <w:pPr>
              <w:ind w:left="120"/>
              <w:spacing w:after="0" w:line="193" w:lineRule="exact"/>
              <w:rPr>
                <w:sz w:val="20"/>
                <w:szCs w:val="20"/>
                <w:color w:val="auto"/>
              </w:rPr>
            </w:pPr>
            <w:r>
              <w:rPr>
                <w:rFonts w:ascii="Calibri" w:cs="Calibri" w:eastAsia="Calibri" w:hAnsi="Calibri"/>
                <w:sz w:val="20"/>
                <w:szCs w:val="20"/>
                <w:color w:val="auto"/>
              </w:rPr>
              <w:t>Corporate</w:t>
            </w:r>
          </w:p>
        </w:tc>
        <w:tc>
          <w:tcPr>
            <w:tcW w:w="3720" w:type="dxa"/>
            <w:vAlign w:val="bottom"/>
            <w:tcBorders>
              <w:right w:val="single" w:sz="8" w:color="auto"/>
            </w:tcBorders>
          </w:tcPr>
          <w:p>
            <w:pPr>
              <w:ind w:left="100"/>
              <w:spacing w:after="0" w:line="193" w:lineRule="exact"/>
              <w:rPr>
                <w:sz w:val="20"/>
                <w:szCs w:val="20"/>
                <w:color w:val="auto"/>
              </w:rPr>
            </w:pPr>
            <w:r>
              <w:rPr>
                <w:rFonts w:ascii="Calibri" w:cs="Calibri" w:eastAsia="Calibri" w:hAnsi="Calibri"/>
                <w:sz w:val="20"/>
                <w:szCs w:val="20"/>
                <w:color w:val="auto"/>
              </w:rPr>
              <w:t>Kirby Corporate Services (KCS)</w:t>
            </w:r>
          </w:p>
        </w:tc>
        <w:tc>
          <w:tcPr>
            <w:tcW w:w="15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EBITDA 40%</w:t>
            </w:r>
          </w:p>
        </w:tc>
        <w:tc>
          <w:tcPr>
            <w:tcW w:w="1480" w:type="dxa"/>
            <w:vAlign w:val="bottom"/>
            <w:tcBorders>
              <w:right w:val="single" w:sz="8" w:color="auto"/>
            </w:tcBorders>
          </w:tcPr>
          <w:p>
            <w:pPr>
              <w:ind w:left="100"/>
              <w:spacing w:after="0" w:line="193" w:lineRule="exact"/>
              <w:rPr>
                <w:sz w:val="20"/>
                <w:szCs w:val="20"/>
                <w:color w:val="auto"/>
              </w:rPr>
            </w:pPr>
            <w:r>
              <w:rPr>
                <w:rFonts w:ascii="Calibri" w:cs="Calibri" w:eastAsia="Calibri" w:hAnsi="Calibri"/>
                <w:sz w:val="20"/>
                <w:szCs w:val="20"/>
                <w:color w:val="auto"/>
              </w:rPr>
              <w:t>EPS 30%</w:t>
            </w:r>
          </w:p>
        </w:tc>
        <w:tc>
          <w:tcPr>
            <w:tcW w:w="14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ROTC 10%</w:t>
            </w:r>
          </w:p>
        </w:tc>
        <w:tc>
          <w:tcPr>
            <w:tcW w:w="16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OP/ESG 20%</w:t>
            </w:r>
          </w:p>
        </w:tc>
      </w:tr>
      <w:tr>
        <w:trPr>
          <w:trHeight w:val="301"/>
        </w:trPr>
        <w:tc>
          <w:tcPr>
            <w:tcW w:w="13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Kirby Inland Marine (KIM)</w:t>
            </w:r>
            <w:r>
              <w:rPr>
                <w:rFonts w:ascii="Calibri" w:cs="Calibri" w:eastAsia="Calibri" w:hAnsi="Calibri"/>
                <w:sz w:val="26"/>
                <w:szCs w:val="26"/>
                <w:color w:val="auto"/>
                <w:vertAlign w:val="superscript"/>
              </w:rPr>
              <w:t>1</w:t>
            </w:r>
          </w:p>
        </w:tc>
        <w:tc>
          <w:tcPr>
            <w:tcW w:w="15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OP/ESG 20%</w:t>
            </w:r>
          </w:p>
        </w:tc>
      </w:tr>
      <w:tr>
        <w:trPr>
          <w:trHeight w:val="232"/>
        </w:trPr>
        <w:tc>
          <w:tcPr>
            <w:tcW w:w="13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Kirby Ofshore Marine (KOM)</w:t>
            </w:r>
          </w:p>
        </w:tc>
        <w:tc>
          <w:tcPr>
            <w:tcW w:w="15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196"/>
        </w:trPr>
        <w:tc>
          <w:tcPr>
            <w:tcW w:w="1360" w:type="dxa"/>
            <w:vAlign w:val="bottom"/>
            <w:tcBorders>
              <w:right w:val="single" w:sz="8" w:color="auto"/>
            </w:tcBorders>
          </w:tcPr>
          <w:p>
            <w:pPr>
              <w:ind w:left="120"/>
              <w:spacing w:after="0" w:line="196" w:lineRule="exact"/>
              <w:rPr>
                <w:sz w:val="20"/>
                <w:szCs w:val="20"/>
                <w:color w:val="auto"/>
              </w:rPr>
            </w:pPr>
            <w:r>
              <w:rPr>
                <w:rFonts w:ascii="Calibri" w:cs="Calibri" w:eastAsia="Calibri" w:hAnsi="Calibri"/>
                <w:sz w:val="20"/>
                <w:szCs w:val="20"/>
                <w:color w:val="auto"/>
              </w:rPr>
              <w:t>D&amp;S</w:t>
            </w:r>
          </w:p>
        </w:tc>
        <w:tc>
          <w:tcPr>
            <w:tcW w:w="3720" w:type="dxa"/>
            <w:vAlign w:val="bottom"/>
            <w:tcBorders>
              <w:right w:val="single" w:sz="8" w:color="auto"/>
            </w:tcBorders>
          </w:tcPr>
          <w:p>
            <w:pPr>
              <w:ind w:left="100"/>
              <w:spacing w:after="0" w:line="196" w:lineRule="exact"/>
              <w:rPr>
                <w:sz w:val="20"/>
                <w:szCs w:val="20"/>
                <w:color w:val="auto"/>
              </w:rPr>
            </w:pPr>
            <w:r>
              <w:rPr>
                <w:rFonts w:ascii="Calibri" w:cs="Calibri" w:eastAsia="Calibri" w:hAnsi="Calibri"/>
                <w:sz w:val="20"/>
                <w:szCs w:val="20"/>
                <w:color w:val="auto"/>
              </w:rPr>
              <w:t>Kirby Engine Systems (KES)</w:t>
            </w:r>
          </w:p>
        </w:tc>
        <w:tc>
          <w:tcPr>
            <w:tcW w:w="1560" w:type="dxa"/>
            <w:vAlign w:val="bottom"/>
            <w:tcBorders>
              <w:right w:val="single" w:sz="8" w:color="auto"/>
            </w:tcBorders>
          </w:tcPr>
          <w:p>
            <w:pPr>
              <w:ind w:left="80"/>
              <w:spacing w:after="0" w:line="196" w:lineRule="exact"/>
              <w:rPr>
                <w:sz w:val="20"/>
                <w:szCs w:val="20"/>
                <w:color w:val="auto"/>
              </w:rPr>
            </w:pPr>
            <w:r>
              <w:rPr>
                <w:rFonts w:ascii="Calibri" w:cs="Calibri" w:eastAsia="Calibri" w:hAnsi="Calibri"/>
                <w:sz w:val="20"/>
                <w:szCs w:val="20"/>
                <w:color w:val="auto"/>
              </w:rPr>
              <w:t>EBITDA 80%</w:t>
            </w:r>
          </w:p>
        </w:tc>
        <w:tc>
          <w:tcPr>
            <w:tcW w:w="1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ind w:left="80"/>
              <w:spacing w:after="0" w:line="196" w:lineRule="exact"/>
              <w:rPr>
                <w:sz w:val="20"/>
                <w:szCs w:val="20"/>
                <w:color w:val="auto"/>
              </w:rPr>
            </w:pPr>
            <w:r>
              <w:rPr>
                <w:rFonts w:ascii="Calibri" w:cs="Calibri" w:eastAsia="Calibri" w:hAnsi="Calibri"/>
                <w:sz w:val="20"/>
                <w:szCs w:val="20"/>
                <w:color w:val="auto"/>
              </w:rPr>
              <w:t>OP/ESG 20%</w:t>
            </w:r>
          </w:p>
        </w:tc>
      </w:tr>
      <w:tr>
        <w:trPr>
          <w:trHeight w:val="301"/>
        </w:trPr>
        <w:tc>
          <w:tcPr>
            <w:tcW w:w="13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ThermoKing (TK/CON)</w:t>
            </w:r>
            <w:r>
              <w:rPr>
                <w:rFonts w:ascii="Calibri" w:cs="Calibri" w:eastAsia="Calibri" w:hAnsi="Calibri"/>
                <w:sz w:val="26"/>
                <w:szCs w:val="26"/>
                <w:color w:val="auto"/>
                <w:vertAlign w:val="superscript"/>
              </w:rPr>
              <w:t>2</w:t>
            </w:r>
          </w:p>
        </w:tc>
        <w:tc>
          <w:tcPr>
            <w:tcW w:w="15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OP/ESG 20%</w:t>
            </w:r>
          </w:p>
        </w:tc>
      </w:tr>
      <w:tr>
        <w:trPr>
          <w:trHeight w:val="232"/>
        </w:trPr>
        <w:tc>
          <w:tcPr>
            <w:tcW w:w="13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Detroit Diesel Allison (DDAs)</w:t>
            </w:r>
          </w:p>
        </w:tc>
        <w:tc>
          <w:tcPr>
            <w:tcW w:w="15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United Engines (S&amp;S MFG)</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Rental (S&amp;S MFG)</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Distributon/Training (S&amp;S MFG)</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S&amp;S Manufacturing (S&amp;S MFG)</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Consolidated (KDS)</w:t>
            </w:r>
          </w:p>
        </w:tc>
        <w:tc>
          <w:tcPr>
            <w:tcW w:w="15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KIM includes Kirby Ocean Transport Company and Osprey Line, LLC. and San Jac. Marine, LP</w:t>
      </w:r>
    </w:p>
    <w:p>
      <w:pPr>
        <w:ind w:left="180" w:hanging="172"/>
        <w:spacing w:after="0" w:line="224" w:lineRule="auto"/>
        <w:tabs>
          <w:tab w:leader="none" w:pos="1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Thermo King includes Convoy</w:t>
      </w:r>
    </w:p>
    <w:p>
      <w:pPr>
        <w:ind w:left="180" w:hanging="172"/>
        <w:spacing w:after="0" w:line="224" w:lineRule="auto"/>
        <w:tabs>
          <w:tab w:leader="none" w:pos="1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EBITDA (Earnings before interest, taxes, depreciaton and amortzaton)</w:t>
      </w:r>
    </w:p>
    <w:p>
      <w:pPr>
        <w:ind w:left="180" w:hanging="172"/>
        <w:spacing w:after="0" w:line="224" w:lineRule="auto"/>
        <w:tabs>
          <w:tab w:leader="none" w:pos="1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Earnings per share</w:t>
      </w:r>
    </w:p>
    <w:p>
      <w:pPr>
        <w:ind w:left="180" w:hanging="172"/>
        <w:spacing w:after="0" w:line="224" w:lineRule="auto"/>
        <w:tabs>
          <w:tab w:leader="none" w:pos="1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ROTC (Return on total capital)</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 Weightng</w:t>
      </w:r>
    </w:p>
    <w:p>
      <w:pPr>
        <w:spacing w:after="0" w:line="8" w:lineRule="exact"/>
        <w:rPr>
          <w:sz w:val="20"/>
          <w:szCs w:val="20"/>
          <w:color w:val="auto"/>
        </w:rPr>
      </w:pPr>
    </w:p>
    <w:p>
      <w:pPr>
        <w:jc w:val="both"/>
        <w:ind w:right="460"/>
        <w:spacing w:after="0" w:line="235" w:lineRule="auto"/>
        <w:rPr>
          <w:sz w:val="20"/>
          <w:szCs w:val="20"/>
          <w:color w:val="auto"/>
        </w:rPr>
      </w:pPr>
      <w:r>
        <w:rPr>
          <w:rFonts w:ascii="Calibri" w:cs="Calibri" w:eastAsia="Calibri" w:hAnsi="Calibri"/>
          <w:sz w:val="20"/>
          <w:szCs w:val="20"/>
          <w:color w:val="auto"/>
        </w:rPr>
        <w:t>Calculaton of the preliminary incentve payment amount for Business Group employees will be based primarily on Business Group performance with a defned porton based on Company performance. Calculaton of the preliminary incentve payment amount for employees of KCS will be based on Company performance. Specifc weightngs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9525</wp:posOffset>
            </wp:positionV>
            <wp:extent cx="3124835" cy="2051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8">
                      <a:extLst>
                        <a:ext uri="{28A0092B-C50C-407E-A947-70E740481C1C}"/>
                      </a:extLst>
                    </a:blip>
                    <a:srcRect/>
                    <a:stretch>
                      <a:fillRect/>
                    </a:stretch>
                  </pic:blipFill>
                  <pic:spPr bwMode="auto">
                    <a:xfrm>
                      <a:off x="0" y="0"/>
                      <a:ext cx="3124835" cy="20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5"/>
        </w:trPr>
        <w:tc>
          <w:tcPr>
            <w:tcW w:w="140" w:type="dxa"/>
            <w:vAlign w:val="bottom"/>
            <w:tcBorders>
              <w:right w:val="single" w:sz="8" w:color="D6DCE4"/>
            </w:tcBorders>
          </w:tcPr>
          <w:p>
            <w:pPr>
              <w:spacing w:after="0"/>
              <w:rPr>
                <w:sz w:val="23"/>
                <w:szCs w:val="23"/>
                <w:color w:val="auto"/>
              </w:rPr>
            </w:pPr>
          </w:p>
        </w:tc>
        <w:tc>
          <w:tcPr>
            <w:tcW w:w="4860" w:type="dxa"/>
            <w:vAlign w:val="bottom"/>
            <w:tcBorders>
              <w:top w:val="single" w:sz="8" w:color="D6DCE4"/>
              <w:right w:val="single" w:sz="8" w:color="D6DCE4"/>
            </w:tcBorders>
            <w:shd w:val="clear" w:color="auto" w:fill="D6DCE4"/>
          </w:tcPr>
          <w:p>
            <w:pPr>
              <w:ind w:left="100"/>
              <w:spacing w:after="0"/>
              <w:rPr>
                <w:sz w:val="20"/>
                <w:szCs w:val="20"/>
                <w:color w:val="auto"/>
              </w:rPr>
            </w:pPr>
            <w:r>
              <w:rPr>
                <w:rFonts w:ascii="Calibri" w:cs="Calibri" w:eastAsia="Calibri" w:hAnsi="Calibri"/>
                <w:sz w:val="20"/>
                <w:szCs w:val="20"/>
                <w:b w:val="1"/>
                <w:bCs w:val="1"/>
                <w:color w:val="auto"/>
              </w:rPr>
              <w:t>Business Group</w:t>
            </w:r>
          </w:p>
        </w:tc>
        <w:tc>
          <w:tcPr>
            <w:tcW w:w="1260" w:type="dxa"/>
            <w:vAlign w:val="bottom"/>
            <w:tcBorders>
              <w:top w:val="single" w:sz="8" w:color="auto"/>
              <w:right w:val="single" w:sz="8" w:color="auto"/>
            </w:tcBorders>
            <w:shd w:val="clear" w:color="auto" w:fill="D6DCE4"/>
          </w:tcPr>
          <w:p>
            <w:pPr>
              <w:jc w:val="right"/>
              <w:ind w:right="342"/>
              <w:spacing w:after="0"/>
              <w:rPr>
                <w:sz w:val="20"/>
                <w:szCs w:val="20"/>
                <w:color w:val="auto"/>
              </w:rPr>
            </w:pPr>
            <w:r>
              <w:rPr>
                <w:rFonts w:ascii="Calibri" w:cs="Calibri" w:eastAsia="Calibri" w:hAnsi="Calibri"/>
                <w:sz w:val="20"/>
                <w:szCs w:val="20"/>
                <w:b w:val="1"/>
                <w:bCs w:val="1"/>
                <w:color w:val="auto"/>
              </w:rPr>
              <w:t>Corp</w:t>
            </w:r>
          </w:p>
        </w:tc>
        <w:tc>
          <w:tcPr>
            <w:tcW w:w="1260" w:type="dxa"/>
            <w:vAlign w:val="bottom"/>
            <w:tcBorders>
              <w:top w:val="single" w:sz="8" w:color="auto"/>
              <w:right w:val="single" w:sz="8" w:color="auto"/>
            </w:tcBorders>
            <w:shd w:val="clear" w:color="auto" w:fill="D6DCE4"/>
          </w:tcPr>
          <w:p>
            <w:pPr>
              <w:jc w:val="right"/>
              <w:ind w:right="381"/>
              <w:spacing w:after="0"/>
              <w:rPr>
                <w:sz w:val="20"/>
                <w:szCs w:val="20"/>
                <w:color w:val="auto"/>
              </w:rPr>
            </w:pPr>
            <w:r>
              <w:rPr>
                <w:rFonts w:ascii="Calibri" w:cs="Calibri" w:eastAsia="Calibri" w:hAnsi="Calibri"/>
                <w:sz w:val="20"/>
                <w:szCs w:val="20"/>
                <w:b w:val="1"/>
                <w:bCs w:val="1"/>
                <w:color w:val="auto"/>
              </w:rPr>
              <w:t>KIM</w:t>
            </w:r>
          </w:p>
        </w:tc>
        <w:tc>
          <w:tcPr>
            <w:tcW w:w="1240" w:type="dxa"/>
            <w:vAlign w:val="bottom"/>
            <w:tcBorders>
              <w:top w:val="single" w:sz="8" w:color="auto"/>
              <w:right w:val="single" w:sz="8" w:color="auto"/>
            </w:tcBorders>
            <w:shd w:val="clear" w:color="auto" w:fill="D6DCE4"/>
          </w:tcPr>
          <w:p>
            <w:pPr>
              <w:jc w:val="right"/>
              <w:ind w:right="341"/>
              <w:spacing w:after="0"/>
              <w:rPr>
                <w:sz w:val="20"/>
                <w:szCs w:val="20"/>
                <w:color w:val="auto"/>
              </w:rPr>
            </w:pPr>
            <w:r>
              <w:rPr>
                <w:rFonts w:ascii="Calibri" w:cs="Calibri" w:eastAsia="Calibri" w:hAnsi="Calibri"/>
                <w:sz w:val="20"/>
                <w:szCs w:val="20"/>
                <w:b w:val="1"/>
                <w:bCs w:val="1"/>
                <w:color w:val="auto"/>
              </w:rPr>
              <w:t>KOM</w:t>
            </w:r>
          </w:p>
        </w:tc>
        <w:tc>
          <w:tcPr>
            <w:tcW w:w="760" w:type="dxa"/>
            <w:vAlign w:val="bottom"/>
            <w:tcBorders>
              <w:top w:val="single" w:sz="8" w:color="auto"/>
            </w:tcBorders>
            <w:shd w:val="clear" w:color="auto" w:fill="D6DCE4"/>
          </w:tcPr>
          <w:p>
            <w:pPr>
              <w:ind w:left="440"/>
              <w:spacing w:after="0"/>
              <w:rPr>
                <w:sz w:val="20"/>
                <w:szCs w:val="20"/>
                <w:color w:val="auto"/>
              </w:rPr>
            </w:pPr>
            <w:r>
              <w:rPr>
                <w:rFonts w:ascii="Calibri" w:cs="Calibri" w:eastAsia="Calibri" w:hAnsi="Calibri"/>
                <w:sz w:val="20"/>
                <w:szCs w:val="20"/>
                <w:b w:val="1"/>
                <w:bCs w:val="1"/>
                <w:color w:val="auto"/>
                <w:w w:val="90"/>
              </w:rPr>
              <w:t>KDS</w:t>
            </w:r>
          </w:p>
        </w:tc>
        <w:tc>
          <w:tcPr>
            <w:tcW w:w="480" w:type="dxa"/>
            <w:vAlign w:val="bottom"/>
            <w:tcBorders>
              <w:top w:val="single" w:sz="8" w:color="auto"/>
              <w:right w:val="single" w:sz="8" w:color="auto"/>
            </w:tcBorders>
            <w:shd w:val="clear" w:color="auto" w:fill="D6DCE4"/>
          </w:tcPr>
          <w:p>
            <w:pPr>
              <w:spacing w:after="0"/>
              <w:rPr>
                <w:sz w:val="23"/>
                <w:szCs w:val="23"/>
                <w:color w:val="auto"/>
              </w:rPr>
            </w:pPr>
          </w:p>
        </w:tc>
        <w:tc>
          <w:tcPr>
            <w:tcW w:w="1220" w:type="dxa"/>
            <w:vAlign w:val="bottom"/>
            <w:tcBorders>
              <w:top w:val="single" w:sz="8" w:color="auto"/>
              <w:right w:val="single" w:sz="8" w:color="auto"/>
            </w:tcBorders>
            <w:shd w:val="clear" w:color="auto" w:fill="D6DCE4"/>
          </w:tcPr>
          <w:p>
            <w:pPr>
              <w:jc w:val="right"/>
              <w:ind w:right="381"/>
              <w:spacing w:after="0"/>
              <w:rPr>
                <w:sz w:val="20"/>
                <w:szCs w:val="20"/>
                <w:color w:val="auto"/>
              </w:rPr>
            </w:pPr>
            <w:r>
              <w:rPr>
                <w:rFonts w:ascii="Calibri" w:cs="Calibri" w:eastAsia="Calibri" w:hAnsi="Calibri"/>
                <w:sz w:val="20"/>
                <w:szCs w:val="20"/>
                <w:b w:val="1"/>
                <w:bCs w:val="1"/>
                <w:color w:val="auto"/>
              </w:rPr>
              <w:t>KES</w:t>
            </w:r>
          </w:p>
        </w:tc>
        <w:tc>
          <w:tcPr>
            <w:tcW w:w="20" w:type="dxa"/>
            <w:vAlign w:val="bottom"/>
          </w:tcPr>
          <w:p>
            <w:pPr>
              <w:spacing w:after="0"/>
              <w:rPr>
                <w:sz w:val="23"/>
                <w:szCs w:val="23"/>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top w:val="single" w:sz="8" w:color="D6DCE4"/>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KCS</w:t>
            </w:r>
          </w:p>
        </w:tc>
        <w:tc>
          <w:tcPr>
            <w:tcW w:w="1260" w:type="dxa"/>
            <w:vAlign w:val="bottom"/>
            <w:tcBorders>
              <w:top w:val="single" w:sz="8" w:color="auto"/>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100%</w:t>
            </w: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right w:val="single" w:sz="8" w:color="auto"/>
            </w:tcBorders>
          </w:tcPr>
          <w:p>
            <w:pPr>
              <w:spacing w:after="0"/>
              <w:rPr>
                <w:sz w:val="20"/>
                <w:szCs w:val="20"/>
                <w:color w:val="auto"/>
              </w:rPr>
            </w:pPr>
          </w:p>
        </w:tc>
        <w:tc>
          <w:tcPr>
            <w:tcW w:w="1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KIM</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KOM</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President (Marine)</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35%</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15%</w:t>
            </w: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20%</w:t>
            </w: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 President</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United/S&amp;S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DDAs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TK/CON</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President (KDS)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50%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Shared (KDS)</w:t>
            </w:r>
          </w:p>
        </w:tc>
        <w:tc>
          <w:tcPr>
            <w:tcW w:w="126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8"/>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6" w:name="page87"/>
    <w:bookmarkEnd w:id="86"/>
    <w:p>
      <w:pPr>
        <w:spacing w:after="0"/>
        <w:rPr>
          <w:sz w:val="20"/>
          <w:szCs w:val="20"/>
          <w:color w:val="auto"/>
        </w:rPr>
      </w:pPr>
      <w:r>
        <w:rPr>
          <w:rFonts w:ascii="Calibri" w:cs="Calibri" w:eastAsia="Calibri" w:hAnsi="Calibri"/>
          <w:sz w:val="20"/>
          <w:szCs w:val="20"/>
          <w:b w:val="1"/>
          <w:bCs w:val="1"/>
          <w:i w:val="1"/>
          <w:iCs w:val="1"/>
          <w:color w:val="auto"/>
        </w:rPr>
        <w:t>Performance Standards for Incentve Payment Calculatons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19050</wp:posOffset>
            </wp:positionV>
            <wp:extent cx="6845300" cy="260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1">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59" w:lineRule="exact"/>
        <w:rPr>
          <w:sz w:val="20"/>
          <w:szCs w:val="20"/>
          <w:color w:val="auto"/>
        </w:rPr>
      </w:pPr>
    </w:p>
    <w:p>
      <w:pPr>
        <w:ind w:left="4060"/>
        <w:spacing w:after="0"/>
        <w:rPr>
          <w:sz w:val="20"/>
          <w:szCs w:val="20"/>
          <w:color w:val="auto"/>
        </w:rPr>
      </w:pPr>
      <w:r>
        <w:rPr>
          <w:rFonts w:ascii="Calibri" w:cs="Calibri" w:eastAsia="Calibri" w:hAnsi="Calibri"/>
          <w:sz w:val="20"/>
          <w:szCs w:val="20"/>
          <w:b w:val="1"/>
          <w:bCs w:val="1"/>
          <w:color w:val="auto"/>
        </w:rPr>
        <w:t>Corporate and Kirby Inland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76"/>
        </w:trPr>
        <w:tc>
          <w:tcPr>
            <w:tcW w:w="2220" w:type="dxa"/>
            <w:vAlign w:val="bottom"/>
            <w:tcBorders>
              <w:top w:val="single" w:sz="8" w:color="auto"/>
              <w:left w:val="single" w:sz="8" w:color="auto"/>
              <w:right w:val="single" w:sz="8" w:color="auto"/>
            </w:tcBorders>
            <w:vMerge w:val="restart"/>
            <w:shd w:val="clear" w:color="auto" w:fill="D6DCE4"/>
          </w:tcPr>
          <w:p>
            <w:pPr>
              <w:ind w:left="42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20" w:type="dxa"/>
            <w:vAlign w:val="bottom"/>
            <w:tcBorders>
              <w:left w:val="single" w:sz="8" w:color="auto"/>
              <w:bottom w:val="single" w:sz="8" w:color="auto"/>
              <w:right w:val="single" w:sz="8" w:color="auto"/>
            </w:tcBorders>
            <w:shd w:val="clear" w:color="auto" w:fill="D6DCE4"/>
          </w:tcPr>
          <w:p>
            <w:pPr>
              <w:spacing w:after="0"/>
              <w:rPr>
                <w:sz w:val="7"/>
                <w:szCs w:val="7"/>
                <w:color w:val="auto"/>
              </w:rPr>
            </w:pPr>
          </w:p>
        </w:tc>
        <w:tc>
          <w:tcPr>
            <w:tcW w:w="3860" w:type="dxa"/>
            <w:vAlign w:val="bottom"/>
            <w:tcBorders>
              <w:bottom w:val="single" w:sz="8" w:color="auto"/>
              <w:right w:val="single" w:sz="8" w:color="auto"/>
            </w:tcBorders>
            <w:shd w:val="clear" w:color="auto" w:fill="D6DCE4"/>
          </w:tcPr>
          <w:p>
            <w:pPr>
              <w:spacing w:after="0"/>
              <w:rPr>
                <w:sz w:val="7"/>
                <w:szCs w:val="7"/>
                <w:color w:val="auto"/>
              </w:rPr>
            </w:pPr>
          </w:p>
        </w:tc>
        <w:tc>
          <w:tcPr>
            <w:tcW w:w="2840" w:type="dxa"/>
            <w:vAlign w:val="bottom"/>
            <w:tcBorders>
              <w:bottom w:val="single" w:sz="8" w:color="auto"/>
              <w:right w:val="single" w:sz="8" w:color="auto"/>
            </w:tcBorders>
            <w:shd w:val="clear" w:color="auto" w:fill="D6DCE4"/>
          </w:tcPr>
          <w:p>
            <w:pPr>
              <w:spacing w:after="0"/>
              <w:rPr>
                <w:sz w:val="7"/>
                <w:szCs w:val="7"/>
                <w:color w:val="auto"/>
              </w:rPr>
            </w:pPr>
          </w:p>
        </w:tc>
        <w:tc>
          <w:tcPr>
            <w:tcW w:w="1860" w:type="dxa"/>
            <w:vAlign w:val="bottom"/>
            <w:tcBorders>
              <w:bottom w:val="single" w:sz="8" w:color="auto"/>
              <w:right w:val="single" w:sz="8" w:color="auto"/>
            </w:tcBorders>
            <w:shd w:val="clear" w:color="auto" w:fill="D6DCE4"/>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less than 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Target</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bottom w:val="single" w:sz="8" w:color="auto"/>
              <w:right w:val="single" w:sz="8" w:color="auto"/>
            </w:tcBorders>
          </w:tcPr>
          <w:p>
            <w:pPr>
              <w:ind w:left="80"/>
              <w:spacing w:after="0" w:line="209" w:lineRule="exact"/>
              <w:rPr>
                <w:sz w:val="20"/>
                <w:szCs w:val="20"/>
                <w:color w:val="auto"/>
              </w:rPr>
            </w:pPr>
            <w:r>
              <w:rPr>
                <w:rFonts w:ascii="Calibri" w:cs="Calibri" w:eastAsia="Calibri" w:hAnsi="Calibri"/>
                <w:sz w:val="18"/>
                <w:szCs w:val="18"/>
                <w:color w:val="auto"/>
              </w:rPr>
              <w:t>100% of budget</w:t>
            </w:r>
          </w:p>
        </w:tc>
        <w:tc>
          <w:tcPr>
            <w:tcW w:w="18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17"/>
        </w:trPr>
        <w:tc>
          <w:tcPr>
            <w:tcW w:w="2220" w:type="dxa"/>
            <w:vAlign w:val="bottom"/>
            <w:tcBorders>
              <w:left w:val="single" w:sz="8" w:color="auto"/>
              <w:bottom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Outstanding performance</w:t>
            </w:r>
          </w:p>
        </w:tc>
        <w:tc>
          <w:tcPr>
            <w:tcW w:w="2840" w:type="dxa"/>
            <w:vAlign w:val="bottom"/>
            <w:tcBorders>
              <w:bottom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120% of budget</w:t>
            </w:r>
          </w:p>
        </w:tc>
        <w:tc>
          <w:tcPr>
            <w:tcW w:w="186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151765</wp:posOffset>
            </wp:positionV>
            <wp:extent cx="6845300" cy="260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2">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Kirby Ofshore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4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198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4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8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4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8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0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40" w:type="dxa"/>
            <w:vAlign w:val="bottom"/>
            <w:tcBorders>
              <w:bottom w:val="single" w:sz="8" w:color="auto"/>
              <w:right w:val="single" w:sz="8" w:color="auto"/>
            </w:tcBorders>
            <w:shd w:val="clear" w:color="auto" w:fill="D6DCE4"/>
          </w:tcPr>
          <w:p>
            <w:pPr>
              <w:spacing w:after="0"/>
              <w:rPr>
                <w:sz w:val="6"/>
                <w:szCs w:val="6"/>
                <w:color w:val="auto"/>
              </w:rPr>
            </w:pPr>
          </w:p>
        </w:tc>
        <w:tc>
          <w:tcPr>
            <w:tcW w:w="2860" w:type="dxa"/>
            <w:vAlign w:val="bottom"/>
            <w:tcBorders>
              <w:bottom w:val="single" w:sz="8" w:color="auto"/>
              <w:right w:val="single" w:sz="8" w:color="auto"/>
            </w:tcBorders>
            <w:shd w:val="clear" w:color="auto" w:fill="D6DCE4"/>
          </w:tcPr>
          <w:p>
            <w:pPr>
              <w:spacing w:after="0"/>
              <w:rPr>
                <w:sz w:val="6"/>
                <w:szCs w:val="6"/>
                <w:color w:val="auto"/>
              </w:rPr>
            </w:pPr>
          </w:p>
        </w:tc>
        <w:tc>
          <w:tcPr>
            <w:tcW w:w="198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10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40" w:type="dxa"/>
            <w:vAlign w:val="bottom"/>
            <w:tcBorders>
              <w:right w:val="single" w:sz="8" w:color="auto"/>
            </w:tcBorders>
          </w:tcPr>
          <w:p>
            <w:pPr>
              <w:ind w:left="8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1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Outstanding performance</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151765</wp:posOffset>
            </wp:positionV>
            <wp:extent cx="6845300" cy="260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3">
                      <a:extLst>
                        <a:ext uri="{28A0092B-C50C-407E-A947-70E740481C1C}"/>
                      </a:extLst>
                    </a:blip>
                    <a:srcRect/>
                    <a:stretch>
                      <a:fillRect/>
                    </a:stretch>
                  </pic:blipFill>
                  <pic:spPr bwMode="auto">
                    <a:xfrm>
                      <a:off x="0" y="0"/>
                      <a:ext cx="6845300" cy="26098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-41910</wp:posOffset>
            </wp:positionV>
            <wp:extent cx="254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S&amp;S Distributon, Rental, United, Training Center, KDS MFG</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220" w:type="dxa"/>
            <w:vAlign w:val="bottom"/>
            <w:tcBorders>
              <w:top w:val="single" w:sz="8" w:color="auto"/>
              <w:left w:val="single" w:sz="8" w:color="auto"/>
              <w:right w:val="single" w:sz="8" w:color="auto"/>
            </w:tcBorders>
            <w:vMerge w:val="restart"/>
            <w:shd w:val="clear" w:color="auto" w:fill="D6DCE4"/>
          </w:tcPr>
          <w:p>
            <w:pPr>
              <w:ind w:left="42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2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60" w:type="dxa"/>
            <w:vAlign w:val="bottom"/>
            <w:tcBorders>
              <w:bottom w:val="single" w:sz="8" w:color="auto"/>
              <w:right w:val="single" w:sz="8" w:color="auto"/>
            </w:tcBorders>
            <w:shd w:val="clear" w:color="auto" w:fill="D6DCE4"/>
          </w:tcPr>
          <w:p>
            <w:pPr>
              <w:spacing w:after="0"/>
              <w:rPr>
                <w:sz w:val="6"/>
                <w:szCs w:val="6"/>
                <w:color w:val="auto"/>
              </w:rPr>
            </w:pPr>
          </w:p>
        </w:tc>
        <w:tc>
          <w:tcPr>
            <w:tcW w:w="2840" w:type="dxa"/>
            <w:vAlign w:val="bottom"/>
            <w:tcBorders>
              <w:bottom w:val="single" w:sz="8" w:color="auto"/>
              <w:right w:val="single" w:sz="8" w:color="auto"/>
            </w:tcBorders>
            <w:shd w:val="clear" w:color="auto" w:fill="D6DCE4"/>
          </w:tcPr>
          <w:p>
            <w:pPr>
              <w:spacing w:after="0"/>
              <w:rPr>
                <w:sz w:val="6"/>
                <w:szCs w:val="6"/>
                <w:color w:val="auto"/>
              </w:rPr>
            </w:pPr>
          </w:p>
        </w:tc>
        <w:tc>
          <w:tcPr>
            <w:tcW w:w="186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2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80"/>
              <w:spacing w:after="0" w:line="213" w:lineRule="exact"/>
              <w:rPr>
                <w:sz w:val="20"/>
                <w:szCs w:val="20"/>
                <w:color w:val="auto"/>
              </w:rPr>
            </w:pPr>
            <w:r>
              <w:rPr>
                <w:rFonts w:ascii="Calibri" w:cs="Calibri" w:eastAsia="Calibri" w:hAnsi="Calibri"/>
                <w:sz w:val="18"/>
                <w:szCs w:val="18"/>
                <w:color w:val="auto"/>
              </w:rPr>
              <w:t>less than 60% of budget</w:t>
            </w:r>
          </w:p>
        </w:tc>
        <w:tc>
          <w:tcPr>
            <w:tcW w:w="186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60%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100%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Outstanding performance</w:t>
            </w:r>
          </w:p>
        </w:tc>
        <w:tc>
          <w:tcPr>
            <w:tcW w:w="284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140%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151765</wp:posOffset>
            </wp:positionV>
            <wp:extent cx="6845300" cy="260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5">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69"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ThermoKing, Detroit Diesel Allison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0" w:type="dxa"/>
            <w:vAlign w:val="bottom"/>
            <w:tcBorders>
              <w:right w:val="single" w:sz="8" w:color="auto"/>
            </w:tcBorders>
          </w:tcPr>
          <w:p>
            <w:pPr>
              <w:spacing w:after="0"/>
              <w:rPr>
                <w:sz w:val="22"/>
                <w:szCs w:val="22"/>
                <w:color w:val="auto"/>
              </w:rPr>
            </w:pPr>
          </w:p>
        </w:tc>
        <w:tc>
          <w:tcPr>
            <w:tcW w:w="2080" w:type="dxa"/>
            <w:vAlign w:val="bottom"/>
            <w:tcBorders>
              <w:top w:val="single" w:sz="8" w:color="auto"/>
              <w:right w:val="single" w:sz="8" w:color="auto"/>
            </w:tcBorders>
            <w:vMerge w:val="restart"/>
            <w:shd w:val="clear" w:color="auto" w:fill="D6DCE4"/>
          </w:tcPr>
          <w:p>
            <w:pPr>
              <w:ind w:left="340"/>
              <w:spacing w:after="0"/>
              <w:rPr>
                <w:sz w:val="20"/>
                <w:szCs w:val="20"/>
                <w:color w:val="auto"/>
              </w:rPr>
            </w:pPr>
            <w:r>
              <w:rPr>
                <w:rFonts w:ascii="Calibri" w:cs="Calibri" w:eastAsia="Calibri" w:hAnsi="Calibri"/>
                <w:sz w:val="18"/>
                <w:szCs w:val="18"/>
                <w:b w:val="1"/>
                <w:bCs w:val="1"/>
                <w:color w:val="auto"/>
              </w:rPr>
              <w:t>Performance Level</w:t>
            </w:r>
          </w:p>
        </w:tc>
        <w:tc>
          <w:tcPr>
            <w:tcW w:w="3340" w:type="dxa"/>
            <w:vAlign w:val="bottom"/>
            <w:tcBorders>
              <w:top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500" w:type="dxa"/>
            <w:vAlign w:val="bottom"/>
            <w:tcBorders>
              <w:top w:val="single" w:sz="8" w:color="auto"/>
              <w:right w:val="single" w:sz="8" w:color="auto"/>
            </w:tcBorders>
            <w:shd w:val="clear" w:color="auto" w:fill="D6DCE4"/>
          </w:tcPr>
          <w:p>
            <w:pPr>
              <w:spacing w:after="0"/>
              <w:rPr>
                <w:sz w:val="22"/>
                <w:szCs w:val="22"/>
                <w:color w:val="auto"/>
              </w:rPr>
            </w:pP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198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shd w:val="clear" w:color="auto" w:fill="D6DCE4"/>
          </w:tcPr>
          <w:p>
            <w:pPr>
              <w:spacing w:after="0"/>
              <w:rPr>
                <w:sz w:val="9"/>
                <w:szCs w:val="9"/>
                <w:color w:val="auto"/>
              </w:rPr>
            </w:pPr>
          </w:p>
        </w:tc>
        <w:tc>
          <w:tcPr>
            <w:tcW w:w="3340" w:type="dxa"/>
            <w:vAlign w:val="bottom"/>
            <w:vMerge w:val="continue"/>
            <w:shd w:val="clear" w:color="auto" w:fill="D6DCE4"/>
          </w:tcPr>
          <w:p>
            <w:pPr>
              <w:spacing w:after="0"/>
              <w:rPr>
                <w:sz w:val="9"/>
                <w:szCs w:val="9"/>
                <w:color w:val="auto"/>
              </w:rPr>
            </w:pPr>
          </w:p>
        </w:tc>
        <w:tc>
          <w:tcPr>
            <w:tcW w:w="50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8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shd w:val="clear" w:color="auto" w:fill="D6DCE4"/>
          </w:tcPr>
          <w:p>
            <w:pPr>
              <w:spacing w:after="0"/>
              <w:rPr>
                <w:sz w:val="9"/>
                <w:szCs w:val="9"/>
                <w:color w:val="auto"/>
              </w:rPr>
            </w:pPr>
          </w:p>
        </w:tc>
        <w:tc>
          <w:tcPr>
            <w:tcW w:w="3340" w:type="dxa"/>
            <w:vAlign w:val="bottom"/>
            <w:shd w:val="clear" w:color="auto" w:fill="D6DCE4"/>
          </w:tcPr>
          <w:p>
            <w:pPr>
              <w:spacing w:after="0"/>
              <w:rPr>
                <w:sz w:val="9"/>
                <w:szCs w:val="9"/>
                <w:color w:val="auto"/>
              </w:rPr>
            </w:pPr>
          </w:p>
        </w:tc>
        <w:tc>
          <w:tcPr>
            <w:tcW w:w="50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80" w:type="dxa"/>
            <w:vAlign w:val="bottom"/>
            <w:tcBorders>
              <w:right w:val="single" w:sz="8" w:color="auto"/>
            </w:tcBorders>
            <w:vMerge w:val="continue"/>
            <w:shd w:val="clear" w:color="auto" w:fill="D6DCE4"/>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shd w:val="clear" w:color="auto" w:fill="D6DCE4"/>
          </w:tcPr>
          <w:p>
            <w:pPr>
              <w:spacing w:after="0"/>
              <w:rPr>
                <w:sz w:val="6"/>
                <w:szCs w:val="6"/>
                <w:color w:val="auto"/>
              </w:rPr>
            </w:pPr>
          </w:p>
        </w:tc>
        <w:tc>
          <w:tcPr>
            <w:tcW w:w="3340" w:type="dxa"/>
            <w:vAlign w:val="bottom"/>
            <w:tcBorders>
              <w:bottom w:val="single" w:sz="8" w:color="auto"/>
            </w:tcBorders>
            <w:shd w:val="clear" w:color="auto" w:fill="D6DCE4"/>
          </w:tcPr>
          <w:p>
            <w:pPr>
              <w:spacing w:after="0"/>
              <w:rPr>
                <w:sz w:val="6"/>
                <w:szCs w:val="6"/>
                <w:color w:val="auto"/>
              </w:rPr>
            </w:pPr>
          </w:p>
        </w:tc>
        <w:tc>
          <w:tcPr>
            <w:tcW w:w="500" w:type="dxa"/>
            <w:vAlign w:val="bottom"/>
            <w:tcBorders>
              <w:bottom w:val="single" w:sz="8" w:color="auto"/>
              <w:right w:val="single" w:sz="8" w:color="auto"/>
            </w:tcBorders>
            <w:shd w:val="clear" w:color="auto" w:fill="D6DCE4"/>
          </w:tcPr>
          <w:p>
            <w:pPr>
              <w:spacing w:after="0"/>
              <w:rPr>
                <w:sz w:val="6"/>
                <w:szCs w:val="6"/>
                <w:color w:val="auto"/>
              </w:rPr>
            </w:pPr>
          </w:p>
        </w:tc>
        <w:tc>
          <w:tcPr>
            <w:tcW w:w="2860" w:type="dxa"/>
            <w:vAlign w:val="bottom"/>
            <w:tcBorders>
              <w:bottom w:val="single" w:sz="8" w:color="auto"/>
              <w:right w:val="single" w:sz="8" w:color="auto"/>
            </w:tcBorders>
            <w:shd w:val="clear" w:color="auto" w:fill="D6DCE4"/>
          </w:tcPr>
          <w:p>
            <w:pPr>
              <w:spacing w:after="0"/>
              <w:rPr>
                <w:sz w:val="6"/>
                <w:szCs w:val="6"/>
                <w:color w:val="auto"/>
              </w:rPr>
            </w:pPr>
          </w:p>
        </w:tc>
        <w:tc>
          <w:tcPr>
            <w:tcW w:w="1980" w:type="dxa"/>
            <w:vAlign w:val="bottom"/>
            <w:tcBorders>
              <w:bottom w:val="single" w:sz="8" w:color="auto"/>
              <w:right w:val="single" w:sz="8" w:color="auto"/>
            </w:tcBorders>
            <w:shd w:val="clear" w:color="auto" w:fill="D6DCE4"/>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Below Threshold</w:t>
            </w:r>
          </w:p>
        </w:tc>
        <w:tc>
          <w:tcPr>
            <w:tcW w:w="3340" w:type="dxa"/>
            <w:vAlign w:val="bottom"/>
          </w:tcPr>
          <w:p>
            <w:pPr>
              <w:ind w:left="8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50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1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Threshold</w:t>
            </w:r>
          </w:p>
        </w:tc>
        <w:tc>
          <w:tcPr>
            <w:tcW w:w="3340" w:type="dxa"/>
            <w:vAlign w:val="bottom"/>
          </w:tcPr>
          <w:p>
            <w:pPr>
              <w:ind w:left="80"/>
              <w:spacing w:after="0"/>
              <w:rPr>
                <w:sz w:val="20"/>
                <w:szCs w:val="20"/>
                <w:color w:val="auto"/>
              </w:rPr>
            </w:pPr>
            <w:r>
              <w:rPr>
                <w:rFonts w:ascii="Calibri" w:cs="Calibri" w:eastAsia="Calibri" w:hAnsi="Calibri"/>
                <w:sz w:val="18"/>
                <w:szCs w:val="18"/>
                <w:color w:val="auto"/>
                <w:w w:val="96"/>
              </w:rPr>
              <w:t>Minimum acceptable performance for payout</w:t>
            </w:r>
          </w:p>
        </w:tc>
        <w:tc>
          <w:tcPr>
            <w:tcW w:w="50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Target</w:t>
            </w:r>
          </w:p>
        </w:tc>
        <w:tc>
          <w:tcPr>
            <w:tcW w:w="3340" w:type="dxa"/>
            <w:vAlign w:val="bottom"/>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50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4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Maximum</w:t>
            </w:r>
          </w:p>
        </w:tc>
        <w:tc>
          <w:tcPr>
            <w:tcW w:w="3340" w:type="dxa"/>
            <w:vAlign w:val="bottom"/>
          </w:tcPr>
          <w:p>
            <w:pPr>
              <w:ind w:left="80"/>
              <w:spacing w:after="0"/>
              <w:rPr>
                <w:sz w:val="20"/>
                <w:szCs w:val="20"/>
                <w:color w:val="auto"/>
              </w:rPr>
            </w:pPr>
            <w:r>
              <w:rPr>
                <w:rFonts w:ascii="Calibri" w:cs="Calibri" w:eastAsia="Calibri" w:hAnsi="Calibri"/>
                <w:sz w:val="18"/>
                <w:szCs w:val="18"/>
                <w:color w:val="auto"/>
              </w:rPr>
              <w:t>Outstanding performance</w:t>
            </w:r>
          </w:p>
        </w:tc>
        <w:tc>
          <w:tcPr>
            <w:tcW w:w="50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6</w:t>
            </w:r>
          </w:p>
        </w:tc>
        <w:tc>
          <w:tcPr>
            <w:tcW w:w="2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87" w:name="page88"/>
    <w:bookmarkEnd w:id="87"/>
    <w:p>
      <w:pPr>
        <w:ind w:left="390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635000</wp:posOffset>
            </wp:positionV>
            <wp:extent cx="6845300" cy="260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8">
                      <a:extLst>
                        <a:ext uri="{28A0092B-C50C-407E-A947-70E740481C1C}"/>
                      </a:extLst>
                    </a:blip>
                    <a:srcRect/>
                    <a:stretch>
                      <a:fillRect/>
                    </a:stretch>
                  </pic:blipFill>
                  <pic:spPr bwMode="auto">
                    <a:xfrm>
                      <a:off x="0" y="0"/>
                      <a:ext cx="6845300" cy="260985"/>
                    </a:xfrm>
                    <a:prstGeom prst="rect">
                      <a:avLst/>
                    </a:prstGeom>
                    <a:noFill/>
                  </pic:spPr>
                </pic:pic>
              </a:graphicData>
            </a:graphic>
          </wp:anchor>
        </w:drawing>
        <w:t>KDS President &amp; Shared Employees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19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0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86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196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70%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70%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4"/>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130% of budget</w:t>
            </w:r>
          </w:p>
        </w:tc>
        <w:tc>
          <w:tcPr>
            <w:tcW w:w="19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4"/>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6845300" cy="260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9">
                      <a:extLst>
                        <a:ext uri="{28A0092B-C50C-407E-A947-70E740481C1C}"/>
                      </a:extLst>
                    </a:blip>
                    <a:srcRect/>
                    <a:stretch>
                      <a:fillRect/>
                    </a:stretch>
                  </pic:blipFill>
                  <pic:spPr bwMode="auto">
                    <a:xfrm>
                      <a:off x="0" y="0"/>
                      <a:ext cx="6845300" cy="260985"/>
                    </a:xfrm>
                    <a:prstGeom prst="rect">
                      <a:avLst/>
                    </a:prstGeom>
                    <a:noFill/>
                  </pic:spPr>
                </pic:pic>
              </a:graphicData>
            </a:graphic>
          </wp:anchor>
        </w:drawing>
      </w:r>
    </w:p>
    <w:p>
      <w:pPr>
        <w:spacing w:after="0" w:line="242" w:lineRule="exact"/>
        <w:rPr>
          <w:sz w:val="20"/>
          <w:szCs w:val="20"/>
          <w:color w:val="auto"/>
        </w:rPr>
      </w:pPr>
    </w:p>
    <w:p>
      <w:pPr>
        <w:ind w:left="4220"/>
        <w:spacing w:after="0"/>
        <w:rPr>
          <w:sz w:val="20"/>
          <w:szCs w:val="20"/>
          <w:color w:val="auto"/>
        </w:rPr>
      </w:pPr>
      <w:r>
        <w:rPr>
          <w:rFonts w:ascii="Calibri" w:cs="Calibri" w:eastAsia="Calibri" w:hAnsi="Calibri"/>
          <w:sz w:val="20"/>
          <w:szCs w:val="20"/>
          <w:b w:val="1"/>
          <w:bCs w:val="1"/>
          <w:color w:val="auto"/>
        </w:rPr>
        <w:t>KES – Kirby Engine Systems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600"/>
              <w:spacing w:after="0"/>
              <w:rPr>
                <w:sz w:val="20"/>
                <w:szCs w:val="20"/>
                <w:color w:val="auto"/>
              </w:rPr>
            </w:pPr>
            <w:r>
              <w:rPr>
                <w:rFonts w:ascii="Calibri" w:cs="Calibri" w:eastAsia="Calibri" w:hAnsi="Calibri"/>
                <w:sz w:val="18"/>
                <w:szCs w:val="18"/>
                <w:b w:val="1"/>
                <w:bCs w:val="1"/>
                <w:color w:val="auto"/>
              </w:rPr>
              <w:t>Relatonship to Budget</w:t>
            </w:r>
          </w:p>
        </w:tc>
        <w:tc>
          <w:tcPr>
            <w:tcW w:w="19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5"/>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0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86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196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75%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75%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4"/>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135% of budget</w:t>
            </w:r>
          </w:p>
        </w:tc>
        <w:tc>
          <w:tcPr>
            <w:tcW w:w="19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4"/>
              </w:rPr>
              <w:t>200%</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760" w:right="100" w:hanging="378"/>
        <w:spacing w:after="0" w:line="236"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Between the threshold and maximum percentages of budget achieved for each performance measure, there is a linear relatonship between the percentage of budget achieved and the resultng percentage of the target payout percentage used in calculatng payout amounts. As examples, 90% of budget for KIM would result in 75% of target used in the calculaton of a preliminary payment amount and 105% of budget would result in 125% of target used for the calculaton of a preliminary payment amount.</w:t>
      </w:r>
    </w:p>
    <w:p>
      <w:pPr>
        <w:spacing w:after="0" w:line="26" w:lineRule="exact"/>
        <w:rPr>
          <w:rFonts w:ascii="Times New Roman" w:cs="Times New Roman" w:eastAsia="Times New Roman" w:hAnsi="Times New Roman"/>
          <w:sz w:val="20"/>
          <w:szCs w:val="20"/>
          <w:color w:val="auto"/>
        </w:rPr>
      </w:pPr>
    </w:p>
    <w:p>
      <w:pPr>
        <w:ind w:left="760" w:right="220" w:hanging="378"/>
        <w:spacing w:after="0" w:line="235"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target amount determined for each performance measure is then multplied by the weight for the performance measure and the results are added together to produce a total Company or Business Group payout percentage of the target incentve that is applied to each individual partcipant to calculate the Aggregate Payout Amount under the Plan.</w:t>
      </w:r>
    </w:p>
    <w:p>
      <w:pPr>
        <w:spacing w:after="0" w:line="24" w:lineRule="exact"/>
        <w:rPr>
          <w:rFonts w:ascii="Times New Roman" w:cs="Times New Roman" w:eastAsia="Times New Roman" w:hAnsi="Times New Roman"/>
          <w:sz w:val="20"/>
          <w:szCs w:val="20"/>
          <w:color w:val="auto"/>
        </w:rPr>
      </w:pPr>
    </w:p>
    <w:p>
      <w:pPr>
        <w:ind w:left="760" w:hanging="378"/>
        <w:spacing w:after="0" w:line="237"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and the Chief Executve Ofcer shall in their discreton allocate the Aggregate Payment Amount among eligible partcipants; provided that only the Compensaton Commitee shall have the authority to allocate payment amounts to eligible partcipants (i) who are “ofcers” for purposes of Secton 16 of the Securites Exchange Act of 1934, (ii) whose bonus target is 50% or more of base salary or (iii) whose base salary is $300,000 or more (collectvely “Specifed Partcipants”). In allocatng the Aggregate Payment Amount, the Compensaton Commitee and the Chief Executve Ofcer may consider, but shall not be bound by, the preliminary incentve payment amount calculated for each partcipant.</w:t>
      </w:r>
    </w:p>
    <w:p>
      <w:pPr>
        <w:spacing w:after="0" w:line="23" w:lineRule="exact"/>
        <w:rPr>
          <w:rFonts w:ascii="Times New Roman" w:cs="Times New Roman" w:eastAsia="Times New Roman" w:hAnsi="Times New Roman"/>
          <w:sz w:val="20"/>
          <w:szCs w:val="20"/>
          <w:color w:val="auto"/>
        </w:rPr>
      </w:pPr>
    </w:p>
    <w:p>
      <w:pPr>
        <w:ind w:left="760" w:right="120" w:hanging="378"/>
        <w:spacing w:after="0" w:line="234"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has discreton to modify the performance measures or adjust the calculaton of the preliminary incentve payment amounts to adjust for acquisitons, divestures and other material business events.</w:t>
      </w:r>
    </w:p>
    <w:p>
      <w:pPr>
        <w:spacing w:after="0" w:line="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aggregate amount of incentve payments made to partcipants in the Plan must equal the Aggregate Payment Amount.</w:t>
      </w:r>
    </w:p>
    <w:p>
      <w:pPr>
        <w:spacing w:after="0" w:line="21" w:lineRule="exact"/>
        <w:rPr>
          <w:rFonts w:ascii="Times New Roman" w:cs="Times New Roman" w:eastAsia="Times New Roman" w:hAnsi="Times New Roman"/>
          <w:sz w:val="20"/>
          <w:szCs w:val="20"/>
          <w:color w:val="auto"/>
        </w:rPr>
      </w:pPr>
    </w:p>
    <w:p>
      <w:pPr>
        <w:ind w:left="760" w:right="260" w:hanging="378"/>
        <w:spacing w:after="0" w:line="234" w:lineRule="auto"/>
        <w:tabs>
          <w:tab w:leader="none" w:pos="76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the foregoing or any provision of the Plan to the contrary, no partcipant may receive an amount more than 200% of the individual bonus target established for such partcipant (the “Maximum Payment”).</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88" w:name="page89"/>
    <w:bookmarkEnd w:id="88"/>
    <w:p>
      <w:pPr>
        <w:spacing w:after="0"/>
        <w:rPr>
          <w:sz w:val="20"/>
          <w:szCs w:val="20"/>
          <w:color w:val="auto"/>
        </w:rPr>
      </w:pPr>
      <w:r>
        <w:rPr>
          <w:rFonts w:ascii="Calibri" w:cs="Calibri" w:eastAsia="Calibri" w:hAnsi="Calibri"/>
          <w:sz w:val="20"/>
          <w:szCs w:val="20"/>
          <w:b w:val="1"/>
          <w:bCs w:val="1"/>
          <w:i w:val="1"/>
          <w:iCs w:val="1"/>
          <w:color w:val="auto"/>
        </w:rPr>
        <w:t>Administraton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Incentve Payments</w:t>
      </w:r>
    </w:p>
    <w:p>
      <w:pPr>
        <w:spacing w:after="0" w:line="8"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A partcipant’s fnal incentve bonus payment is paid out in cash within 90 days following the end of the Company’s fscal year, based on audited fnancial statements of the Company.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Eligibility Limitaton</w:t>
      </w:r>
    </w:p>
    <w:p>
      <w:pPr>
        <w:spacing w:after="0" w:line="8"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Partcipants must be employed by the Company on the last day of the Performance Period and on the date bonuses are paid in order to receive a bonus, unless otherwise provided for in the Plan.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Special Circumstances</w:t>
      </w:r>
    </w:p>
    <w:p>
      <w:pPr>
        <w:spacing w:after="0" w:line="8" w:lineRule="exact"/>
        <w:rPr>
          <w:sz w:val="20"/>
          <w:szCs w:val="20"/>
          <w:color w:val="auto"/>
        </w:rPr>
      </w:pPr>
    </w:p>
    <w:p>
      <w:pPr>
        <w:ind w:right="260"/>
        <w:spacing w:after="0" w:line="236" w:lineRule="auto"/>
        <w:rPr>
          <w:sz w:val="20"/>
          <w:szCs w:val="20"/>
          <w:color w:val="auto"/>
        </w:rPr>
      </w:pPr>
      <w:r>
        <w:rPr>
          <w:rFonts w:ascii="Calibri" w:cs="Calibri" w:eastAsia="Calibri" w:hAnsi="Calibri"/>
          <w:sz w:val="20"/>
          <w:szCs w:val="20"/>
          <w:color w:val="auto"/>
        </w:rPr>
        <w:t>The Compensaton Commitee will have the sole authority to resolve disputes related to Plan administraton. Decisions made by the Compensaton Commitee will be fnal and binding on all partcipants. The Compensaton Commitee has the sole discreton to determine the bonuses for newly hired, terminated, transferred and promoted employees, but will generally award bonuses based on the following provisions.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New Employees</w:t>
      </w:r>
    </w:p>
    <w:p>
      <w:pPr>
        <w:spacing w:after="0" w:line="8" w:lineRule="exact"/>
        <w:rPr>
          <w:sz w:val="20"/>
          <w:szCs w:val="20"/>
          <w:color w:val="auto"/>
        </w:rPr>
      </w:pPr>
    </w:p>
    <w:p>
      <w:pPr>
        <w:spacing w:after="0" w:line="235" w:lineRule="auto"/>
        <w:rPr>
          <w:sz w:val="20"/>
          <w:szCs w:val="20"/>
          <w:color w:val="auto"/>
        </w:rPr>
      </w:pPr>
      <w:r>
        <w:rPr>
          <w:rFonts w:ascii="Calibri" w:cs="Calibri" w:eastAsia="Calibri" w:hAnsi="Calibri"/>
          <w:sz w:val="20"/>
          <w:szCs w:val="20"/>
          <w:color w:val="auto"/>
        </w:rPr>
        <w:t>For employees hired afer the beginning of a Performance Period who are selected for partcipaton in the Plan, the preliminary incentve payment will be prorated for the porton of the Performance Period during which they were employees of the Company, subject to the Terminaton of Employment restrictons.</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Terminaton of Employment</w:t>
      </w:r>
    </w:p>
    <w:p>
      <w:pPr>
        <w:spacing w:after="0" w:line="8"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color w:val="auto"/>
        </w:rPr>
        <w:t>If a partcipant’s employment terminates prior to the last day of the Performance Period or prior to the date bonuses are paid for the Performance Period, for any reason other than death, retrement or disability, the partcipant will be ineligible to receive a bonus.</w:t>
      </w:r>
    </w:p>
    <w:p>
      <w:pPr>
        <w:spacing w:after="0" w:line="252"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If a partcipant’s employment terminates before the end of the full Performance Period or before the date bonuses are paid for the Performance Period as a result of death, retrement or disability, the preliminary incentve payment for the partcipant (or the partcipant’s heirs) will be prorated at the end of the Performance Period based upon actual performance and base wages earned while employed during the Performance Period.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Transfer</w:t>
      </w:r>
    </w:p>
    <w:p>
      <w:pPr>
        <w:spacing w:after="0" w:line="8" w:lineRule="exact"/>
        <w:rPr>
          <w:sz w:val="20"/>
          <w:szCs w:val="20"/>
          <w:color w:val="auto"/>
        </w:rPr>
      </w:pPr>
    </w:p>
    <w:p>
      <w:pPr>
        <w:ind w:right="260"/>
        <w:spacing w:after="0" w:line="236" w:lineRule="auto"/>
        <w:rPr>
          <w:sz w:val="20"/>
          <w:szCs w:val="20"/>
          <w:color w:val="auto"/>
        </w:rPr>
      </w:pPr>
      <w:r>
        <w:rPr>
          <w:rFonts w:ascii="Calibri" w:cs="Calibri" w:eastAsia="Calibri" w:hAnsi="Calibri"/>
          <w:sz w:val="20"/>
          <w:szCs w:val="20"/>
          <w:color w:val="auto"/>
        </w:rPr>
        <w:t>The preliminary incentve payment for a partcipant who is transferred between Business Groups during the year will be a weighted bonus based upon the tme spent at each of the Business Groups. In calculatng a weighted bonus, relevant Company and Business Group performance measures will be calculated for the full Performance Period and then a blended bonus will be calculated based on the tme spent at each Business Group.</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Promotons</w:t>
      </w:r>
    </w:p>
    <w:p>
      <w:pPr>
        <w:spacing w:after="0" w:line="8" w:lineRule="exact"/>
        <w:rPr>
          <w:sz w:val="20"/>
          <w:szCs w:val="20"/>
          <w:color w:val="auto"/>
        </w:rPr>
      </w:pPr>
    </w:p>
    <w:p>
      <w:pPr>
        <w:ind w:right="320"/>
        <w:spacing w:after="0" w:line="235" w:lineRule="auto"/>
        <w:rPr>
          <w:sz w:val="20"/>
          <w:szCs w:val="20"/>
          <w:color w:val="auto"/>
        </w:rPr>
      </w:pPr>
      <w:r>
        <w:rPr>
          <w:rFonts w:ascii="Calibri" w:cs="Calibri" w:eastAsia="Calibri" w:hAnsi="Calibri"/>
          <w:sz w:val="20"/>
          <w:szCs w:val="20"/>
          <w:color w:val="auto"/>
        </w:rPr>
        <w:t>The preliminary incentve payment for a partcipant who is promoted or reassigned during any Performance Period and whose bonus target is subsequently increased or decreased will be a weighted bonus, based on the service before and afer the promoton or reassignment.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89" w:name="page90"/>
    <w:bookmarkEnd w:id="89"/>
    <w:p>
      <w:pPr>
        <w:spacing w:after="0"/>
        <w:rPr>
          <w:sz w:val="20"/>
          <w:szCs w:val="20"/>
          <w:color w:val="auto"/>
        </w:rPr>
      </w:pPr>
      <w:r>
        <w:rPr>
          <w:rFonts w:ascii="Calibri" w:cs="Calibri" w:eastAsia="Calibri" w:hAnsi="Calibri"/>
          <w:sz w:val="20"/>
          <w:szCs w:val="20"/>
          <w:b w:val="1"/>
          <w:bCs w:val="1"/>
          <w:color w:val="auto"/>
        </w:rPr>
        <w:t>Compensaton Commitee</w:t>
      </w:r>
    </w:p>
    <w:p>
      <w:pPr>
        <w:spacing w:after="0" w:line="8" w:lineRule="exact"/>
        <w:rPr>
          <w:sz w:val="20"/>
          <w:szCs w:val="20"/>
          <w:color w:val="auto"/>
        </w:rPr>
      </w:pPr>
    </w:p>
    <w:p>
      <w:pPr>
        <w:spacing w:after="0"/>
        <w:rPr>
          <w:sz w:val="20"/>
          <w:szCs w:val="20"/>
          <w:color w:val="auto"/>
        </w:rPr>
      </w:pPr>
      <w:r>
        <w:rPr>
          <w:rFonts w:ascii="Calibri" w:cs="Calibri" w:eastAsia="Calibri" w:hAnsi="Calibri"/>
          <w:sz w:val="20"/>
          <w:szCs w:val="20"/>
          <w:color w:val="auto"/>
        </w:rPr>
        <w:t>The Plan shall be administered by the Compensaton Commitee. The Compensaton Commitee shall have the authority to interpret the provisions of the Plan and these Guidelines, to adopt such rules for carrying out the Plan as it may deem advisable, to decide conclusively all questons arising with respect to the Plan and to make all other determinatons and take all other actons necessary or desirable for the administraton of the Plan. All decisions and acts of the Compensaton Commitee shall be fnal and binding upon all afected partes.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In administering the Plan the Compensaton Commitee will:</w:t>
      </w:r>
    </w:p>
    <w:p>
      <w:pPr>
        <w:spacing w:after="0" w:line="1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designaton of Business Groups within the Company</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Company Performance Goal</w:t>
      </w:r>
    </w:p>
    <w:p>
      <w:pPr>
        <w:spacing w:after="0" w:line="129" w:lineRule="exact"/>
        <w:rPr>
          <w:rFonts w:ascii="Times New Roman" w:cs="Times New Roman" w:eastAsia="Times New Roman" w:hAnsi="Times New Roman"/>
          <w:sz w:val="20"/>
          <w:szCs w:val="20"/>
          <w:color w:val="auto"/>
        </w:rPr>
      </w:pPr>
    </w:p>
    <w:p>
      <w:pPr>
        <w:ind w:left="760" w:right="180" w:hanging="378"/>
        <w:spacing w:after="0" w:line="234" w:lineRule="auto"/>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other performance measures used and the Threshold, Target and Maximum budget performance levels for purposes of calculatng preliminary incentve payment amounts and the Aggregate Payment Amount</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linkage for partcipants to Company and Business Group performance</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individual bonus targets for all Specifed Partcipants</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Aggregate Payment Amount to be paid to partcipants in the Plan</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in its discreton the fnal incentve payments for partcipants.</w:t>
      </w:r>
    </w:p>
    <w:p>
      <w:pPr>
        <w:spacing w:after="0" w:line="116"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The total amount of the incentve payments made to partcipants pursuant to the Plan must equal, and may not exceed, the Aggregate Payment Amount.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Executve Ofcer (CEO)</w:t>
      </w:r>
    </w:p>
    <w:p>
      <w:pPr>
        <w:spacing w:after="0" w:line="8"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The CEO has primary responsibility for recommending Plan Guidelines to the Commitee and for delegatng administratve dutes associated with the Plan. The Compensaton Commitee may delegate additonal administratve dutes to the CEO or any Company ofcer. The CEO may make recommendatons, subject to Compensaton Commitee approval, with respect to the incentve payment to any partcipant.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Financial Ofcer (CFO)</w:t>
      </w:r>
    </w:p>
    <w:p>
      <w:pPr>
        <w:spacing w:after="0" w:line="238" w:lineRule="auto"/>
        <w:rPr>
          <w:sz w:val="20"/>
          <w:szCs w:val="20"/>
          <w:color w:val="auto"/>
        </w:rPr>
      </w:pPr>
      <w:r>
        <w:rPr>
          <w:rFonts w:ascii="Calibri" w:cs="Calibri" w:eastAsia="Calibri" w:hAnsi="Calibri"/>
          <w:sz w:val="20"/>
          <w:szCs w:val="20"/>
          <w:color w:val="auto"/>
        </w:rPr>
        <w:t>The CFO is responsible for calculatng performance under the Plan. The CFO will:</w:t>
      </w:r>
    </w:p>
    <w:p>
      <w:pPr>
        <w:spacing w:after="0" w:line="265" w:lineRule="exact"/>
        <w:rPr>
          <w:sz w:val="20"/>
          <w:szCs w:val="20"/>
          <w:color w:val="auto"/>
        </w:rPr>
      </w:pPr>
    </w:p>
    <w:p>
      <w:pPr>
        <w:ind w:left="1500" w:right="280" w:hanging="743"/>
        <w:spacing w:after="0" w:line="234" w:lineRule="auto"/>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annual reports to the Compensaton Commitee and the CEO on each Business Group’s performance at the end of the fscal year</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Maintain a fnancial informaton system that reports results on an estmated quarterly and annual basis</w:t>
      </w:r>
    </w:p>
    <w:p>
      <w:pPr>
        <w:spacing w:after="0" w:line="129" w:lineRule="exact"/>
        <w:rPr>
          <w:rFonts w:ascii="Times New Roman" w:cs="Times New Roman" w:eastAsia="Times New Roman" w:hAnsi="Times New Roman"/>
          <w:sz w:val="20"/>
          <w:szCs w:val="20"/>
          <w:color w:val="auto"/>
        </w:rPr>
      </w:pPr>
    </w:p>
    <w:p>
      <w:pPr>
        <w:ind w:left="1500" w:right="500" w:hanging="743"/>
        <w:spacing w:after="0" w:line="234" w:lineRule="auto"/>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Company’s auditors to properly recognize any accountng expense associated with incentve payments under the Plan</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the VP – of HR with the performance results of each Business Group as well as overall Company performance</w:t>
      </w:r>
    </w:p>
    <w:p>
      <w:pPr>
        <w:spacing w:after="0" w:line="1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Human Resources Ofcer or functonal equivalent (CHRO)</w:t>
      </w:r>
    </w:p>
    <w:p>
      <w:pPr>
        <w:spacing w:after="0" w:line="238" w:lineRule="auto"/>
        <w:rPr>
          <w:sz w:val="20"/>
          <w:szCs w:val="20"/>
          <w:color w:val="auto"/>
        </w:rPr>
      </w:pPr>
      <w:r>
        <w:rPr>
          <w:rFonts w:ascii="Calibri" w:cs="Calibri" w:eastAsia="Calibri" w:hAnsi="Calibri"/>
          <w:sz w:val="20"/>
          <w:szCs w:val="20"/>
          <w:color w:val="auto"/>
        </w:rPr>
        <w:t>The CHRO has responsibility for administraton of the Plan and will:</w:t>
      </w:r>
    </w:p>
    <w:p>
      <w:pPr>
        <w:spacing w:after="0" w:line="255"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Develop and recommend eligible partcipants and target bonus guidelines</w:t>
      </w:r>
    </w:p>
    <w:p>
      <w:pPr>
        <w:spacing w:after="0" w:line="129" w:lineRule="exact"/>
        <w:rPr>
          <w:rFonts w:ascii="Times New Roman" w:cs="Times New Roman" w:eastAsia="Times New Roman" w:hAnsi="Times New Roman"/>
          <w:sz w:val="20"/>
          <w:szCs w:val="20"/>
          <w:color w:val="auto"/>
        </w:rPr>
      </w:pPr>
    </w:p>
    <w:p>
      <w:pPr>
        <w:ind w:left="1500" w:right="40" w:hanging="743"/>
        <w:spacing w:after="0" w:line="234" w:lineRule="auto"/>
        <w:tabs>
          <w:tab w:leader="none" w:pos="150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communicatons with partcipants, including materials to facilitate understanding the Plan’s objectves and goals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90" w:name="page91"/>
    <w:bookmarkEnd w:id="90"/>
    <w:p>
      <w:pPr>
        <w:ind w:left="1500" w:hanging="743"/>
        <w:spacing w:after="0"/>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Calculate partcipants’ preliminary incentve payment amounts, using the performance factors provided by the CFO</w:t>
      </w:r>
    </w:p>
    <w:p>
      <w:pPr>
        <w:spacing w:after="0" w:line="1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Process paperwork approving individual incentve payments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Business Group Presidents and Vice Presidents will:</w:t>
      </w:r>
    </w:p>
    <w:p>
      <w:pPr>
        <w:spacing w:after="0" w:line="12"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Recommend partcipants in the Plan</w:t>
      </w:r>
    </w:p>
    <w:p>
      <w:pPr>
        <w:spacing w:after="0" w:line="129" w:lineRule="exact"/>
        <w:rPr>
          <w:rFonts w:ascii="Times New Roman" w:cs="Times New Roman" w:eastAsia="Times New Roman" w:hAnsi="Times New Roman"/>
          <w:sz w:val="20"/>
          <w:szCs w:val="20"/>
          <w:color w:val="auto"/>
        </w:rPr>
      </w:pPr>
    </w:p>
    <w:p>
      <w:pPr>
        <w:ind w:left="1500" w:right="40" w:hanging="743"/>
        <w:spacing w:after="0" w:line="234" w:lineRule="auto"/>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CFO to determine any signifcant changes in business conditons for purposes of reviewing the Threshold, Target and Maximum performance objectves</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Assure that partcipants are informed of the actual incentve payment to be made for the Performance Period</w:t>
      </w: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82" w:right="6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Nonemployee Director Compensation Program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u w:val="single" w:color="auto"/>
          <w:color w:val="auto"/>
        </w:rPr>
        <w:t>Annual Director Fee</w:t>
      </w:r>
    </w:p>
    <w:p>
      <w:pPr>
        <w:spacing w:after="0" w:line="205" w:lineRule="exact"/>
        <w:rPr>
          <w:sz w:val="20"/>
          <w:szCs w:val="20"/>
          <w:color w:val="auto"/>
        </w:rPr>
      </w:pPr>
    </w:p>
    <w:p>
      <w:pPr>
        <w:jc w:val="both"/>
        <w:ind w:firstLine="757"/>
        <w:spacing w:after="0" w:line="239"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will receive an annual fee of $85,000, payable in four equal quarterly payments to be made at the end of each calendar quarter, unless the director elects to receive (a) a stock option for shares of Kirby common stock or (b) restricted shares of Kirby common stock, in lieu of all or part of the cash fee. The fee will be prorated for any director elected between annual stockholder meetings.</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to receive a stock option or restricted stock in lieu of director fees will be made annually. Except as provided in the next sentence, any director who elects to receive a stock option or restricted stock in lieu of all or part of the annual fee for the year following any annual meeting of stockholders must give written notice of that election to Kirby no later than the December 31 preceding such annual meeting. A newly elected director must give written notice of his or her election to receive a stock option or restricted stock in lieu of all or part of the annual fee no later than 30 days after the date of his or her first election as a director.</w:t>
      </w:r>
    </w:p>
    <w:p>
      <w:pPr>
        <w:spacing w:after="0" w:line="17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shall be issued on the following terms:</w:t>
      </w:r>
    </w:p>
    <w:p>
      <w:pPr>
        <w:spacing w:after="0" w:line="205" w:lineRule="exact"/>
        <w:rPr>
          <w:rFonts w:ascii="Times New Roman" w:cs="Times New Roman" w:eastAsia="Times New Roman" w:hAnsi="Times New Roman"/>
          <w:sz w:val="22"/>
          <w:szCs w:val="22"/>
          <w:color w:val="auto"/>
        </w:rPr>
      </w:pPr>
    </w:p>
    <w:p>
      <w:pPr>
        <w:jc w:val="both"/>
        <w:ind w:left="900" w:firstLine="605"/>
        <w:spacing w:after="0" w:line="244" w:lineRule="auto"/>
        <w:tabs>
          <w:tab w:leader="none" w:pos="203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stock subject to the option will be equal to (i) the portion of the annual fee that a director elects to receive in the form of a stock option divided by (ii) the fair market value of a share of stock on the date of grant multiplied by (iii) 3, with the result then rounded to the nearest whole share.</w:t>
      </w:r>
    </w:p>
    <w:p>
      <w:pPr>
        <w:spacing w:after="0" w:line="172" w:lineRule="exact"/>
        <w:rPr>
          <w:rFonts w:ascii="Times New Roman" w:cs="Times New Roman" w:eastAsia="Times New Roman" w:hAnsi="Times New Roman"/>
          <w:sz w:val="22"/>
          <w:szCs w:val="22"/>
          <w:color w:val="auto"/>
        </w:rPr>
      </w:pPr>
    </w:p>
    <w:p>
      <w:pPr>
        <w:ind w:left="900" w:firstLine="605"/>
        <w:spacing w:after="0" w:line="258" w:lineRule="auto"/>
        <w:tabs>
          <w:tab w:leader="none" w:pos="203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per share will be the fair market value on the date of grant. The fair market value of a share of stock means the closing price on the New York Stock Exchange on the date of reference.</w:t>
      </w:r>
    </w:p>
    <w:p>
      <w:pPr>
        <w:spacing w:after="0" w:line="157" w:lineRule="exact"/>
        <w:rPr>
          <w:rFonts w:ascii="Times New Roman" w:cs="Times New Roman" w:eastAsia="Times New Roman" w:hAnsi="Times New Roman"/>
          <w:sz w:val="22"/>
          <w:szCs w:val="22"/>
          <w:color w:val="auto"/>
        </w:rPr>
      </w:pPr>
    </w:p>
    <w:p>
      <w:pPr>
        <w:jc w:val="both"/>
        <w:ind w:left="900" w:firstLine="605"/>
        <w:spacing w:after="0" w:line="239" w:lineRule="auto"/>
        <w:tabs>
          <w:tab w:leader="none" w:pos="203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will vest one-fourth on the first quarterly payment date, one-fourth on the second quarterly payment date, one-fourth on the third quarterly payment date and one-fourth on the fourth quarterly payment date or, in the case of a director elected between annual stockholder meetings, in equal parts on the remaining quarterly payment dates prior to the first anniversary of the most recent annual meeting of stockholders.</w:t>
      </w:r>
    </w:p>
    <w:p>
      <w:pPr>
        <w:spacing w:after="0" w:line="178" w:lineRule="exact"/>
        <w:rPr>
          <w:rFonts w:ascii="Times New Roman" w:cs="Times New Roman" w:eastAsia="Times New Roman" w:hAnsi="Times New Roman"/>
          <w:sz w:val="22"/>
          <w:szCs w:val="22"/>
          <w:color w:val="auto"/>
        </w:rPr>
      </w:pPr>
    </w:p>
    <w:p>
      <w:pPr>
        <w:ind w:left="900" w:firstLine="605"/>
        <w:spacing w:after="0" w:line="258" w:lineRule="auto"/>
        <w:tabs>
          <w:tab w:leader="none" w:pos="203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will be subject to the terms of the plan under which it is issued, including without limitation provisions relating to vesting, exercise, termination and transferability.</w:t>
      </w:r>
    </w:p>
    <w:p>
      <w:pPr>
        <w:spacing w:after="0" w:line="15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shall be issued on the following terms:</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"xB" 45577060.7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2" w:name="page93"/>
    <w:bookmarkEnd w:id="92"/>
    <w:p>
      <w:pPr>
        <w:jc w:val="both"/>
        <w:ind w:left="860" w:firstLine="605"/>
        <w:spacing w:after="0" w:line="244" w:lineRule="auto"/>
        <w:tabs>
          <w:tab w:leader="none" w:pos="199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restricted stock will be equal to (i) the portion of the annual fee that a director elects to receive in the form of restricted stock divided by (ii) the fair market value of a share of stock on the date of grant multiplied by (iii) 1.2, with the result then rounded to the nearest whole share.</w:t>
      </w:r>
    </w:p>
    <w:p>
      <w:pPr>
        <w:spacing w:after="0" w:line="172" w:lineRule="exact"/>
        <w:rPr>
          <w:rFonts w:ascii="Times New Roman" w:cs="Times New Roman" w:eastAsia="Times New Roman" w:hAnsi="Times New Roman"/>
          <w:sz w:val="22"/>
          <w:szCs w:val="22"/>
          <w:color w:val="auto"/>
        </w:rPr>
      </w:pPr>
    </w:p>
    <w:p>
      <w:pPr>
        <w:ind w:left="860" w:right="20" w:firstLine="605"/>
        <w:spacing w:after="0" w:line="258" w:lineRule="auto"/>
        <w:tabs>
          <w:tab w:leader="none" w:pos="199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 share of stock means the closing price on the New York Stock Exchange on the date of reference.</w:t>
      </w:r>
    </w:p>
    <w:p>
      <w:pPr>
        <w:spacing w:after="0" w:line="157" w:lineRule="exact"/>
        <w:rPr>
          <w:rFonts w:ascii="Times New Roman" w:cs="Times New Roman" w:eastAsia="Times New Roman" w:hAnsi="Times New Roman"/>
          <w:sz w:val="22"/>
          <w:szCs w:val="22"/>
          <w:color w:val="auto"/>
        </w:rPr>
      </w:pPr>
    </w:p>
    <w:p>
      <w:pPr>
        <w:jc w:val="both"/>
        <w:ind w:left="860" w:firstLine="605"/>
        <w:spacing w:after="0" w:line="239" w:lineRule="auto"/>
        <w:tabs>
          <w:tab w:leader="none" w:pos="199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will vest one-fourth on the first quarterly payment date, one-fourth on the second quarterly payment date, one-fourth on the third quarterly payment date and one-fourth on the fourth quarterly payment date or, in the case of a director elected between annual stockholder meetings, in equal parts on the remaining quarterly payment dates prior to the first anniversary of the most recent annual meeting of stockholders.</w:t>
      </w:r>
    </w:p>
    <w:p>
      <w:pPr>
        <w:spacing w:after="0" w:line="178" w:lineRule="exact"/>
        <w:rPr>
          <w:rFonts w:ascii="Times New Roman" w:cs="Times New Roman" w:eastAsia="Times New Roman" w:hAnsi="Times New Roman"/>
          <w:sz w:val="22"/>
          <w:szCs w:val="22"/>
          <w:color w:val="auto"/>
        </w:rPr>
      </w:pPr>
    </w:p>
    <w:p>
      <w:pPr>
        <w:ind w:left="860" w:firstLine="605"/>
        <w:spacing w:after="0" w:line="258" w:lineRule="auto"/>
        <w:tabs>
          <w:tab w:leader="none" w:pos="199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will be subject to the terms of the plan under which it is issued, including without limitation provisions relating to vesting and transferability.</w:t>
      </w:r>
    </w:p>
    <w:p>
      <w:pPr>
        <w:spacing w:after="0" w:line="157" w:lineRule="exact"/>
        <w:rPr>
          <w:rFonts w:ascii="Times New Roman" w:cs="Times New Roman" w:eastAsia="Times New Roman" w:hAnsi="Times New Roman"/>
          <w:sz w:val="22"/>
          <w:szCs w:val="22"/>
          <w:color w:val="auto"/>
        </w:rPr>
      </w:pPr>
    </w:p>
    <w:p>
      <w:pPr>
        <w:jc w:val="both"/>
        <w:ind w:left="-40" w:firstLine="757"/>
        <w:spacing w:after="0" w:line="239" w:lineRule="auto"/>
        <w:tabs>
          <w:tab w:leader="none" w:pos="9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next sentence, the date of grant of an option or restricted stock granted in lieu of the annual fee means the second business day after Kirby’s first quarter earnings conference call following the election by the director to receive the fee in the form of a stock option or restricted stock instead of cash. For a newly elected director, the date of grant means the date of his or her election to receive a stock option or restricted stock in lieu of cash fees.</w:t>
      </w:r>
    </w:p>
    <w:p>
      <w:pPr>
        <w:spacing w:after="0" w:line="178" w:lineRule="exact"/>
        <w:rPr>
          <w:rFonts w:ascii="Times New Roman" w:cs="Times New Roman" w:eastAsia="Times New Roman" w:hAnsi="Times New Roman"/>
          <w:sz w:val="22"/>
          <w:szCs w:val="22"/>
          <w:color w:val="auto"/>
        </w:rPr>
      </w:pPr>
    </w:p>
    <w:p>
      <w:pPr>
        <w:ind w:left="-40" w:firstLine="757"/>
        <w:spacing w:after="0" w:line="258" w:lineRule="auto"/>
        <w:tabs>
          <w:tab w:leader="none" w:pos="9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payment of cash fees and vesting of stock options and restricted stock are contingent on a director's continuing to serve in that capacity on each such quarterly payment or vesting date.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u w:val="single" w:color="auto"/>
          <w:color w:val="auto"/>
        </w:rPr>
        <w:t>Annual Chairman of the Board, Committee Chairman and Presiding Director Fees</w:t>
      </w:r>
    </w:p>
    <w:p>
      <w:pPr>
        <w:spacing w:after="0" w:line="205" w:lineRule="exact"/>
        <w:rPr>
          <w:sz w:val="20"/>
          <w:szCs w:val="20"/>
          <w:color w:val="auto"/>
        </w:rPr>
      </w:pPr>
    </w:p>
    <w:p>
      <w:pPr>
        <w:jc w:val="both"/>
        <w:ind w:left="-40" w:firstLine="757"/>
        <w:spacing w:after="0" w:line="234" w:lineRule="auto"/>
        <w:tabs>
          <w:tab w:leader="none" w:pos="97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Board will receive an annual fee of $150,000. The Chairman of the Audit Committee will receive an annual fee of $20,000. The Chairman of the Compensation Committee will receive an annual fee of $15,000. The Chairman of the Governance Committee will receive an annual fee of $10,000. The director selected to be the presiding director at executive sessions of non-management directors will receive an annual fee of $20,000. In addition, each director will receive an annual fee of $7,500 for each committee of the board on which he or she serves. All of such fees will be payable in four equal quarterly payments to be made at the end of each calendar quarter. The Chairman of the Board, committee chairman, presiding director and committee member fees will be prorated for any director who is elected to such position between annual meetings of the board of directors.</w:t>
      </w:r>
    </w:p>
    <w:p>
      <w:pPr>
        <w:spacing w:after="0" w:line="184" w:lineRule="exact"/>
        <w:rPr>
          <w:rFonts w:ascii="Times New Roman" w:cs="Times New Roman" w:eastAsia="Times New Roman" w:hAnsi="Times New Roman"/>
          <w:sz w:val="22"/>
          <w:szCs w:val="22"/>
          <w:color w:val="auto"/>
        </w:rPr>
      </w:pPr>
    </w:p>
    <w:p>
      <w:pPr>
        <w:ind w:left="-40" w:firstLine="757"/>
        <w:spacing w:after="0" w:line="258" w:lineRule="auto"/>
        <w:tabs>
          <w:tab w:leader="none" w:pos="97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payment of the Chairman of the Board, committee chairman, presiding director and committee member fees is contingent on a director’s continuing to serve in such position on each such quarterly payment date.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u w:val="single" w:color="auto"/>
          <w:color w:val="auto"/>
        </w:rPr>
        <w:t>Automatic Restricted Stock Grants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"xB" 45577060.7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644525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7" w:right="339" w:bottom="1440" w:gutter="0" w:footer="0" w:header="0"/>
        </w:sectPr>
      </w:pPr>
    </w:p>
    <w:bookmarkStart w:id="93" w:name="page94"/>
    <w:bookmarkEnd w:id="93"/>
    <w:p>
      <w:pPr>
        <w:jc w:val="both"/>
        <w:ind w:firstLine="757"/>
        <w:spacing w:after="0" w:line="244" w:lineRule="auto"/>
        <w:tabs>
          <w:tab w:leader="none" w:pos="101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will receive $167,500 in value of restricted shares of Kirby common stock following each annual meeting of stockholders, except that a director elected between annual stockholder meetings will receive a prorated dollar value of restricted stock for the year in which he or she is first elected.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10.The restricted stock shall be issued on the following terms:</w:t>
      </w:r>
    </w:p>
    <w:p>
      <w:pPr>
        <w:spacing w:after="0" w:line="205" w:lineRule="exact"/>
        <w:rPr>
          <w:sz w:val="20"/>
          <w:szCs w:val="20"/>
          <w:color w:val="auto"/>
        </w:rPr>
      </w:pPr>
    </w:p>
    <w:p>
      <w:pPr>
        <w:jc w:val="both"/>
        <w:ind w:left="900" w:firstLine="605"/>
        <w:spacing w:after="0" w:line="244" w:lineRule="auto"/>
        <w:tabs>
          <w:tab w:leader="none" w:pos="203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restricted stock will be equal to (i) the dollar value divided by (ii) the fair market value of a share of stock on the date of grant multiplied by (iii) 1.2, with the result then rounded to the nearest whole share.</w:t>
      </w:r>
    </w:p>
    <w:p>
      <w:pPr>
        <w:spacing w:after="0" w:line="172" w:lineRule="exact"/>
        <w:rPr>
          <w:rFonts w:ascii="Times New Roman" w:cs="Times New Roman" w:eastAsia="Times New Roman" w:hAnsi="Times New Roman"/>
          <w:sz w:val="22"/>
          <w:szCs w:val="22"/>
          <w:color w:val="auto"/>
        </w:rPr>
      </w:pPr>
    </w:p>
    <w:p>
      <w:pPr>
        <w:jc w:val="both"/>
        <w:ind w:left="900" w:firstLine="605"/>
        <w:spacing w:after="0" w:line="239" w:lineRule="auto"/>
        <w:tabs>
          <w:tab w:leader="none" w:pos="203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 share of stock means the closing price on the New York Stock Exchange on the date of grant, which shall be the second business day after Kirby’s first quarter earnings conference call, except that for a director elected between annual stockholder meetings, the date of grant for the initial prorated grant shall be determined as follows:</w:t>
      </w:r>
    </w:p>
    <w:p>
      <w:pPr>
        <w:spacing w:after="0" w:line="17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54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director is elected at a regular quarterly meeting of the Board of Directors, the date of grant shall be the second business day after Kirby’s earnings conference call for the immediately preceding quarter.</w:t>
      </w:r>
    </w:p>
    <w:p>
      <w:pPr>
        <w:spacing w:after="0" w:line="157"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director is elected at any other time, the date of grant shall be the date of his or her election.</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will vest six months after the date of grant.</w:t>
      </w:r>
    </w:p>
    <w:p>
      <w:pPr>
        <w:spacing w:after="0" w:line="205" w:lineRule="exact"/>
        <w:rPr>
          <w:rFonts w:ascii="Times New Roman" w:cs="Times New Roman" w:eastAsia="Times New Roman" w:hAnsi="Times New Roman"/>
          <w:sz w:val="22"/>
          <w:szCs w:val="22"/>
          <w:color w:val="auto"/>
        </w:rPr>
      </w:pPr>
    </w:p>
    <w:p>
      <w:pPr>
        <w:ind w:left="900" w:firstLine="605"/>
        <w:spacing w:after="0" w:line="258" w:lineRule="auto"/>
        <w:tabs>
          <w:tab w:leader="none" w:pos="203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will be subject to the terms of the plan under which it is issued, including without limitation provisions relating to vesting and transferability.</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u w:val="single" w:color="auto"/>
          <w:color w:val="auto"/>
        </w:rPr>
        <w:t>Discretionary Stock Option and Restricted Stock Grants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11.The Compensation Committee or the Board of Directors, as applicable, may, in its discretion, grant options and restricted stock to directors as permitted by and subject to the terms of the plan under which such grants are issued, including without limitation provisions relating to vesting, exercise, termination and transferability.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12.This compensation program may be amended, modified or terminated by the board at any time.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13.This compensation program applies only to directors of Kirby who are not employees of Kirby or any of its subsidiaries.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14.This compensation program is effective January 29, 2024 and amends and restates in its entirety the Nonemployee Director Compensation Program previously in effect.</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"xB" 45577060.7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Domicile of</w:t>
            </w:r>
          </w:p>
        </w:tc>
      </w:tr>
      <w:tr>
        <w:trPr>
          <w:trHeight w:val="187"/>
        </w:trPr>
        <w:tc>
          <w:tcPr>
            <w:tcW w:w="99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KIRBY CORPORATION – PARENT AND REGISTRANT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9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SUBSIDIARIES OF THE PARENT AND REGISTRANT</w:t>
            </w:r>
          </w:p>
        </w:tc>
        <w:tc>
          <w:tcPr>
            <w:tcW w:w="1260" w:type="dxa"/>
            <w:vAlign w:val="bottom"/>
            <w:shd w:val="clear" w:color="auto" w:fill="CFF0FC"/>
          </w:tcPr>
          <w:p>
            <w:pPr>
              <w:spacing w:after="0"/>
              <w:rPr>
                <w:sz w:val="21"/>
                <w:szCs w:val="21"/>
                <w:color w:val="auto"/>
              </w:rPr>
            </w:pP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Corporate Services,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KIM Holdings,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Terminals,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Sabine Transportation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AFRAM Carriers,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Tankships,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Ocean Transport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Adaptive KRM,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 Equipment,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 Hollywood Camp,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3"/>
        </w:trPr>
        <w:tc>
          <w:tcPr>
            <w:tcW w:w="99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CONTROLLED SUBSIDIARIES</w:t>
            </w:r>
          </w:p>
        </w:tc>
        <w:tc>
          <w:tcPr>
            <w:tcW w:w="1260" w:type="dxa"/>
            <w:vAlign w:val="bottom"/>
            <w:shd w:val="clear" w:color="auto" w:fill="CFF0FC"/>
          </w:tcPr>
          <w:p>
            <w:pPr>
              <w:spacing w:after="0"/>
              <w:rPr>
                <w:sz w:val="21"/>
                <w:szCs w:val="21"/>
                <w:color w:val="auto"/>
              </w:rPr>
            </w:pP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KIM Partners, LLC (Subsidiary of KIM Holdings,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Inland Marine, LP (KIM Holdings, Inc. 1% General Partner, KIM Partners, LLC 99% Limited Partner)</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Greens Bayou Fleeting, LLC (subsidiary of Kirby Inland Marine, LP)</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Dixie Carriers, Inc.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Osprey Line, L.L.C. (Kirby Inland Marine, LP 66 2/3%)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San Jac Marine, LLC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Diesel Dash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Engine Systems LLC (subsidiary of 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Marine Systems, Inc. (subsidiary of Kirby Engine Systems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Engine Systems, Inc. (subsidiary of Kirby Engine Systems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Holdings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Engines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UE Manufacturing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Thermo King of Houston,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Thermo King of Dallas,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Thermo King of West Texas,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Antonio Thermo King, Inc. (subsidiary of Thermo King of Houston,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Marine Operating, LLC (subsidiary of Kirby Offshore Marine,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Wind, LLC (subsidiary of 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Marine Hawaii, LLC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Pacific, LLC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Marine, Inc.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Inversiones Kara Sea SRL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K-Sea Canada Holdings, Inc. (subsidiary of Kirby Offshore Marine,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Penn Maritime Inc. (subsidiary of 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LLC (subsidiary of 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Power Products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Canada Inc.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11"/>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de las Americas Colombia Ltda. (Stewart &amp; Stevenson Petroleum Services LLC 1% General Partner, Stewart &amp;</w:t>
            </w:r>
          </w:p>
        </w:tc>
        <w:tc>
          <w:tcPr>
            <w:tcW w:w="1260" w:type="dxa"/>
            <w:vAlign w:val="bottom"/>
          </w:tcPr>
          <w:p>
            <w:pPr>
              <w:spacing w:after="0"/>
              <w:rPr>
                <w:sz w:val="18"/>
                <w:szCs w:val="18"/>
                <w:color w:val="auto"/>
              </w:rPr>
            </w:pPr>
          </w:p>
        </w:tc>
      </w:tr>
      <w:tr>
        <w:trPr>
          <w:trHeight w:val="241"/>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Stevenson LLC 99% Limited Partner)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Colombia</w:t>
            </w:r>
          </w:p>
        </w:tc>
      </w:tr>
      <w:tr>
        <w:trPr>
          <w:trHeight w:val="249"/>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de Venezuela, S.A. (subsidiary of Stewart &amp; Stevenson LLC 99.95%)</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Petroleum Services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Manufacturing Technologies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Acquisition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FDDA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Transmissions Y Embragues, S.A. (subsidiary of Stewart &amp; Stevenson de Venezuela, S.A.)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47"/>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and Stevenson Healthcare Technologies,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789"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1"/>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Inc.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9"/>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Barge Lines, Inc. (subsidiary of Higman Marine, Inc.)</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Services, Inc. (subsidiary of Higman Marine, Inc.)</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Service Corporation (subsidiary of Higman Marine, Inc.)</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Alamo Barge Lines, LLC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Empty Barge Lines, Inc.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II, Inc.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Empty Barge Lines III, Inc.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 LLC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47"/>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EBL Marine II LLC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III LLC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986"/>
        </w:trPr>
        <w:tc>
          <w:tcPr>
            <w:tcW w:w="7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333-57625, 333-72592, 333-129290, 333-129333, 333-152565, 333-152566, 333-184598, 333-184599 and 333-265397) on Form S-8 and (Nos. 333-220974 and 333-222858) on Form S-3 of our reports dated February 20, 2024, with respect to the consolidated financial statements of Kirby Corporation and the effectiveness of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2023 by Kirby Corporation, David W. Grzebinski certifies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6" w:lineRule="exact"/>
        <w:rPr>
          <w:sz w:val="20"/>
          <w:szCs w:val="20"/>
          <w:color w:val="auto"/>
        </w:rPr>
      </w:pPr>
    </w:p>
    <w:p>
      <w:pPr>
        <w:ind w:left="700" w:hanging="318"/>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4" w:lineRule="exact"/>
        <w:rPr>
          <w:rFonts w:ascii="Times New Roman" w:cs="Times New Roman" w:eastAsia="Times New Roman" w:hAnsi="Times New Roman"/>
          <w:sz w:val="18"/>
          <w:szCs w:val="18"/>
          <w:color w:val="auto"/>
        </w:rPr>
      </w:pPr>
    </w:p>
    <w:p>
      <w:pPr>
        <w:ind w:firstLine="382"/>
        <w:spacing w:after="0" w:line="281"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382"/>
        <w:spacing w:after="0" w:line="28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382"/>
        <w:spacing w:after="0" w:line="265" w:lineRule="auto"/>
        <w:tabs>
          <w:tab w:leader="none" w:pos="7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380" w:firstLine="376"/>
        <w:spacing w:after="0" w:line="281" w:lineRule="auto"/>
        <w:tabs>
          <w:tab w:leader="none" w:pos="11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382"/>
        <w:spacing w:after="0" w:line="281" w:lineRule="auto"/>
        <w:tabs>
          <w:tab w:leader="none" w:pos="7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2023 by Kirby Corporation, Raj Kumar certifies that:</w:t>
      </w:r>
    </w:p>
    <w:p>
      <w:pPr>
        <w:spacing w:after="0" w:line="225" w:lineRule="exact"/>
        <w:rPr>
          <w:sz w:val="20"/>
          <w:szCs w:val="20"/>
          <w:color w:val="auto"/>
        </w:rPr>
      </w:pPr>
    </w:p>
    <w:p>
      <w:pPr>
        <w:ind w:left="700" w:hanging="318"/>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4" w:lineRule="exact"/>
        <w:rPr>
          <w:rFonts w:ascii="Times New Roman" w:cs="Times New Roman" w:eastAsia="Times New Roman" w:hAnsi="Times New Roman"/>
          <w:sz w:val="18"/>
          <w:szCs w:val="18"/>
          <w:color w:val="auto"/>
        </w:rPr>
      </w:pPr>
    </w:p>
    <w:p>
      <w:pPr>
        <w:ind w:firstLine="382"/>
        <w:spacing w:after="0" w:line="281"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382"/>
        <w:spacing w:after="0" w:line="28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382"/>
        <w:spacing w:after="0" w:line="265" w:lineRule="auto"/>
        <w:tabs>
          <w:tab w:leader="none" w:pos="7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0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380" w:firstLine="376"/>
        <w:spacing w:after="0" w:line="281" w:lineRule="auto"/>
        <w:tabs>
          <w:tab w:leader="none" w:pos="11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firstLine="376"/>
        <w:spacing w:after="0" w:line="265" w:lineRule="auto"/>
        <w:tabs>
          <w:tab w:leader="none" w:pos="11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382"/>
        <w:spacing w:after="0" w:line="281" w:lineRule="auto"/>
        <w:tabs>
          <w:tab w:leader="none" w:pos="7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firstLine="376"/>
        <w:spacing w:after="0" w:line="281" w:lineRule="auto"/>
        <w:tabs>
          <w:tab w:leader="none" w:pos="11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8"/>
          <w:szCs w:val="18"/>
          <w:color w:val="auto"/>
        </w:rPr>
        <w:t>Dated: February 20, 2024</w:t>
      </w:r>
      <w:r>
        <w:rPr>
          <w:sz w:val="20"/>
          <w:szCs w:val="20"/>
          <w:color w:val="auto"/>
        </w:rPr>
        <w:tab/>
      </w:r>
      <w:r>
        <w:rPr>
          <w:rFonts w:ascii="Times New Roman" w:cs="Times New Roman" w:eastAsia="Times New Roman" w:hAnsi="Times New Roman"/>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6" w:lineRule="exact"/>
        <w:rPr>
          <w:sz w:val="20"/>
          <w:szCs w:val="20"/>
          <w:color w:val="auto"/>
        </w:rPr>
      </w:pPr>
    </w:p>
    <w:p>
      <w:pPr>
        <w:ind w:firstLine="379"/>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2023 (the “Report”) by Kirby Corporation (the “Company”), each of the undersigned hereby certifies that:</w:t>
      </w:r>
    </w:p>
    <w:p>
      <w:pPr>
        <w:spacing w:after="0" w:line="163" w:lineRule="exact"/>
        <w:rPr>
          <w:sz w:val="20"/>
          <w:szCs w:val="20"/>
          <w:color w:val="auto"/>
        </w:rPr>
      </w:pPr>
    </w:p>
    <w:p>
      <w:pPr>
        <w:ind w:left="700" w:hanging="31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KIRBY CORPORATION</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CLAWBACK POLICY</w:t>
      </w:r>
    </w:p>
    <w:p>
      <w:pPr>
        <w:ind w:left="760" w:hanging="752"/>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Introduction</w:t>
      </w:r>
    </w:p>
    <w:p>
      <w:pPr>
        <w:spacing w:after="0" w:line="17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0"/>
          <w:szCs w:val="20"/>
          <w:color w:val="auto"/>
        </w:rPr>
        <w:t>The Board of Directors of the Kirby Corporation (hereinafter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believes that it is in the best interests of the Company and its shareholders to create and maintain a culture that emphasizes integrity and accountability and that reinforces the Company's pay-for- 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This Policy is designed to comply with Section 10D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Section 303A.14 of the New York Stock Exchange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Listed Company Manual.</w:t>
      </w:r>
    </w:p>
    <w:p>
      <w:pPr>
        <w:spacing w:after="0" w:line="21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policy, the terms set forth below shall have the following meanings:</w:t>
      </w:r>
    </w:p>
    <w:p>
      <w:pPr>
        <w:spacing w:after="0" w:line="33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“Code” means the U.S. Internal Revenue Code of 1986, as amended, and the regulations and guidance thereunder.</w:t>
      </w:r>
    </w:p>
    <w:p>
      <w:pPr>
        <w:spacing w:after="0" w:line="227" w:lineRule="exact"/>
        <w:rPr>
          <w:rFonts w:ascii="Arial" w:cs="Arial" w:eastAsia="Arial" w:hAnsi="Arial"/>
          <w:sz w:val="20"/>
          <w:szCs w:val="20"/>
          <w:color w:val="auto"/>
        </w:rPr>
      </w:pPr>
    </w:p>
    <w:p>
      <w:pPr>
        <w:ind w:left="1020" w:hanging="263"/>
        <w:spacing w:after="0"/>
        <w:tabs>
          <w:tab w:leader="none" w:pos="1020" w:val="left"/>
        </w:tabs>
        <w:numPr>
          <w:ilvl w:val="1"/>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“Committee” means the Compensation Committee of the Board.</w:t>
      </w:r>
    </w:p>
    <w:p>
      <w:pPr>
        <w:spacing w:after="0" w:line="227" w:lineRule="exact"/>
        <w:rPr>
          <w:rFonts w:ascii="Arial" w:cs="Arial" w:eastAsia="Arial" w:hAnsi="Arial"/>
          <w:sz w:val="20"/>
          <w:szCs w:val="20"/>
          <w:color w:val="auto"/>
        </w:rPr>
      </w:pPr>
    </w:p>
    <w:p>
      <w:pPr>
        <w:jc w:val="both"/>
        <w:ind w:firstLine="757"/>
        <w:spacing w:after="0" w:line="244" w:lineRule="auto"/>
        <w:tabs>
          <w:tab w:leader="none" w:pos="1018" w:val="left"/>
        </w:tabs>
        <w:numPr>
          <w:ilvl w:val="1"/>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“Covered Compensation” means any Incentive Compensation granted, vested, or paid to a person who served as an Executive Officer at any time during the performance period for the Incentive Compensation and that was received (i) on or after October 2, 2023, (ii) after the person became an Executive Officer, and (iii) at a time that the Company had a class of securities listed on a U.S. national securities exchange. For purposes of this Policy, Incentive Compensation is deemed “received” in the Company’s fiscal period during which the Financial Reporting Measure specified in or otherwise relating to the Incentive Compensation award is attained, even if the grant, vesting, or payment of the Incentive Compensation occurs after the end of that period.</w:t>
      </w:r>
    </w:p>
    <w:p>
      <w:pPr>
        <w:spacing w:after="0" w:line="200" w:lineRule="exact"/>
        <w:rPr>
          <w:rFonts w:ascii="Arial" w:cs="Arial" w:eastAsia="Arial" w:hAnsi="Arial"/>
          <w:sz w:val="20"/>
          <w:szCs w:val="20"/>
          <w:color w:val="auto"/>
        </w:rPr>
      </w:pPr>
    </w:p>
    <w:p>
      <w:pPr>
        <w:ind w:left="1020" w:hanging="263"/>
        <w:spacing w:after="0"/>
        <w:tabs>
          <w:tab w:leader="none" w:pos="1020" w:val="left"/>
        </w:tabs>
        <w:numPr>
          <w:ilvl w:val="1"/>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“Covered Executive” means any current and former Executive Officer subject to this Policy in accordance with its terms.</w:t>
      </w:r>
    </w:p>
    <w:p>
      <w:pPr>
        <w:spacing w:after="0" w:line="227" w:lineRule="exact"/>
        <w:rPr>
          <w:rFonts w:ascii="Arial" w:cs="Arial" w:eastAsia="Arial" w:hAnsi="Arial"/>
          <w:sz w:val="20"/>
          <w:szCs w:val="20"/>
          <w:color w:val="auto"/>
        </w:rPr>
      </w:pPr>
    </w:p>
    <w:p>
      <w:pPr>
        <w:jc w:val="both"/>
        <w:ind w:firstLine="757"/>
        <w:spacing w:after="0" w:line="242" w:lineRule="auto"/>
        <w:tabs>
          <w:tab w:leader="none" w:pos="1018" w:val="left"/>
        </w:tabs>
        <w:numPr>
          <w:ilvl w:val="1"/>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“Excess Incentive Compensation”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stockholder return, where the amount of Excess Incentive Compensation is not subject to mathematical recalculation directly from the information in a Restatement, the Committee will determine the amount of such Covered Compensation that constitutes Excess Incentive Compensation, if any, based on a reasonable estimate of the effect of the Restatement on the stock price or total stockholder return upon which the Covered Compensation was granted, vested, or paid and the Committee shall maintain documentation of such determination and provide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documentation to the NYSE.</w:t>
      </w:r>
    </w:p>
    <w:p>
      <w:pPr>
        <w:spacing w:after="0" w:line="228" w:lineRule="exact"/>
        <w:rPr>
          <w:sz w:val="20"/>
          <w:szCs w:val="20"/>
          <w:color w:val="auto"/>
        </w:rPr>
      </w:pPr>
    </w:p>
    <w:p>
      <w:pPr>
        <w:ind w:firstLine="757"/>
        <w:spacing w:after="0" w:line="267" w:lineRule="auto"/>
        <w:tabs>
          <w:tab w:leader="none" w:pos="1018" w:val="left"/>
        </w:tabs>
        <w:numPr>
          <w:ilvl w:val="1"/>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“Executive Officer” means an “officer” of the Company for purposes of the reporting requirements under Section 16 of the Exchange Act.</w:t>
      </w:r>
    </w:p>
    <w:p>
      <w:pPr>
        <w:spacing w:after="0" w:line="175" w:lineRule="exact"/>
        <w:rPr>
          <w:rFonts w:ascii="Arial" w:cs="Arial" w:eastAsia="Arial" w:hAnsi="Arial"/>
          <w:sz w:val="20"/>
          <w:szCs w:val="20"/>
          <w:color w:val="auto"/>
        </w:rPr>
      </w:pPr>
    </w:p>
    <w:p>
      <w:pPr>
        <w:jc w:val="both"/>
        <w:ind w:firstLine="757"/>
        <w:spacing w:after="0" w:line="263" w:lineRule="auto"/>
        <w:tabs>
          <w:tab w:leader="none" w:pos="1018" w:val="left"/>
        </w:tabs>
        <w:numPr>
          <w:ilvl w:val="1"/>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“Financial Reporting Measures” are (i) measures that are determined and presented in accordance with the accounting principles used in preparing the Company’s financial statements, (ii) any measures derived in whole or in part from such measures, (iii) stock price and</w:t>
      </w:r>
    </w:p>
    <w:p>
      <w:pPr>
        <w:ind w:left="340" w:hanging="332"/>
        <w:spacing w:after="0"/>
        <w:tabs>
          <w:tab w:leader="none" w:pos="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shareholder return.</w:t>
      </w:r>
    </w:p>
    <w:p>
      <w:pPr>
        <w:spacing w:after="0" w:line="206"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“Incentive Compensation” means any compensation that is granted, earned, or vested based wholly or in part upon the attainment of a Financial Reporting Measure. For purposes of this Policy, “Incentive-Based Compensation” shall also be deemed to include any amounts which were determined based on (or were otherwise calculated by reference to) Incentive Compensation (including, without limitation, any amounts under any supplemental retirement or severance plan or agreement or any notional account that is based on Incentive Compensation, as well as any earnings accrued thereon).</w:t>
      </w:r>
    </w:p>
    <w:p>
      <w:pPr>
        <w:spacing w:after="0" w:line="195" w:lineRule="exact"/>
        <w:rPr>
          <w:rFonts w:ascii="Arial" w:cs="Arial" w:eastAsia="Arial" w:hAnsi="Arial"/>
          <w:sz w:val="20"/>
          <w:szCs w:val="20"/>
          <w:color w:val="auto"/>
        </w:rPr>
      </w:pPr>
    </w:p>
    <w:p>
      <w:pPr>
        <w:jc w:val="both"/>
        <w:ind w:firstLine="757"/>
        <w:spacing w:after="0" w:line="243" w:lineRule="auto"/>
        <w:tabs>
          <w:tab w:leader="none" w:pos="1018" w:val="left"/>
        </w:tabs>
        <w:numPr>
          <w:ilvl w:val="1"/>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“Lookback Period”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Excess Incentive Compensation under this Policy is not dependent on if or when the Restatement is actually filed.</w:t>
      </w:r>
    </w:p>
    <w:p>
      <w:pPr>
        <w:spacing w:after="0" w:line="202" w:lineRule="exact"/>
        <w:rPr>
          <w:rFonts w:ascii="Arial" w:cs="Arial" w:eastAsia="Arial" w:hAnsi="Arial"/>
          <w:sz w:val="20"/>
          <w:szCs w:val="20"/>
          <w:color w:val="auto"/>
        </w:rPr>
      </w:pPr>
    </w:p>
    <w:p>
      <w:pPr>
        <w:jc w:val="both"/>
        <w:ind w:firstLine="757"/>
        <w:spacing w:after="0" w:line="244" w:lineRule="auto"/>
        <w:tabs>
          <w:tab w:leader="none" w:pos="1018" w:val="left"/>
        </w:tabs>
        <w:numPr>
          <w:ilvl w:val="1"/>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“Restatement” means a required accounting restatement of any Company financial statement due to the material noncompliance of the Company with any financial reporting requirement under U.S. federal securities laws, including (i) to correct an error in previously issued financial statements that is material to the previously issued financial statements or (ii) to correct an error in previously issued financial statements that is not material to the previously issued financial statements but that would result in a material misstatement if the error were corrected in the current period or left uncorrected in the current period. Recovery of any Excess Incentive Compensation under this policy is not dependent on fault, fraud, or misconduct by any person in connection with the Restatement.</w:t>
      </w:r>
    </w:p>
    <w:p>
      <w:pPr>
        <w:spacing w:after="0" w:line="20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For purposes of this Policy, a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09"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Statement of Policy</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of a Restatement, any Excess Incentive Compensation received during the Lookback Period prior to the Restatement (a) that is then-outstanding but has not yet been paid shall be automatically and immediately forfeited and (b) that has been paid to any person shall be subject to reasonably prompt repayment to the Company. The Committee must pursue (and shall not have the discretion to waive) the forfeiture and/or repayment of such Excess Incentive Compensation, except as provided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2" w:name="page103"/>
    <w:bookmarkEnd w:id="102"/>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Notwithstanding the foregoing, the Committee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to assist in enforcing this policy would exceed the amount to be recovered (following reasonable attempts by the Company to recover such Excess Incentive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to fail to meet the requirements of Sections 401(a)(13) or 411(a) of the Code.</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Notwithstanding anything to the contrary herein, the Committee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Committee, the Board, or a group composed entirely of independent members of the Board; provided that such amounts are in no way contingent on, and were not in any way granted on the basis of, the achievement of any Financial Reporting Measure.</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20"/>
          <w:szCs w:val="20"/>
          <w:u w:val="single" w:color="auto"/>
          <w:color w:val="auto"/>
        </w:rPr>
        <w:t>Means of Repayment</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event that the Committee determines that any person shall repay any Excess Incentive Compensation, the Committee shall provide written notice to such person by email or certified mail to the physical address on file with the Company for such person, and the person shall satisfy such repayment in a manner and on such terms as required by the Committee, and the Company shall be entitled to set off the repayment amount against any amount owed to the person by the Company, to require the forfeiture of any award granted by the Company to the person, or to take any and all necessary actions to reasonably promptly recoup the repayment amount from the person, in each case, to the fullest extent permitted under applicable law, including, without limitation, Section 409A of the Code. If the Committee does not specify a repayment timing in the written notice described above, the applicable person shall be required to repay the Excess Incentive Compensation to the Company by wire, cash, or cashier’s check no later than thirty (30) days after receipt of such notice.</w:t>
      </w:r>
    </w:p>
    <w:p>
      <w:pPr>
        <w:spacing w:after="0" w:line="200" w:lineRule="exact"/>
        <w:rPr>
          <w:sz w:val="20"/>
          <w:szCs w:val="20"/>
          <w:color w:val="auto"/>
        </w:rPr>
      </w:pPr>
    </w:p>
    <w:p>
      <w:pPr>
        <w:jc w:val="both"/>
        <w:ind w:firstLine="8"/>
        <w:spacing w:after="0" w:line="253" w:lineRule="auto"/>
        <w:tabs>
          <w:tab w:leader="none" w:pos="5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Indemnification</w:t>
      </w:r>
      <w:r>
        <w:rPr>
          <w:rFonts w:ascii="Times New Roman" w:cs="Times New Roman" w:eastAsia="Times New Roman" w:hAnsi="Times New Roman"/>
          <w:sz w:val="20"/>
          <w:szCs w:val="20"/>
          <w:color w:val="auto"/>
        </w:rPr>
        <w:t>. The Company shall not indemnify any person, directly or indirectly, for any losses that such person may incur in connection with the recovery of Excess Incentive Compensation pursuant to this Policy, including through the payment of insurance premiums or gross-up payments.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VI.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This Policy and its enforcement shall be administered by the Committee. Any determinations made by the Committee under this Policy shall be final and binding on all affected persons. In the event that the Committee determines that any person shall repay any Excess Incentive Compensation, the person shall satisfy such repayment in a manner and on such terms as required by the Committee to the fullest extent permitted under applicable law including, without limitation, Section 409A of the Code.</w:t>
      </w:r>
    </w:p>
    <w:p>
      <w:pPr>
        <w:spacing w:after="0" w:line="20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VII.</w:t>
      </w:r>
      <w:r>
        <w:rPr>
          <w:sz w:val="20"/>
          <w:szCs w:val="20"/>
          <w:color w:val="auto"/>
        </w:rPr>
        <w:tab/>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ind w:firstLine="757"/>
        <w:spacing w:after="0" w:line="253" w:lineRule="auto"/>
        <w:tabs>
          <w:tab w:leader="none" w:pos="101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It is intended that this Policy be interpreted in a manner that is consistent with the requirements of Section 10D of the Exchange Act and Section 303A.14 of the NYSE Listed Company Manual. The provisions of this Policy shall be interpreted in a manner that satisfies such requirements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68" w:lineRule="auto"/>
        <w:rPr>
          <w:sz w:val="20"/>
          <w:szCs w:val="20"/>
          <w:color w:val="auto"/>
        </w:rPr>
      </w:pPr>
      <w:r>
        <w:rPr>
          <w:rFonts w:ascii="Times New Roman" w:cs="Times New Roman" w:eastAsia="Times New Roman" w:hAnsi="Times New Roman"/>
          <w:sz w:val="20"/>
          <w:szCs w:val="20"/>
          <w:color w:val="auto"/>
        </w:rPr>
        <w:t>this Policy shall be operated accordingly. If any provision of this Policy would otherwise frustrate or conflict with this intent, the provision shall be interpreted and deemed amended so as to avoid such conflict.</w:t>
      </w:r>
    </w:p>
    <w:p>
      <w:pPr>
        <w:spacing w:after="0" w:line="188" w:lineRule="exact"/>
        <w:rPr>
          <w:sz w:val="20"/>
          <w:szCs w:val="20"/>
          <w:color w:val="auto"/>
        </w:rPr>
      </w:pPr>
    </w:p>
    <w:p>
      <w:pPr>
        <w:ind w:firstLine="757"/>
        <w:spacing w:after="0" w:line="267" w:lineRule="auto"/>
        <w:tabs>
          <w:tab w:leader="none" w:pos="1018"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This Policy shall be binding on and enforceable against all Executive Officers and their successors, assigns, beneficiaries or legal representatives.</w:t>
      </w:r>
    </w:p>
    <w:p>
      <w:pPr>
        <w:spacing w:after="0" w:line="175" w:lineRule="exact"/>
        <w:rPr>
          <w:rFonts w:ascii="Arial" w:cs="Arial" w:eastAsia="Arial" w:hAnsi="Arial"/>
          <w:sz w:val="20"/>
          <w:szCs w:val="20"/>
          <w:color w:val="auto"/>
        </w:rPr>
      </w:pPr>
    </w:p>
    <w:p>
      <w:pPr>
        <w:ind w:left="1020" w:hanging="263"/>
        <w:spacing w:after="0"/>
        <w:tabs>
          <w:tab w:leader="none" w:pos="10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This Policy may be amended or terminated by the Board at any time.</w:t>
      </w:r>
    </w:p>
    <w:p>
      <w:pPr>
        <w:spacing w:after="0" w:line="241" w:lineRule="exact"/>
        <w:rPr>
          <w:rFonts w:ascii="Arial" w:cs="Arial" w:eastAsia="Arial" w:hAnsi="Arial"/>
          <w:sz w:val="20"/>
          <w:szCs w:val="20"/>
          <w:color w:val="auto"/>
        </w:rPr>
      </w:pPr>
    </w:p>
    <w:p>
      <w:pPr>
        <w:jc w:val="both"/>
        <w:ind w:firstLine="757"/>
        <w:spacing w:after="0" w:line="253" w:lineRule="auto"/>
        <w:tabs>
          <w:tab w:leader="none" w:pos="1018"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w:t>
      </w:r>
    </w:p>
    <w:p>
      <w:pPr>
        <w:spacing w:after="0" w:line="188" w:lineRule="exact"/>
        <w:rPr>
          <w:rFonts w:ascii="Arial" w:cs="Arial" w:eastAsia="Arial" w:hAnsi="Arial"/>
          <w:sz w:val="20"/>
          <w:szCs w:val="20"/>
          <w:color w:val="auto"/>
        </w:rPr>
      </w:pPr>
    </w:p>
    <w:p>
      <w:pPr>
        <w:jc w:val="both"/>
        <w:ind w:firstLine="757"/>
        <w:spacing w:after="0" w:line="265" w:lineRule="auto"/>
        <w:tabs>
          <w:tab w:leader="none" w:pos="1018"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w:t>
      </w:r>
    </w:p>
    <w:p>
      <w:pPr>
        <w:spacing w:after="0" w:line="176" w:lineRule="exact"/>
        <w:rPr>
          <w:rFonts w:ascii="Arial" w:cs="Arial" w:eastAsia="Arial" w:hAnsi="Arial"/>
          <w:sz w:val="19"/>
          <w:szCs w:val="19"/>
          <w:color w:val="auto"/>
        </w:rPr>
      </w:pPr>
    </w:p>
    <w:p>
      <w:pPr>
        <w:jc w:val="both"/>
        <w:ind w:firstLine="757"/>
        <w:spacing w:after="0" w:line="244" w:lineRule="auto"/>
        <w:tabs>
          <w:tab w:leader="none" w:pos="1018"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This Policy replaces the Clawback Policy adopted by the Board on October 27, 2020 (the “</w:t>
      </w:r>
      <w:r>
        <w:rPr>
          <w:rFonts w:ascii="Times New Roman" w:cs="Times New Roman" w:eastAsia="Times New Roman" w:hAnsi="Times New Roman"/>
          <w:sz w:val="20"/>
          <w:szCs w:val="20"/>
          <w:b w:val="1"/>
          <w:bCs w:val="1"/>
          <w:color w:val="auto"/>
        </w:rPr>
        <w:t>Prior Policy</w:t>
      </w:r>
      <w:r>
        <w:rPr>
          <w:rFonts w:ascii="Times New Roman" w:cs="Times New Roman" w:eastAsia="Times New Roman" w:hAnsi="Times New Roman"/>
          <w:sz w:val="20"/>
          <w:szCs w:val="20"/>
          <w:color w:val="auto"/>
        </w:rPr>
        <w:t xml:space="preserve">”). The rights of the Company under this Policy to seek forfeiture or reimbursement are in addition to, and not in lieu of, any rights of recoupment, or remedies or rights other than recoupment, that may be available to the Company pursuant to the terms of any law, government regulation, or stock exchange listing requirement or any other policy, plan, or agreement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amounts recouped under any other policy that would be recoupable under this Policy shall count toward any required recoupment under this Policy and vice versa. For avoidance of doubt, any Excess Incentive Compensation (within the meaning of the Prior Policy) received prior to October 2, 2023, shall be subject to the terms of the Prior Policy.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Adopted: </w:t>
      </w:r>
      <w:r>
        <w:rPr>
          <w:rFonts w:ascii="Times New Roman" w:cs="Times New Roman" w:eastAsia="Times New Roman" w:hAnsi="Times New Roman"/>
          <w:sz w:val="20"/>
          <w:szCs w:val="20"/>
          <w:color w:val="auto"/>
        </w:rPr>
        <w:t>October 24, 2023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3"/>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lvl w:ilvl="1">
      <w:lvlJc w:val="left"/>
      <w:lvlText w:val="(%2)"/>
      <w:numFmt w:val="lowerLetter"/>
      <w:start w:val="1"/>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decimal"/>
      <w:start w:val="5"/>
    </w:lvl>
    <w:lvl w:ilvl="1">
      <w:lvlJc w:val="left"/>
      <w:lvlText w:val="%2"/>
      <w:numFmt w:val="lowerLetter"/>
      <w:start w:val="1"/>
    </w:lvl>
  </w:abstractNum>
  <w:abstractNum w:abstractNumId="28">
    <w:nsid w:val="440BADFC"/>
    <w:multiLevelType w:val="hybridMultilevel"/>
    <w:lvl w:ilvl="0">
      <w:lvlJc w:val="left"/>
      <w:lvlText w:val="%1."/>
      <w:numFmt w:val="decimal"/>
      <w:start w:val="7"/>
    </w:lvl>
  </w:abstractNum>
  <w:abstractNum w:abstractNumId="29">
    <w:nsid w:val="5072367"/>
    <w:multiLevelType w:val="hybridMultilevel"/>
    <w:lvl w:ilvl="0">
      <w:lvlJc w:val="left"/>
      <w:lvlText w:val="%1."/>
      <w:numFmt w:val="decimal"/>
      <w:start w:val="9"/>
    </w:lvl>
  </w:abstractNum>
  <w:abstractNum w:abstractNumId="30">
    <w:nsid w:val="3804823E"/>
    <w:multiLevelType w:val="hybridMultilevel"/>
    <w:lvl w:ilvl="0">
      <w:lvlJc w:val="left"/>
      <w:lvlText w:val="(%1)"/>
      <w:numFmt w:val="lowerLetter"/>
      <w:start w:val="1"/>
    </w:lvl>
    <w:lvl w:ilvl="1">
      <w:lvlJc w:val="left"/>
      <w:lvlText w:val="(%2)"/>
      <w:numFmt w:val="lowerRoman"/>
      <w:start w:val="1"/>
    </w:lvl>
  </w:abstractNum>
  <w:abstractNum w:abstractNumId="31">
    <w:nsid w:val="77465F01"/>
    <w:multiLevelType w:val="hybridMultilevel"/>
    <w:lvl w:ilvl="0">
      <w:lvlJc w:val="left"/>
      <w:lvlText w:val="%1."/>
      <w:numFmt w:val="decimal"/>
      <w:start w:val="1"/>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upperLetter"/>
      <w:start w:val="9"/>
    </w:lvl>
  </w:abstractNum>
  <w:abstractNum w:abstractNumId="35">
    <w:nsid w:val="5E884ADC"/>
    <w:multiLevelType w:val="hybridMultilevel"/>
    <w:lvl w:ilvl="0">
      <w:lvlJc w:val="left"/>
      <w:lvlText w:val="%1."/>
      <w:numFmt w:val="upperLetter"/>
      <w:start w:val="35"/>
    </w:lvl>
    <w:lvl w:ilvl="1">
      <w:lvlJc w:val="left"/>
      <w:lvlText w:val="(%2)"/>
      <w:numFmt w:val="lowerLetter"/>
      <w:start w:val="1"/>
    </w:lvl>
  </w:abstractNum>
  <w:abstractNum w:abstractNumId="36">
    <w:nsid w:val="51EAD36B"/>
    <w:multiLevelType w:val="hybridMultilevel"/>
    <w:lvl w:ilvl="0">
      <w:lvlJc w:val="left"/>
      <w:lvlText w:val="%1"/>
      <w:numFmt w:val="lowerRoman"/>
      <w:start w:val="1"/>
    </w:lvl>
    <w:lvl w:ilvl="1">
      <w:lvlJc w:val="left"/>
      <w:lvlText w:val="(%2)"/>
      <w:numFmt w:val="lowerLetter"/>
      <w:start w:val="6"/>
    </w:lvl>
  </w:abstractNum>
  <w:abstractNum w:abstractNumId="37">
    <w:nsid w:val="2D517796"/>
    <w:multiLevelType w:val="hybridMultilevel"/>
    <w:lvl w:ilvl="0">
      <w:lvlJc w:val="left"/>
      <w:lvlText w:val="(%1)"/>
      <w:numFmt w:val="lowerRoman"/>
      <w:start w:val="4"/>
    </w:lvl>
    <w:lvl w:ilvl="1">
      <w:lvlJc w:val="left"/>
      <w:lvlText w:val="(%2)"/>
      <w:numFmt w:val="lowerLetter"/>
      <w:start w:val="8"/>
    </w:lvl>
  </w:abstractNum>
  <w:abstractNum w:abstractNumId="38">
    <w:nsid w:val="580BD78F"/>
    <w:multiLevelType w:val="hybridMultilevel"/>
    <w:lvl w:ilvl="0">
      <w:lvlJc w:val="left"/>
      <w:lvlText w:val="%1."/>
      <w:numFmt w:val="upperLetter"/>
      <w:start w:val="61"/>
    </w:lvl>
  </w:abstractNum>
  <w:abstractNum w:abstractNumId="39">
    <w:nsid w:val="153EA438"/>
    <w:multiLevelType w:val="hybridMultilevel"/>
    <w:lvl w:ilvl="0">
      <w:lvlJc w:val="left"/>
      <w:lvlText w:val="%1."/>
      <w:numFmt w:val="upperLetter"/>
      <w:start w:val="22"/>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506" Type="http://schemas.openxmlformats.org/officeDocument/2006/relationships/image" Target="media/image479.png"/><Relationship Id="rId507" Type="http://schemas.openxmlformats.org/officeDocument/2006/relationships/image" Target="media/image480.png"/><Relationship Id="rId508" Type="http://schemas.openxmlformats.org/officeDocument/2006/relationships/image" Target="media/image481.png"/><Relationship Id="rId509" Type="http://schemas.openxmlformats.org/officeDocument/2006/relationships/image" Target="media/image482.png"/><Relationship Id="rId510" Type="http://schemas.openxmlformats.org/officeDocument/2006/relationships/image" Target="media/image483.png"/><Relationship Id="rId511" Type="http://schemas.openxmlformats.org/officeDocument/2006/relationships/image" Target="media/image484.png"/><Relationship Id="rId512" Type="http://schemas.openxmlformats.org/officeDocument/2006/relationships/image" Target="media/image485.png"/><Relationship Id="rId513" Type="http://schemas.openxmlformats.org/officeDocument/2006/relationships/image" Target="media/image486.png"/><Relationship Id="rId514" Type="http://schemas.openxmlformats.org/officeDocument/2006/relationships/image" Target="media/image487.png"/><Relationship Id="rId515" Type="http://schemas.openxmlformats.org/officeDocument/2006/relationships/image" Target="media/image488.png"/><Relationship Id="rId516" Type="http://schemas.openxmlformats.org/officeDocument/2006/relationships/image" Target="media/image489.png"/><Relationship Id="rId517" Type="http://schemas.openxmlformats.org/officeDocument/2006/relationships/image" Target="media/image490.png"/><Relationship Id="rId518" Type="http://schemas.openxmlformats.org/officeDocument/2006/relationships/image" Target="media/image491.png"/><Relationship Id="rId519" Type="http://schemas.openxmlformats.org/officeDocument/2006/relationships/image" Target="media/image492.png"/><Relationship Id="rId520" Type="http://schemas.openxmlformats.org/officeDocument/2006/relationships/image" Target="media/image493.png"/><Relationship Id="rId521" Type="http://schemas.openxmlformats.org/officeDocument/2006/relationships/image" Target="media/image494.png"/><Relationship Id="rId522" Type="http://schemas.openxmlformats.org/officeDocument/2006/relationships/image" Target="media/image495.png"/><Relationship Id="rId523" Type="http://schemas.openxmlformats.org/officeDocument/2006/relationships/image" Target="media/image496.png"/><Relationship Id="rId524" Type="http://schemas.openxmlformats.org/officeDocument/2006/relationships/image" Target="media/image497.png"/><Relationship Id="rId525" Type="http://schemas.openxmlformats.org/officeDocument/2006/relationships/image" Target="media/image498.png"/><Relationship Id="rId526" Type="http://schemas.openxmlformats.org/officeDocument/2006/relationships/image" Target="media/image499.png"/><Relationship Id="rId527" Type="http://schemas.openxmlformats.org/officeDocument/2006/relationships/image" Target="media/image500.png"/><Relationship Id="rId528" Type="http://schemas.openxmlformats.org/officeDocument/2006/relationships/image" Target="media/image501.png"/><Relationship Id="rId529" Type="http://schemas.openxmlformats.org/officeDocument/2006/relationships/image" Target="media/image502.png"/><Relationship Id="rId530" Type="http://schemas.openxmlformats.org/officeDocument/2006/relationships/image" Target="media/image503.png"/><Relationship Id="rId531" Type="http://schemas.openxmlformats.org/officeDocument/2006/relationships/image" Target="media/image504.png"/><Relationship Id="rId532" Type="http://schemas.openxmlformats.org/officeDocument/2006/relationships/image" Target="media/image505.png"/><Relationship Id="rId533" Type="http://schemas.openxmlformats.org/officeDocument/2006/relationships/image" Target="media/image506.png"/><Relationship Id="rId534" Type="http://schemas.openxmlformats.org/officeDocument/2006/relationships/image" Target="media/image507.png"/><Relationship Id="rId535" Type="http://schemas.openxmlformats.org/officeDocument/2006/relationships/image" Target="media/image508.png"/><Relationship Id="rId536" Type="http://schemas.openxmlformats.org/officeDocument/2006/relationships/image" Target="media/image509.png"/><Relationship Id="rId537" Type="http://schemas.openxmlformats.org/officeDocument/2006/relationships/image" Target="media/image510.png"/><Relationship Id="rId538" Type="http://schemas.openxmlformats.org/officeDocument/2006/relationships/image" Target="media/image511.png"/><Relationship Id="rId539" Type="http://schemas.openxmlformats.org/officeDocument/2006/relationships/image" Target="media/image512.png"/><Relationship Id="rId540" Type="http://schemas.openxmlformats.org/officeDocument/2006/relationships/image" Target="media/image513.png"/><Relationship Id="rId541" Type="http://schemas.openxmlformats.org/officeDocument/2006/relationships/image" Target="media/image514.png"/><Relationship Id="rId542" Type="http://schemas.openxmlformats.org/officeDocument/2006/relationships/image" Target="media/image515.png"/><Relationship Id="rId543" Type="http://schemas.openxmlformats.org/officeDocument/2006/relationships/image" Target="media/image516.png"/><Relationship Id="rId544" Type="http://schemas.openxmlformats.org/officeDocument/2006/relationships/image" Target="media/image517.png"/><Relationship Id="rId545" Type="http://schemas.openxmlformats.org/officeDocument/2006/relationships/image" Target="media/image518.png"/><Relationship Id="rId546" Type="http://schemas.openxmlformats.org/officeDocument/2006/relationships/image" Target="media/image519.png"/><Relationship Id="rId547" Type="http://schemas.openxmlformats.org/officeDocument/2006/relationships/image" Target="media/image520.png"/><Relationship Id="rId548" Type="http://schemas.openxmlformats.org/officeDocument/2006/relationships/image" Target="media/image521.png"/><Relationship Id="rId549" Type="http://schemas.openxmlformats.org/officeDocument/2006/relationships/image" Target="media/image522.png"/><Relationship Id="rId550" Type="http://schemas.openxmlformats.org/officeDocument/2006/relationships/image" Target="media/image523.png"/><Relationship Id="rId551" Type="http://schemas.openxmlformats.org/officeDocument/2006/relationships/image" Target="media/image524.png"/><Relationship Id="rId484" Type="http://schemas.openxmlformats.org/officeDocument/2006/relationships/hyperlink" Target="https://www.sec.gov/Archives/edgar/data/56047/000114036115008395/ex3_1.htm" TargetMode="External"/><Relationship Id="rId485" Type="http://schemas.openxmlformats.org/officeDocument/2006/relationships/hyperlink" Target="https://www.sec.gov/Archives/edgar/data/56047/000095017022020426/kex-ex3_1.htm" TargetMode="External"/><Relationship Id="rId486" Type="http://schemas.openxmlformats.org/officeDocument/2006/relationships/hyperlink" Target="https://www.sec.gov/Archives/edgar/data/56047/000095017022000893/kex-ex10_1.htm" TargetMode="External"/><Relationship Id="rId487" Type="http://schemas.openxmlformats.org/officeDocument/2006/relationships/hyperlink" Target="https://www.sec.gov/Archives/edgar/data/56047/000095017022013502/kex-ex10_1.htm" TargetMode="External"/><Relationship Id="rId488" Type="http://schemas.openxmlformats.org/officeDocument/2006/relationships/hyperlink" Target="https://www.sec.gov/Archives/edgar/data/56047/000114036121006340/brhc10020954_ex10-1.htm" TargetMode="External"/><Relationship Id="rId489" Type="http://schemas.openxmlformats.org/officeDocument/2006/relationships/hyperlink" Target="https://www.sec.gov/Archives/edgar/data/56047/000114036121006340/brhc10020954_ex10-2.htm" TargetMode="External"/><Relationship Id="rId490" Type="http://schemas.openxmlformats.org/officeDocument/2006/relationships/hyperlink" Target="https://www.sec.gov/Archives/edgar/data/56047/000095017023003306/kex-ex10_6.htm" TargetMode="External"/><Relationship Id="rId491" Type="http://schemas.openxmlformats.org/officeDocument/2006/relationships/hyperlink" Target="https://www.sec.gov/Archives/edgar/data/56047/000095017023009778/kex-ex10_1.htm" TargetMode="External"/><Relationship Id="rId492" Type="http://schemas.openxmlformats.org/officeDocument/2006/relationships/hyperlink" Target="https://www.sec.gov/Archives/edgar/data/56047/000114036121014873/brhc10023780_ex10-1.htm" TargetMode="External"/><Relationship Id="rId495" Type="http://schemas.openxmlformats.org/officeDocument/2006/relationships/hyperlink" Target="https://www.sec.gov/Archives/edgar/data/56047/000114036121014873/brhc10023780_ex10-2.htm" TargetMode="External"/><Relationship Id="rId496" Type="http://schemas.openxmlformats.org/officeDocument/2006/relationships/hyperlink" Target="https://www.sec.gov/Archives/edgar/data/56047/000114036118021679/ex10_2.htm" TargetMode="External"/><Relationship Id="rId497" Type="http://schemas.openxmlformats.org/officeDocument/2006/relationships/hyperlink" Target="https://www.sec.gov/Archives/edgar/data/56047/000095017022008434/kex-ex10_3.htm" TargetMode="External"/><Relationship Id="rId498" Type="http://schemas.openxmlformats.org/officeDocument/2006/relationships/hyperlink" Target="https://www.sec.gov/Archives/edgar/data/56047/000095017022010397/kex-ex10_1.htm" TargetMode="External"/><Relationship Id="rId499" Type="http://schemas.openxmlformats.org/officeDocument/2006/relationships/hyperlink" Target="https://www.sec.gov/Archives/edgar/data/56047/000095017022010397/kex-ex10_2.htm" TargetMode="External"/><Relationship Id="rId500" Type="http://schemas.openxmlformats.org/officeDocument/2006/relationships/hyperlink" Target="https://www.sec.gov/Archives/edgar/data/56047/000095017022010397/kex-ex10_3.htm" TargetMode="External"/><Relationship Id="rId501" Type="http://schemas.openxmlformats.org/officeDocument/2006/relationships/hyperlink" Target="https://www.sec.gov/Archives/edgar/data/56047/000095017022010397/kex-ex10_4.htm" TargetMode="External"/><Relationship Id="rId502" Type="http://schemas.openxmlformats.org/officeDocument/2006/relationships/hyperlink" Target="https://www.sec.gov/Archives/edgar/data/56047/000095017023018692/kex-ex10_4.htm" TargetMode="External"/><Relationship Id="rId503" Type="http://schemas.openxmlformats.org/officeDocument/2006/relationships/hyperlink" Target="https://www.sec.gov/Archives/edgar/data/56047/000095017023018692/kex-ex10_5.htm" TargetMode="External"/><Relationship Id="rId504" Type="http://schemas.openxmlformats.org/officeDocument/2006/relationships/hyperlink" Target="https://www.sec.gov/Archives/edgar/data/56047/000095017023018692/kex-ex10_6.htm" TargetMode="External"/><Relationship Id="rId505" Type="http://schemas.openxmlformats.org/officeDocument/2006/relationships/hyperlink" Target="https://www.sec.gov/Archives/edgar/data/56047/000095017023001792/ke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2024-02-20T05:47:08Z</dcterms:created>
  <dcterms:modified xsi:type="dcterms:W3CDTF">2024-02-20T05:47:08Z</dcterms:modified>
</cp:coreProperties>
</file>