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June 30, 2022</w:t>
      </w:r>
    </w:p>
    <w:p>
      <w:pPr>
        <w:jc w:val="center"/>
        <w:spacing w:after="0"/>
        <w:rPr>
          <w:sz w:val="20"/>
          <w:szCs w:val="20"/>
          <w:color w:val="auto"/>
        </w:rPr>
      </w:pPr>
      <w:r>
        <w:rPr>
          <w:rFonts w:ascii="Arial" w:cs="Arial" w:eastAsia="Arial" w:hAnsi="Arial"/>
          <w:sz w:val="18"/>
          <w:szCs w:val="18"/>
          <w:color w:val="auto"/>
        </w:rPr>
        <w:t>or</w:t>
      </w:r>
    </w:p>
    <w:p>
      <w:pPr>
        <w:spacing w:after="0" w:line="7" w:lineRule="exact"/>
        <w:rPr>
          <w:sz w:val="24"/>
          <w:szCs w:val="24"/>
          <w:color w:val="auto"/>
        </w:rPr>
      </w:pPr>
    </w:p>
    <w:p>
      <w:pPr>
        <w:ind w:left="4340" w:right="4340" w:hanging="3909"/>
        <w:spacing w:after="0" w:line="341" w:lineRule="auto"/>
        <w:rPr>
          <w:sz w:val="20"/>
          <w:szCs w:val="20"/>
          <w:color w:val="auto"/>
        </w:rPr>
      </w:pPr>
      <w:r>
        <w:rPr>
          <w:rFonts w:ascii="Arial" w:cs="Arial" w:eastAsia="Arial" w:hAnsi="Arial"/>
          <w:sz w:val="16"/>
          <w:szCs w:val="16"/>
          <w:color w:val="auto"/>
        </w:rPr>
        <w:t>Transition report pursuant to Section 13 or 15(d) of the Securities Exchange Act of 1934 For the transition period from to</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1-7615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4"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74-1884980</w:t>
            </w:r>
          </w:p>
        </w:tc>
        <w:tc>
          <w:tcPr>
            <w:tcW w:w="0" w:type="dxa"/>
            <w:vAlign w:val="bottom"/>
          </w:tcPr>
          <w:p>
            <w:pPr>
              <w:spacing w:after="0"/>
              <w:rPr>
                <w:sz w:val="1"/>
                <w:szCs w:val="1"/>
                <w:color w:val="auto"/>
              </w:rPr>
            </w:pP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51"/>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55 Waugh Drive, Suite 1000</w:t>
            </w:r>
          </w:p>
        </w:tc>
        <w:tc>
          <w:tcPr>
            <w:tcW w:w="3760" w:type="dxa"/>
            <w:vAlign w:val="bottom"/>
            <w:vMerge w:val="restart"/>
          </w:tcPr>
          <w:p>
            <w:pPr>
              <w:jc w:val="center"/>
              <w:ind w:left="1030"/>
              <w:spacing w:after="0"/>
              <w:rPr>
                <w:sz w:val="20"/>
                <w:szCs w:val="20"/>
                <w:color w:val="auto"/>
              </w:rPr>
            </w:pPr>
            <w:r>
              <w:rPr>
                <w:rFonts w:ascii="Arial" w:cs="Arial" w:eastAsia="Arial" w:hAnsi="Arial"/>
                <w:sz w:val="18"/>
                <w:szCs w:val="18"/>
                <w:b w:val="1"/>
                <w:bCs w:val="1"/>
                <w:color w:val="auto"/>
                <w:w w:val="87"/>
              </w:rPr>
              <w:t>77007</w:t>
            </w:r>
          </w:p>
        </w:tc>
        <w:tc>
          <w:tcPr>
            <w:tcW w:w="0" w:type="dxa"/>
            <w:vAlign w:val="bottom"/>
          </w:tcPr>
          <w:p>
            <w:pPr>
              <w:spacing w:after="0"/>
              <w:rPr>
                <w:sz w:val="1"/>
                <w:szCs w:val="1"/>
                <w:color w:val="auto"/>
              </w:rPr>
            </w:pPr>
          </w:p>
        </w:tc>
      </w:tr>
      <w:tr>
        <w:trPr>
          <w:trHeight w:val="202"/>
        </w:trPr>
        <w:tc>
          <w:tcPr>
            <w:tcW w:w="5420" w:type="dxa"/>
            <w:vAlign w:val="bottom"/>
          </w:tcPr>
          <w:p>
            <w:pPr>
              <w:jc w:val="center"/>
              <w:ind w:right="1010"/>
              <w:spacing w:after="0" w:line="201" w:lineRule="exact"/>
              <w:rPr>
                <w:sz w:val="20"/>
                <w:szCs w:val="20"/>
                <w:color w:val="auto"/>
              </w:rPr>
            </w:pPr>
            <w:r>
              <w:rPr>
                <w:rFonts w:ascii="Arial" w:cs="Arial" w:eastAsia="Arial" w:hAnsi="Arial"/>
                <w:sz w:val="18"/>
                <w:szCs w:val="18"/>
                <w:b w:val="1"/>
                <w:bCs w:val="1"/>
                <w:color w:val="auto"/>
                <w:w w:val="94"/>
              </w:rPr>
              <w:t>Houston, TX</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16"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9"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380" w:type="dxa"/>
            <w:vAlign w:val="bottom"/>
            <w:tcBorders>
              <w:top w:val="single" w:sz="8" w:color="auto"/>
              <w:left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Title of each class</w:t>
            </w:r>
          </w:p>
        </w:tc>
        <w:tc>
          <w:tcPr>
            <w:tcW w:w="3500" w:type="dxa"/>
            <w:vAlign w:val="bottom"/>
            <w:tcBorders>
              <w:top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Name of each exchange on which registered</w:t>
            </w:r>
          </w:p>
        </w:tc>
      </w:tr>
      <w:tr>
        <w:trPr>
          <w:trHeight w:val="166"/>
        </w:trPr>
        <w:tc>
          <w:tcPr>
            <w:tcW w:w="338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0"/>
              </w:rPr>
              <w:t>Common Stock</w:t>
            </w:r>
          </w:p>
        </w:tc>
        <w:tc>
          <w:tcPr>
            <w:tcW w:w="35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9"/>
              </w:rPr>
              <w:t>KEX</w:t>
            </w:r>
          </w:p>
        </w:tc>
        <w:tc>
          <w:tcPr>
            <w:tcW w:w="43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8"/>
                <w:szCs w:val="18"/>
                <w:color w:val="auto"/>
                <w:w w:val="91"/>
              </w:rPr>
              <w:t>New York Stock Exchange</w:t>
            </w:r>
          </w:p>
        </w:tc>
      </w:tr>
    </w:tbl>
    <w:p>
      <w:pPr>
        <w:spacing w:after="0" w:line="188" w:lineRule="exact"/>
        <w:rPr>
          <w:sz w:val="24"/>
          <w:szCs w:val="24"/>
          <w:color w:val="auto"/>
        </w:rPr>
      </w:pPr>
    </w:p>
    <w:p>
      <w:pPr>
        <w:ind w:right="300"/>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68" w:lineRule="exact"/>
        <w:rPr>
          <w:sz w:val="24"/>
          <w:szCs w:val="24"/>
          <w:color w:val="auto"/>
        </w:rPr>
      </w:pPr>
    </w:p>
    <w:p>
      <w:pPr>
        <w:ind w:right="24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68" w:lineRule="exact"/>
        <w:rPr>
          <w:sz w:val="24"/>
          <w:szCs w:val="24"/>
          <w:color w:val="auto"/>
        </w:rPr>
      </w:pPr>
    </w:p>
    <w:p>
      <w:pPr>
        <w:ind w:right="3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6" w:right="339" w:bottom="1440" w:gutter="0" w:footer="0" w:header="0"/>
        </w:sectPr>
      </w:pPr>
    </w:p>
    <w:p>
      <w:pPr>
        <w:spacing w:after="0" w:line="168"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2">
            <w:col w:w="7180" w:space="720"/>
            <w:col w:w="3340"/>
          </w:cols>
          <w:pgMar w:left="320" w:top="616" w:right="339" w:bottom="1440" w:gutter="0" w:footer="0" w:header="0"/>
          <w:type w:val="continuous"/>
        </w:sectPr>
      </w:pPr>
    </w:p>
    <w:p>
      <w:pPr>
        <w:spacing w:after="0" w:line="5"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7" w:lineRule="exact"/>
        <w:rPr>
          <w:sz w:val="24"/>
          <w:szCs w:val="24"/>
          <w:color w:val="auto"/>
        </w:rPr>
      </w:pPr>
    </w:p>
    <w:p>
      <w:pPr>
        <w:spacing w:after="0"/>
        <w:tabs>
          <w:tab w:leader="none" w:pos="8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tab/>
        <w:t>No</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2022, 59.9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1740" w:type="dxa"/>
            <w:vAlign w:val="bottom"/>
            <w:gridSpan w:val="3"/>
          </w:tcPr>
          <w:p>
            <w:pPr>
              <w:jc w:val="center"/>
              <w:ind w:right="971"/>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Pr>
          <w:p>
            <w:pPr>
              <w:spacing w:after="0"/>
              <w:rPr>
                <w:sz w:val="14"/>
                <w:szCs w:val="14"/>
                <w:color w:val="auto"/>
              </w:rPr>
            </w:pPr>
          </w:p>
        </w:tc>
      </w:tr>
      <w:tr>
        <w:trPr>
          <w:trHeight w:val="203"/>
        </w:trPr>
        <w:tc>
          <w:tcPr>
            <w:tcW w:w="8020" w:type="dxa"/>
            <w:vAlign w:val="bottom"/>
            <w:shd w:val="clear" w:color="auto" w:fill="CFF0FC"/>
          </w:tcPr>
          <w:p>
            <w:pPr>
              <w:ind w:left="360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25,104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center"/>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34,813</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Trade – less allowance for doubtful accounts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445,425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417,958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127,181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149,964</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 – net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370,385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331,350</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84,160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69,780</w:t>
            </w:r>
          </w:p>
        </w:tc>
        <w:tc>
          <w:tcPr>
            <w:tcW w:w="100" w:type="dxa"/>
            <w:vAlign w:val="bottom"/>
          </w:tcPr>
          <w:p>
            <w:pPr>
              <w:spacing w:after="0"/>
              <w:rPr>
                <w:sz w:val="17"/>
                <w:szCs w:val="17"/>
                <w:color w:val="auto"/>
              </w:rPr>
            </w:pPr>
          </w:p>
        </w:tc>
      </w:tr>
      <w:tr>
        <w:trPr>
          <w:trHeight w:val="196"/>
        </w:trPr>
        <w:tc>
          <w:tcPr>
            <w:tcW w:w="80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1,052,255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1,003,865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02"/>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5,416,559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5,392,851</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17"/>
                <w:szCs w:val="17"/>
                <w:color w:val="auto"/>
              </w:rPr>
            </w:pPr>
          </w:p>
        </w:tc>
        <w:tc>
          <w:tcPr>
            <w:tcW w:w="13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(1,763,907 )</w:t>
            </w:r>
          </w:p>
        </w:tc>
        <w:tc>
          <w:tcPr>
            <w:tcW w:w="22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(1,714,336 )</w:t>
            </w:r>
          </w:p>
        </w:tc>
      </w:tr>
      <w:tr>
        <w:trPr>
          <w:trHeight w:val="196"/>
        </w:trPr>
        <w:tc>
          <w:tcPr>
            <w:tcW w:w="80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Property and equipment – net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3,652,652</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3,678,515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02"/>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159,968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167,730</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438,748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438,748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55,770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60,070</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45,763</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50,135</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5,405,156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center"/>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5,399,063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8"/>
        </w:trPr>
        <w:tc>
          <w:tcPr>
            <w:tcW w:w="8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8020" w:type="dxa"/>
            <w:vAlign w:val="bottom"/>
            <w:shd w:val="clear" w:color="auto" w:fill="CFF0FC"/>
          </w:tcPr>
          <w:p>
            <w:pPr>
              <w:ind w:left="198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Bank notes payable</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center"/>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1,934</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234,640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199,088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198,191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236,078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34,667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33,902</w:t>
            </w:r>
          </w:p>
        </w:tc>
        <w:tc>
          <w:tcPr>
            <w:tcW w:w="10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69,668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72,770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56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541,372</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543,772</w:t>
            </w:r>
          </w:p>
        </w:tc>
        <w:tc>
          <w:tcPr>
            <w:tcW w:w="100" w:type="dxa"/>
            <w:vAlign w:val="bottom"/>
          </w:tcPr>
          <w:p>
            <w:pPr>
              <w:spacing w:after="0"/>
              <w:rPr>
                <w:sz w:val="17"/>
                <w:szCs w:val="17"/>
                <w:color w:val="auto"/>
              </w:rPr>
            </w:pPr>
          </w:p>
        </w:tc>
      </w:tr>
      <w:tr>
        <w:trPr>
          <w:trHeight w:val="102"/>
        </w:trPr>
        <w:tc>
          <w:tcPr>
            <w:tcW w:w="80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Long-term debt, net – less current portion</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1,131,849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1,161,433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590,876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574,152</w:t>
            </w:r>
          </w:p>
        </w:tc>
        <w:tc>
          <w:tcPr>
            <w:tcW w:w="100" w:type="dxa"/>
            <w:vAlign w:val="bottom"/>
            <w:shd w:val="clear" w:color="auto" w:fill="CFF0FC"/>
          </w:tcPr>
          <w:p>
            <w:pPr>
              <w:spacing w:after="0"/>
              <w:rPr>
                <w:sz w:val="17"/>
                <w:szCs w:val="17"/>
                <w:color w:val="auto"/>
              </w:rPr>
            </w:pPr>
          </w:p>
        </w:tc>
      </w:tr>
      <w:tr>
        <w:trPr>
          <w:trHeight w:val="202"/>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less current portion</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150,355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159,672</w:t>
            </w:r>
          </w:p>
        </w:tc>
        <w:tc>
          <w:tcPr>
            <w:tcW w:w="10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60,960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71,252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560"/>
              <w:spacing w:after="0" w:line="196" w:lineRule="exact"/>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1,934,040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1,966,509</w:t>
            </w:r>
          </w:p>
        </w:tc>
        <w:tc>
          <w:tcPr>
            <w:tcW w:w="100" w:type="dxa"/>
            <w:vAlign w:val="bottom"/>
          </w:tcPr>
          <w:p>
            <w:pPr>
              <w:spacing w:after="0"/>
              <w:rPr>
                <w:sz w:val="17"/>
                <w:szCs w:val="17"/>
                <w:color w:val="auto"/>
              </w:rPr>
            </w:pPr>
          </w:p>
        </w:tc>
      </w:tr>
      <w:tr>
        <w:trPr>
          <w:trHeight w:val="101"/>
        </w:trPr>
        <w:tc>
          <w:tcPr>
            <w:tcW w:w="80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360" w:type="dxa"/>
            <w:vAlign w:val="bottom"/>
            <w:gridSpan w:val="2"/>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60" w:type="dxa"/>
            <w:vAlign w:val="bottom"/>
            <w:gridSpan w:val="2"/>
            <w:shd w:val="clear" w:color="auto" w:fill="CFF0FC"/>
          </w:tcPr>
          <w:p>
            <w:pPr>
              <w:spacing w:after="0"/>
              <w:rPr>
                <w:sz w:val="8"/>
                <w:szCs w:val="8"/>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Contingencies and commitments</w:t>
            </w:r>
          </w:p>
        </w:tc>
        <w:tc>
          <w:tcPr>
            <w:tcW w:w="280" w:type="dxa"/>
            <w:vAlign w:val="bottom"/>
          </w:tcPr>
          <w:p>
            <w:pPr>
              <w:spacing w:after="0"/>
              <w:rPr>
                <w:sz w:val="17"/>
                <w:szCs w:val="17"/>
                <w:color w:val="auto"/>
              </w:rPr>
            </w:pPr>
          </w:p>
        </w:tc>
        <w:tc>
          <w:tcPr>
            <w:tcW w:w="13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08"/>
        </w:trPr>
        <w:tc>
          <w:tcPr>
            <w:tcW w:w="80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202"/>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Kirby stockholders’ equity:</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w w:val="95"/>
              </w:rPr>
              <w:t>Common stock, $0.10 par value per share. Authorized 120 million shares, issued 65.5 million shares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6,547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6,547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854,781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854,512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Accumulated other comprehensive income – net</w:t>
            </w:r>
          </w:p>
        </w:tc>
        <w:tc>
          <w:tcPr>
            <w:tcW w:w="280" w:type="dxa"/>
            <w:vAlign w:val="bottom"/>
          </w:tcPr>
          <w:p>
            <w:pPr>
              <w:spacing w:after="0"/>
              <w:rPr>
                <w:sz w:val="17"/>
                <w:szCs w:val="17"/>
                <w:color w:val="auto"/>
              </w:rPr>
            </w:pPr>
          </w:p>
        </w:tc>
        <w:tc>
          <w:tcPr>
            <w:tcW w:w="13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(21,957 )</w:t>
            </w:r>
          </w:p>
        </w:tc>
        <w:tc>
          <w:tcPr>
            <w:tcW w:w="22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(25,966 )</w:t>
            </w: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2,392,330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2,346,439</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w w:val="97"/>
              </w:rPr>
              <w:t>Treasury stock – at cost, 5.5 million shares at June 30, 2022 and 5.4 million at December 31, 2021</w:t>
            </w:r>
          </w:p>
        </w:tc>
        <w:tc>
          <w:tcPr>
            <w:tcW w:w="280" w:type="dxa"/>
            <w:vAlign w:val="bottom"/>
          </w:tcPr>
          <w:p>
            <w:pPr>
              <w:spacing w:after="0"/>
              <w:rPr>
                <w:sz w:val="17"/>
                <w:szCs w:val="17"/>
                <w:color w:val="auto"/>
              </w:rPr>
            </w:pPr>
          </w:p>
        </w:tc>
        <w:tc>
          <w:tcPr>
            <w:tcW w:w="13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(304,314 )</w:t>
            </w:r>
          </w:p>
        </w:tc>
        <w:tc>
          <w:tcPr>
            <w:tcW w:w="22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(295,208 )</w:t>
            </w:r>
          </w:p>
        </w:tc>
      </w:tr>
      <w:tr>
        <w:trPr>
          <w:trHeight w:val="196"/>
        </w:trPr>
        <w:tc>
          <w:tcPr>
            <w:tcW w:w="80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Kirby stockholders’ equity</w:t>
            </w: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2,927,387</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2,886,324</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2,357</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2,458</w:t>
            </w:r>
          </w:p>
        </w:tc>
        <w:tc>
          <w:tcPr>
            <w:tcW w:w="100" w:type="dxa"/>
            <w:vAlign w:val="bottom"/>
          </w:tcPr>
          <w:p>
            <w:pPr>
              <w:spacing w:after="0"/>
              <w:rPr>
                <w:sz w:val="17"/>
                <w:szCs w:val="17"/>
                <w:color w:val="auto"/>
              </w:rPr>
            </w:pPr>
          </w:p>
        </w:tc>
      </w:tr>
      <w:tr>
        <w:trPr>
          <w:trHeight w:val="196"/>
        </w:trPr>
        <w:tc>
          <w:tcPr>
            <w:tcW w:w="80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2,929,744</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2,888,782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560"/>
              <w:spacing w:after="0" w:line="196" w:lineRule="exact"/>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5,405,156</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5,399,063</w:t>
            </w:r>
          </w:p>
        </w:tc>
        <w:tc>
          <w:tcPr>
            <w:tcW w:w="10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-4796790</wp:posOffset>
            </wp:positionV>
            <wp:extent cx="685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-4796790</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-4325620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-4325620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-3599815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-3582670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-2602230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-1873885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-1873885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EARNINGS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 in thousands, except per share amounts)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405,655</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332,887</w:t>
            </w:r>
          </w:p>
        </w:tc>
        <w:tc>
          <w:tcPr>
            <w:tcW w:w="2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761,191</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633,838</w:t>
            </w:r>
          </w:p>
        </w:tc>
        <w:tc>
          <w:tcPr>
            <w:tcW w:w="100" w:type="dxa"/>
            <w:vAlign w:val="bottom"/>
          </w:tcPr>
          <w:p>
            <w:pPr>
              <w:spacing w:after="0"/>
              <w:rPr>
                <w:sz w:val="17"/>
                <w:szCs w:val="17"/>
                <w:color w:val="auto"/>
              </w:rPr>
            </w:pPr>
          </w:p>
        </w:tc>
      </w:tr>
      <w:tr>
        <w:trPr>
          <w:trHeight w:val="20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292,309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226,737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547,555</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422,636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697,964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559,624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1,308,746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1,056,474</w:t>
            </w:r>
          </w:p>
        </w:tc>
        <w:tc>
          <w:tcPr>
            <w:tcW w:w="100" w:type="dxa"/>
            <w:vAlign w:val="bottom"/>
          </w:tcPr>
          <w:p>
            <w:pPr>
              <w:spacing w:after="0"/>
              <w:rPr>
                <w:sz w:val="17"/>
                <w:szCs w:val="17"/>
                <w:color w:val="auto"/>
              </w:rPr>
            </w:pPr>
          </w:p>
        </w:tc>
      </w:tr>
      <w:tr>
        <w:trPr>
          <w:trHeight w:val="196"/>
        </w:trPr>
        <w:tc>
          <w:tcPr>
            <w:tcW w:w="4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Costs of sales and operating expenses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523,862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409,479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974,480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772,519</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70,575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62,740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146,340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132,369</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10,364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18,624</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50,115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55,132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100,079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110,022</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(2,745 )</w:t>
            </w: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(2,119 )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(7,594 )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(4,252 )</w:t>
            </w:r>
          </w:p>
        </w:tc>
      </w:tr>
      <w:tr>
        <w:trPr>
          <w:trHeight w:val="196"/>
        </w:trPr>
        <w:tc>
          <w:tcPr>
            <w:tcW w:w="48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651,428</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535,596</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1,232,516</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1,029,282</w:t>
            </w:r>
          </w:p>
        </w:tc>
        <w:tc>
          <w:tcPr>
            <w:tcW w:w="100" w:type="dxa"/>
            <w:vAlign w:val="bottom"/>
            <w:tcBorders>
              <w:top w:val="single" w:sz="8" w:color="CFF0FC"/>
            </w:tcBorders>
          </w:tcPr>
          <w:p>
            <w:pPr>
              <w:spacing w:after="0"/>
              <w:rPr>
                <w:sz w:val="17"/>
                <w:szCs w:val="17"/>
                <w:color w:val="auto"/>
              </w:rPr>
            </w:pPr>
          </w:p>
        </w:tc>
      </w:tr>
      <w:tr>
        <w:trPr>
          <w:trHeight w:val="196"/>
        </w:trPr>
        <w:tc>
          <w:tcPr>
            <w:tcW w:w="4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46,536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24,028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76,230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27,192</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6,314</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(10,640 )</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(10,706 )</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(20,843 )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(21,672 )</w:t>
            </w:r>
          </w:p>
        </w:tc>
      </w:tr>
      <w:tr>
        <w:trPr>
          <w:trHeight w:val="196"/>
        </w:trPr>
        <w:tc>
          <w:tcPr>
            <w:tcW w:w="48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Earnings before taxes on income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39,636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15,845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63,435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11,834</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taxes on income</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(11,030 )</w:t>
            </w: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(5,493 )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(17,243 )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(4,602 )</w:t>
            </w:r>
          </w:p>
        </w:tc>
      </w:tr>
      <w:tr>
        <w:trPr>
          <w:trHeight w:val="196"/>
        </w:trPr>
        <w:tc>
          <w:tcPr>
            <w:tcW w:w="48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4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Net earnings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28,606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46,192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7,232</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Net earnings attributable to noncontrolling interests</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(149 )</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(162 )</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(301 )</w:t>
            </w:r>
          </w:p>
        </w:tc>
        <w:tc>
          <w:tcPr>
            <w:tcW w:w="34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(417 )</w:t>
            </w:r>
          </w:p>
        </w:tc>
      </w:tr>
      <w:tr>
        <w:trPr>
          <w:trHeight w:val="196"/>
        </w:trPr>
        <w:tc>
          <w:tcPr>
            <w:tcW w:w="48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Net earnings attributable to Kirby</w:t>
            </w:r>
          </w:p>
        </w:tc>
        <w:tc>
          <w:tcPr>
            <w:tcW w:w="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28,457</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10,190</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45,891</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6,815</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4820" w:type="dxa"/>
            <w:vAlign w:val="bottom"/>
          </w:tcPr>
          <w:p>
            <w:pPr>
              <w:ind w:left="20"/>
              <w:spacing w:after="0" w:line="162" w:lineRule="exact"/>
              <w:rPr>
                <w:sz w:val="20"/>
                <w:szCs w:val="20"/>
                <w:color w:val="auto"/>
              </w:rPr>
            </w:pPr>
            <w:r>
              <w:rPr>
                <w:rFonts w:ascii="Arial" w:cs="Arial" w:eastAsia="Arial" w:hAnsi="Arial"/>
                <w:sz w:val="18"/>
                <w:szCs w:val="18"/>
                <w:color w:val="auto"/>
              </w:rPr>
              <w:t>Net earnings per share attributable to Kirby common</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482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0.47</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0.76</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5"/>
                <w:szCs w:val="15"/>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-3459480</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-3459480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-3459480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-3459480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-2413635</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-2413635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-2413635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-2413635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-1359535</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-1359535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-1359535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-1359535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-179070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-161925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-179070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-161925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7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28,606</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10,352</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center"/>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46,192</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 net of taxes: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benefits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4,131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3,607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4,144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4,352</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(611 )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(86 )</w:t>
            </w:r>
          </w:p>
        </w:tc>
        <w:tc>
          <w:tcPr>
            <w:tcW w:w="4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(135 )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(583 )</w:t>
            </w:r>
          </w:p>
        </w:tc>
      </w:tr>
      <w:tr>
        <w:trPr>
          <w:trHeight w:val="196"/>
        </w:trPr>
        <w:tc>
          <w:tcPr>
            <w:tcW w:w="48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other comprehensive income, net of taxes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3,520</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3,521</w:t>
            </w:r>
          </w:p>
        </w:tc>
        <w:tc>
          <w:tcPr>
            <w:tcW w:w="24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4,009</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3,769</w:t>
            </w:r>
          </w:p>
        </w:tc>
        <w:tc>
          <w:tcPr>
            <w:tcW w:w="100" w:type="dxa"/>
            <w:vAlign w:val="bottom"/>
            <w:tcBorders>
              <w:top w:val="single" w:sz="8" w:color="CFF0FC"/>
            </w:tcBorders>
          </w:tcPr>
          <w:p>
            <w:pPr>
              <w:spacing w:after="0"/>
              <w:rPr>
                <w:sz w:val="17"/>
                <w:szCs w:val="17"/>
                <w:color w:val="auto"/>
              </w:rPr>
            </w:pPr>
          </w:p>
        </w:tc>
      </w:tr>
      <w:tr>
        <w:trPr>
          <w:trHeight w:val="196"/>
        </w:trPr>
        <w:tc>
          <w:tcPr>
            <w:tcW w:w="4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Total comprehensive income, net of taxes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32,126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13,873</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50,201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11,001</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earnings attributable to noncontrolling interests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(149 )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(162 )</w:t>
            </w:r>
          </w:p>
        </w:tc>
        <w:tc>
          <w:tcPr>
            <w:tcW w:w="4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(301 )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(417 )</w:t>
            </w:r>
          </w:p>
        </w:tc>
      </w:tr>
      <w:tr>
        <w:trPr>
          <w:trHeight w:val="196"/>
        </w:trPr>
        <w:tc>
          <w:tcPr>
            <w:tcW w:w="48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3"/>
        </w:trPr>
        <w:tc>
          <w:tcPr>
            <w:tcW w:w="48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Comprehensive income attributable to Kirby</w:t>
            </w: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31,977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13,711</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center"/>
              <w:ind w:right="2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49,900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8060" w:type="dxa"/>
            <w:vAlign w:val="bottom"/>
            <w:gridSpan w:val="7"/>
          </w:tcPr>
          <w:p>
            <w:pPr>
              <w:jc w:val="right"/>
              <w:ind w:right="228"/>
              <w:spacing w:after="0"/>
              <w:rPr>
                <w:sz w:val="20"/>
                <w:szCs w:val="20"/>
                <w:color w:val="auto"/>
              </w:rPr>
            </w:pPr>
            <w:r>
              <w:rPr>
                <w:rFonts w:ascii="Arial" w:cs="Arial" w:eastAsia="Arial" w:hAnsi="Arial"/>
                <w:sz w:val="18"/>
                <w:szCs w:val="18"/>
                <w:color w:val="auto"/>
              </w:rPr>
              <w:t>See accompanying notes to condensed financial statements.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14"/>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-1942465</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-1942465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-1942465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-1942465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-1419225</wp:posOffset>
            </wp:positionV>
            <wp:extent cx="7747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-1419225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-1419225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-887730</wp:posOffset>
            </wp:positionV>
            <wp:extent cx="7747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-887730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-887730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-625475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-608330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-625475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-608330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-625475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-608330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0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8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46,192</w:t>
            </w:r>
          </w:p>
        </w:tc>
        <w:tc>
          <w:tcPr>
            <w:tcW w:w="26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7,232</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earnings to net cash provided by operations: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100,079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110,022</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Provision for deferred income taxes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15,335</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4,380</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share-based compensation</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8,555</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9,148</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major maintenance costs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14,405</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17,082</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8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(6,412 )</w:t>
            </w:r>
          </w:p>
        </w:tc>
        <w:tc>
          <w:tcPr>
            <w:tcW w:w="5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(4,309 )</w:t>
            </w: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(82,510 )</w:t>
            </w: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54,263</w:t>
            </w:r>
          </w:p>
        </w:tc>
        <w:tc>
          <w:tcPr>
            <w:tcW w:w="100" w:type="dxa"/>
            <w:vAlign w:val="bottom"/>
            <w:shd w:val="clear" w:color="auto" w:fill="CFF0FC"/>
          </w:tcPr>
          <w:p>
            <w:pPr>
              <w:spacing w:after="0"/>
              <w:rPr>
                <w:sz w:val="17"/>
                <w:szCs w:val="17"/>
                <w:color w:val="auto"/>
              </w:rPr>
            </w:pPr>
          </w:p>
        </w:tc>
      </w:tr>
      <w:tr>
        <w:trPr>
          <w:trHeight w:val="196"/>
        </w:trPr>
        <w:tc>
          <w:tcPr>
            <w:tcW w:w="806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95,644</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197,818</w:t>
            </w:r>
          </w:p>
        </w:tc>
        <w:tc>
          <w:tcPr>
            <w:tcW w:w="100" w:type="dxa"/>
            <w:vAlign w:val="bottom"/>
            <w:tcBorders>
              <w:top w:val="single" w:sz="8" w:color="CFF0FC"/>
            </w:tcBorders>
          </w:tcPr>
          <w:p>
            <w:pPr>
              <w:spacing w:after="0"/>
              <w:rPr>
                <w:sz w:val="17"/>
                <w:szCs w:val="17"/>
                <w:color w:val="auto"/>
              </w:rPr>
            </w:pPr>
          </w:p>
        </w:tc>
      </w:tr>
      <w:tr>
        <w:trPr>
          <w:trHeight w:val="196"/>
        </w:trPr>
        <w:tc>
          <w:tcPr>
            <w:tcW w:w="8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(79,059 )</w:t>
            </w:r>
          </w:p>
        </w:tc>
        <w:tc>
          <w:tcPr>
            <w:tcW w:w="5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(38,369 )</w:t>
            </w: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businesses and marine equipment</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(3,900 )</w:t>
            </w:r>
          </w:p>
        </w:tc>
        <w:tc>
          <w:tcPr>
            <w:tcW w:w="5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(7,470 )</w:t>
            </w:r>
          </w:p>
        </w:tc>
      </w:tr>
      <w:tr>
        <w:trPr>
          <w:trHeight w:val="203"/>
        </w:trPr>
        <w:tc>
          <w:tcPr>
            <w:tcW w:w="80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disposition of assets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23,311</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ind w:left="380"/>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(59,648 )</w:t>
            </w:r>
          </w:p>
        </w:tc>
        <w:tc>
          <w:tcPr>
            <w:tcW w:w="52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(29,108 )</w:t>
            </w:r>
          </w:p>
        </w:tc>
      </w:tr>
      <w:tr>
        <w:trPr>
          <w:trHeight w:val="196"/>
        </w:trPr>
        <w:tc>
          <w:tcPr>
            <w:tcW w:w="80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Borrowings (payments) on bank credit facilities, net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2,272</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(193,623 )</w:t>
            </w: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Payments on long-term debt</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(30,000 )</w:t>
            </w:r>
          </w:p>
        </w:tc>
        <w:tc>
          <w:tcPr>
            <w:tcW w:w="52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3,885</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Payments related to tax withholding for share-based compensation</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(3,192 )</w:t>
            </w:r>
          </w:p>
        </w:tc>
        <w:tc>
          <w:tcPr>
            <w:tcW w:w="5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(2,853 )</w:t>
            </w:r>
          </w:p>
        </w:tc>
      </w:tr>
      <w:tr>
        <w:trPr>
          <w:trHeight w:val="203"/>
        </w:trPr>
        <w:tc>
          <w:tcPr>
            <w:tcW w:w="8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Treasury stock purchases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(18,085 )</w:t>
            </w:r>
          </w:p>
        </w:tc>
        <w:tc>
          <w:tcPr>
            <w:tcW w:w="5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Return of investment to noncontrolling interest and other</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(585 )</w:t>
            </w:r>
          </w:p>
        </w:tc>
        <w:tc>
          <w:tcPr>
            <w:tcW w:w="5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196"/>
        </w:trPr>
        <w:tc>
          <w:tcPr>
            <w:tcW w:w="80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(45,705</w:t>
            </w:r>
          </w:p>
        </w:tc>
        <w:tc>
          <w:tcPr>
            <w:tcW w:w="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(195,996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8060" w:type="dxa"/>
            <w:vAlign w:val="bottom"/>
          </w:tcPr>
          <w:p>
            <w:pPr>
              <w:ind w:left="380"/>
              <w:spacing w:after="0" w:line="196" w:lineRule="exact"/>
              <w:rPr>
                <w:sz w:val="20"/>
                <w:szCs w:val="20"/>
                <w:color w:val="auto"/>
              </w:rPr>
            </w:pPr>
            <w:r>
              <w:rPr>
                <w:rFonts w:ascii="Arial" w:cs="Arial" w:eastAsia="Arial" w:hAnsi="Arial"/>
                <w:sz w:val="18"/>
                <w:szCs w:val="18"/>
                <w:color w:val="auto"/>
              </w:rPr>
              <w:t>Decrease in cash and cash equivalents</w:t>
            </w:r>
          </w:p>
        </w:tc>
        <w:tc>
          <w:tcPr>
            <w:tcW w:w="320" w:type="dxa"/>
            <w:vAlign w:val="bottom"/>
          </w:tcPr>
          <w:p>
            <w:pPr>
              <w:spacing w:after="0"/>
              <w:rPr>
                <w:sz w:val="17"/>
                <w:szCs w:val="17"/>
                <w:color w:val="auto"/>
              </w:rPr>
            </w:pPr>
          </w:p>
        </w:tc>
        <w:tc>
          <w:tcPr>
            <w:tcW w:w="128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(9,709 )</w:t>
            </w:r>
          </w:p>
        </w:tc>
        <w:tc>
          <w:tcPr>
            <w:tcW w:w="52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(27,286 )</w:t>
            </w:r>
          </w:p>
        </w:tc>
      </w:tr>
      <w:tr>
        <w:trPr>
          <w:trHeight w:val="203"/>
        </w:trPr>
        <w:tc>
          <w:tcPr>
            <w:tcW w:w="8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34,813</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80,338</w:t>
            </w:r>
          </w:p>
        </w:tc>
        <w:tc>
          <w:tcPr>
            <w:tcW w:w="100" w:type="dxa"/>
            <w:vAlign w:val="bottom"/>
          </w:tcPr>
          <w:p>
            <w:pPr>
              <w:spacing w:after="0"/>
              <w:rPr>
                <w:sz w:val="17"/>
                <w:szCs w:val="17"/>
                <w:color w:val="auto"/>
              </w:rPr>
            </w:pPr>
          </w:p>
        </w:tc>
      </w:tr>
      <w:tr>
        <w:trPr>
          <w:trHeight w:val="236"/>
        </w:trPr>
        <w:tc>
          <w:tcPr>
            <w:tcW w:w="8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25,104</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53,052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Cash paid (received) during the period: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paid</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20,161</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20,913</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80"/>
              <w:spacing w:after="0" w:line="202" w:lineRule="exact"/>
              <w:rPr>
                <w:sz w:val="20"/>
                <w:szCs w:val="20"/>
                <w:color w:val="auto"/>
              </w:rPr>
            </w:pPr>
            <w:r>
              <w:rPr>
                <w:rFonts w:ascii="Arial" w:cs="Arial" w:eastAsia="Arial" w:hAnsi="Arial"/>
                <w:sz w:val="18"/>
                <w:szCs w:val="18"/>
                <w:color w:val="auto"/>
              </w:rPr>
              <w:t>Income taxes paid (refunded), net</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1,190</w:t>
            </w:r>
          </w:p>
        </w:tc>
        <w:tc>
          <w:tcPr>
            <w:tcW w:w="26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(116,451 )</w:t>
            </w: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cash outflow from operating leases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22,287</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21,996</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00"/>
              <w:spacing w:after="0" w:line="202" w:lineRule="exact"/>
              <w:rPr>
                <w:sz w:val="20"/>
                <w:szCs w:val="20"/>
                <w:color w:val="auto"/>
              </w:rPr>
            </w:pPr>
            <w:r>
              <w:rPr>
                <w:rFonts w:ascii="Arial" w:cs="Arial" w:eastAsia="Arial" w:hAnsi="Arial"/>
                <w:sz w:val="18"/>
                <w:szCs w:val="18"/>
                <w:color w:val="auto"/>
              </w:rPr>
              <w:t>Non-cash investing activity:</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Capital expenditures included in accounts payable</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(3,655 )</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(18,401 )</w:t>
            </w:r>
          </w:p>
        </w:tc>
      </w:tr>
      <w:tr>
        <w:trPr>
          <w:trHeight w:val="230"/>
        </w:trPr>
        <w:tc>
          <w:tcPr>
            <w:tcW w:w="806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10,290</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-3829050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-3829050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-3040380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-3040380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-1728470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-1728470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-1200150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-1183005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-1200150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-1183005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44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Paid-in-</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760" w:type="dxa"/>
            <w:vAlign w:val="bottom"/>
            <w:gridSpan w:val="5"/>
            <w:vMerge w:val="continue"/>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Income, Net</w:t>
            </w: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Balance at March 31,</w:t>
            </w:r>
          </w:p>
        </w:tc>
        <w:tc>
          <w:tcPr>
            <w:tcW w:w="6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65,47</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853,610</w:t>
            </w:r>
          </w:p>
        </w:tc>
        <w:tc>
          <w:tcPr>
            <w:tcW w:w="2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(25,477 )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FF0FC"/>
            </w:tcBorders>
            <w:shd w:val="clear" w:color="auto" w:fill="CFF0FC"/>
          </w:tcPr>
          <w:p>
            <w:pPr>
              <w:jc w:val="right"/>
              <w:spacing w:after="0" w:line="162" w:lineRule="exact"/>
              <w:rPr>
                <w:sz w:val="20"/>
                <w:szCs w:val="20"/>
                <w:color w:val="auto"/>
              </w:rPr>
            </w:pPr>
            <w:r>
              <w:rPr>
                <w:rFonts w:ascii="Arial" w:cs="Arial" w:eastAsia="Arial" w:hAnsi="Arial"/>
                <w:sz w:val="18"/>
                <w:szCs w:val="18"/>
                <w:color w:val="auto"/>
                <w:w w:val="96"/>
              </w:rPr>
              <w:t>2,363,87</w:t>
            </w: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(5,243 )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FF0FC"/>
            </w:tcBorders>
            <w:shd w:val="clear" w:color="auto" w:fill="CFF0FC"/>
          </w:tcPr>
          <w:p>
            <w:pPr>
              <w:jc w:val="right"/>
              <w:spacing w:after="0" w:line="162" w:lineRule="exact"/>
              <w:rPr>
                <w:sz w:val="20"/>
                <w:szCs w:val="20"/>
                <w:color w:val="auto"/>
              </w:rPr>
            </w:pPr>
            <w:r>
              <w:rPr>
                <w:rFonts w:ascii="Arial" w:cs="Arial" w:eastAsia="Arial" w:hAnsi="Arial"/>
                <w:sz w:val="18"/>
                <w:szCs w:val="18"/>
                <w:color w:val="auto"/>
                <w:w w:val="98"/>
              </w:rPr>
              <w:t>(289,09</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vMerge w:val="restart"/>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2,911,865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0"/>
              <w:spacing w:after="0" w:line="202" w:lineRule="exact"/>
              <w:rPr>
                <w:sz w:val="20"/>
                <w:szCs w:val="20"/>
                <w:color w:val="auto"/>
              </w:rPr>
            </w:pPr>
            <w:r>
              <w:rPr>
                <w:rFonts w:ascii="Arial" w:cs="Arial" w:eastAsia="Arial" w:hAnsi="Arial"/>
                <w:sz w:val="18"/>
                <w:szCs w:val="18"/>
                <w:color w:val="auto"/>
                <w:w w:val="96"/>
              </w:rPr>
              <w:t>Stock option exercises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stock for</w:t>
            </w: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equity awards, net of</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(1,672 )</w:t>
            </w:r>
          </w:p>
        </w:tc>
        <w:tc>
          <w:tcPr>
            <w:tcW w:w="14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62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line="162" w:lineRule="exact"/>
              <w:rPr>
                <w:sz w:val="20"/>
                <w:szCs w:val="20"/>
                <w:color w:val="auto"/>
              </w:rPr>
            </w:pPr>
            <w:r>
              <w:rPr>
                <w:rFonts w:ascii="Arial" w:cs="Arial" w:eastAsia="Arial" w:hAnsi="Arial"/>
                <w:sz w:val="18"/>
                <w:szCs w:val="18"/>
                <w:color w:val="auto"/>
              </w:rPr>
              <w:t>Tax withholdings on</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(99 )</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196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Amortization of</w:t>
            </w: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6"/>
              </w:rPr>
              <w:t>unearned share-based</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line="162" w:lineRule="exact"/>
              <w:rPr>
                <w:sz w:val="20"/>
                <w:szCs w:val="20"/>
                <w:color w:val="auto"/>
              </w:rPr>
            </w:pPr>
            <w:r>
              <w:rPr>
                <w:rFonts w:ascii="Arial" w:cs="Arial" w:eastAsia="Arial" w:hAnsi="Arial"/>
                <w:sz w:val="18"/>
                <w:szCs w:val="18"/>
                <w:color w:val="auto"/>
              </w:rPr>
              <w:t>Treasury stock</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(310 )</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4"/>
              </w:rPr>
              <w:t>(18,085 )</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(18,085 )</w:t>
            </w:r>
          </w:p>
        </w:tc>
        <w:tc>
          <w:tcPr>
            <w:tcW w:w="0" w:type="dxa"/>
            <w:vAlign w:val="bottom"/>
          </w:tcPr>
          <w:p>
            <w:pPr>
              <w:spacing w:after="0"/>
              <w:rPr>
                <w:sz w:val="1"/>
                <w:szCs w:val="1"/>
                <w:color w:val="auto"/>
              </w:rPr>
            </w:pPr>
          </w:p>
        </w:tc>
      </w:tr>
      <w:tr>
        <w:trPr>
          <w:trHeight w:val="216"/>
        </w:trPr>
        <w:tc>
          <w:tcPr>
            <w:tcW w:w="196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Total comprehensive</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28,457</w:t>
            </w: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line="162" w:lineRule="exact"/>
              <w:rPr>
                <w:sz w:val="20"/>
                <w:szCs w:val="20"/>
                <w:color w:val="auto"/>
              </w:rPr>
            </w:pPr>
            <w:r>
              <w:rPr>
                <w:rFonts w:ascii="Arial" w:cs="Arial" w:eastAsia="Arial" w:hAnsi="Arial"/>
                <w:sz w:val="18"/>
                <w:szCs w:val="18"/>
                <w:color w:val="auto"/>
                <w:w w:val="93"/>
              </w:rPr>
              <w:t>Return of investment to</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(202 )</w:t>
            </w:r>
          </w:p>
        </w:tc>
        <w:tc>
          <w:tcPr>
            <w:tcW w:w="16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3"/>
        </w:trPr>
        <w:tc>
          <w:tcPr>
            <w:tcW w:w="1960" w:type="dxa"/>
            <w:vAlign w:val="bottom"/>
          </w:tcPr>
          <w:p>
            <w:pPr>
              <w:ind w:left="200"/>
              <w:spacing w:after="0" w:line="202" w:lineRule="exact"/>
              <w:rPr>
                <w:sz w:val="20"/>
                <w:szCs w:val="20"/>
                <w:color w:val="auto"/>
              </w:rPr>
            </w:pPr>
            <w:r>
              <w:rPr>
                <w:rFonts w:ascii="Arial" w:cs="Arial" w:eastAsia="Arial" w:hAnsi="Arial"/>
                <w:sz w:val="18"/>
                <w:szCs w:val="18"/>
                <w:color w:val="auto"/>
                <w:w w:val="93"/>
              </w:rPr>
              <w:t>noncontrolling interests</w:t>
            </w: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4"/>
              </w:rPr>
              <w:t>Balance at June 30, 2022</w:t>
            </w: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65,47</w:t>
            </w:r>
          </w:p>
        </w:tc>
        <w:tc>
          <w:tcPr>
            <w:tcW w:w="220" w:type="dxa"/>
            <w:vAlign w:val="bottom"/>
            <w:vMerge w:val="restart"/>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$ 6,547</w:t>
            </w:r>
          </w:p>
        </w:tc>
        <w:tc>
          <w:tcPr>
            <w:tcW w:w="22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854,781</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(21,957 )</w:t>
            </w: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w w:val="96"/>
              </w:rPr>
              <w:t>2,392,33</w:t>
            </w:r>
          </w:p>
        </w:tc>
        <w:tc>
          <w:tcPr>
            <w:tcW w:w="200" w:type="dxa"/>
            <w:vAlign w:val="bottom"/>
            <w:tcBorders>
              <w:righ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(5,501 )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w w:val="98"/>
              </w:rPr>
              <w:t>(304,31</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vMerge w:val="restart"/>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2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2,929,744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continue"/>
            <w:shd w:val="clear" w:color="auto" w:fill="CFF0FC"/>
          </w:tcPr>
          <w:p>
            <w:pPr>
              <w:spacing w:after="0"/>
              <w:rPr>
                <w:sz w:val="22"/>
                <w:szCs w:val="22"/>
                <w:color w:val="auto"/>
              </w:rPr>
            </w:pPr>
          </w:p>
        </w:tc>
        <w:tc>
          <w:tcPr>
            <w:tcW w:w="600" w:type="dxa"/>
            <w:vAlign w:val="bottom"/>
            <w:vMerge w:val="continue"/>
            <w:shd w:val="clear" w:color="auto" w:fill="CFF0FC"/>
          </w:tcPr>
          <w:p>
            <w:pPr>
              <w:spacing w:after="0"/>
              <w:rPr>
                <w:sz w:val="22"/>
                <w:szCs w:val="22"/>
                <w:color w:val="auto"/>
              </w:rPr>
            </w:pPr>
          </w:p>
        </w:tc>
        <w:tc>
          <w:tcPr>
            <w:tcW w:w="220" w:type="dxa"/>
            <w:vAlign w:val="bottom"/>
            <w:vMerge w:val="continue"/>
            <w:shd w:val="clear" w:color="auto" w:fill="CFF0FC"/>
          </w:tcPr>
          <w:p>
            <w:pPr>
              <w:spacing w:after="0"/>
              <w:rPr>
                <w:sz w:val="22"/>
                <w:szCs w:val="22"/>
                <w:color w:val="auto"/>
              </w:rPr>
            </w:pPr>
          </w:p>
        </w:tc>
        <w:tc>
          <w:tcPr>
            <w:tcW w:w="120" w:type="dxa"/>
            <w:vAlign w:val="bottom"/>
            <w:vMerge w:val="continue"/>
            <w:shd w:val="clear" w:color="auto" w:fill="CFF0FC"/>
          </w:tcPr>
          <w:p>
            <w:pPr>
              <w:spacing w:after="0"/>
              <w:rPr>
                <w:sz w:val="22"/>
                <w:szCs w:val="22"/>
                <w:color w:val="auto"/>
              </w:rPr>
            </w:pPr>
          </w:p>
        </w:tc>
        <w:tc>
          <w:tcPr>
            <w:tcW w:w="780" w:type="dxa"/>
            <w:vAlign w:val="bottom"/>
            <w:vMerge w:val="continue"/>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vMerge w:val="continue"/>
            <w:shd w:val="clear" w:color="auto" w:fill="CFF0FC"/>
          </w:tcPr>
          <w:p>
            <w:pPr>
              <w:spacing w:after="0"/>
              <w:rPr>
                <w:sz w:val="22"/>
                <w:szCs w:val="22"/>
                <w:color w:val="auto"/>
              </w:rPr>
            </w:pPr>
          </w:p>
        </w:tc>
        <w:tc>
          <w:tcPr>
            <w:tcW w:w="1240" w:type="dxa"/>
            <w:vAlign w:val="bottom"/>
            <w:tcBorders>
              <w:right w:val="single" w:sz="8" w:color="CFF0FC"/>
            </w:tcBorders>
            <w:gridSpan w:val="2"/>
            <w:vMerge w:val="continue"/>
            <w:shd w:val="clear" w:color="auto" w:fill="CFF0FC"/>
          </w:tcPr>
          <w:p>
            <w:pPr>
              <w:spacing w:after="0"/>
              <w:rPr>
                <w:sz w:val="22"/>
                <w:szCs w:val="22"/>
                <w:color w:val="auto"/>
              </w:rPr>
            </w:pPr>
          </w:p>
        </w:tc>
        <w:tc>
          <w:tcPr>
            <w:tcW w:w="120" w:type="dxa"/>
            <w:vAlign w:val="bottom"/>
            <w:vMerge w:val="continue"/>
            <w:shd w:val="clear" w:color="auto" w:fill="CFF0FC"/>
          </w:tcPr>
          <w:p>
            <w:pPr>
              <w:spacing w:after="0"/>
              <w:rPr>
                <w:sz w:val="22"/>
                <w:szCs w:val="2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right w:val="single" w:sz="8" w:color="CFF0FC"/>
            </w:tcBorders>
            <w:shd w:val="clear" w:color="auto" w:fill="CFF0FC"/>
          </w:tcPr>
          <w:p>
            <w:pPr>
              <w:spacing w:after="0"/>
              <w:rPr>
                <w:sz w:val="22"/>
                <w:szCs w:val="22"/>
                <w:color w:val="auto"/>
              </w:rPr>
            </w:pPr>
          </w:p>
        </w:tc>
        <w:tc>
          <w:tcPr>
            <w:tcW w:w="820" w:type="dxa"/>
            <w:vAlign w:val="bottom"/>
            <w:tcBorders>
              <w:right w:val="single" w:sz="8" w:color="CFF0FC"/>
            </w:tcBorders>
            <w:gridSpan w:val="2"/>
            <w:vMerge w:val="continue"/>
            <w:shd w:val="clear" w:color="auto" w:fill="CFF0FC"/>
          </w:tcPr>
          <w:p>
            <w:pPr>
              <w:spacing w:after="0"/>
              <w:rPr>
                <w:sz w:val="22"/>
                <w:szCs w:val="22"/>
                <w:color w:val="auto"/>
              </w:rPr>
            </w:pPr>
          </w:p>
        </w:tc>
        <w:tc>
          <w:tcPr>
            <w:tcW w:w="100" w:type="dxa"/>
            <w:vAlign w:val="bottom"/>
            <w:vMerge w:val="continue"/>
            <w:shd w:val="clear" w:color="auto" w:fill="CFF0FC"/>
          </w:tcPr>
          <w:p>
            <w:pPr>
              <w:spacing w:after="0"/>
              <w:rPr>
                <w:sz w:val="22"/>
                <w:szCs w:val="22"/>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4 )</w:t>
            </w:r>
          </w:p>
        </w:tc>
        <w:tc>
          <w:tcPr>
            <w:tcW w:w="180" w:type="dxa"/>
            <w:vAlign w:val="bottom"/>
            <w:vMerge w:val="continue"/>
            <w:shd w:val="clear" w:color="auto" w:fill="CFF0FC"/>
          </w:tcPr>
          <w:p>
            <w:pPr>
              <w:spacing w:after="0"/>
              <w:rPr>
                <w:sz w:val="22"/>
                <w:szCs w:val="22"/>
                <w:color w:val="auto"/>
              </w:rPr>
            </w:pPr>
          </w:p>
        </w:tc>
        <w:tc>
          <w:tcPr>
            <w:tcW w:w="900" w:type="dxa"/>
            <w:vAlign w:val="bottom"/>
            <w:vMerge w:val="continue"/>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vMerge w:val="continue"/>
            <w:shd w:val="clear" w:color="auto" w:fill="CFF0FC"/>
          </w:tcPr>
          <w:p>
            <w:pPr>
              <w:spacing w:after="0"/>
              <w:rPr>
                <w:sz w:val="22"/>
                <w:szCs w:val="22"/>
                <w:color w:val="auto"/>
              </w:rPr>
            </w:pPr>
          </w:p>
        </w:tc>
        <w:tc>
          <w:tcPr>
            <w:tcW w:w="780" w:type="dxa"/>
            <w:vAlign w:val="bottom"/>
            <w:vMerge w:val="continue"/>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19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44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Paid-in-</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760" w:type="dxa"/>
            <w:vAlign w:val="bottom"/>
            <w:gridSpan w:val="5"/>
            <w:vMerge w:val="continue"/>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Income, Net</w:t>
            </w: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8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 thousands)</w:t>
            </w:r>
          </w:p>
        </w:tc>
        <w:tc>
          <w:tcPr>
            <w:tcW w:w="2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Balance at March 31,</w:t>
            </w:r>
          </w:p>
        </w:tc>
        <w:tc>
          <w:tcPr>
            <w:tcW w:w="6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65,47</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$ 6,547</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846,259</w:t>
            </w:r>
          </w:p>
        </w:tc>
        <w:tc>
          <w:tcPr>
            <w:tcW w:w="2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(61,204 )</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FF0FC"/>
            </w:tcBorders>
            <w:shd w:val="clear" w:color="auto" w:fill="CFF0FC"/>
          </w:tcPr>
          <w:p>
            <w:pPr>
              <w:jc w:val="right"/>
              <w:spacing w:after="0" w:line="162" w:lineRule="exact"/>
              <w:rPr>
                <w:sz w:val="20"/>
                <w:szCs w:val="20"/>
                <w:color w:val="auto"/>
              </w:rPr>
            </w:pPr>
            <w:r>
              <w:rPr>
                <w:rFonts w:ascii="Arial" w:cs="Arial" w:eastAsia="Arial" w:hAnsi="Arial"/>
                <w:sz w:val="18"/>
                <w:szCs w:val="18"/>
                <w:color w:val="auto"/>
                <w:w w:val="94"/>
              </w:rPr>
              <w:t>2,590,01</w:t>
            </w: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(5,384 )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FF0FC"/>
            </w:tcBorders>
            <w:shd w:val="clear" w:color="auto" w:fill="CFF0FC"/>
          </w:tcPr>
          <w:p>
            <w:pPr>
              <w:jc w:val="right"/>
              <w:spacing w:after="0" w:line="162" w:lineRule="exact"/>
              <w:rPr>
                <w:sz w:val="20"/>
                <w:szCs w:val="20"/>
                <w:color w:val="auto"/>
              </w:rPr>
            </w:pPr>
            <w:r>
              <w:rPr>
                <w:rFonts w:ascii="Arial" w:cs="Arial" w:eastAsia="Arial" w:hAnsi="Arial"/>
                <w:sz w:val="18"/>
                <w:szCs w:val="18"/>
                <w:color w:val="auto"/>
                <w:w w:val="94"/>
              </w:rPr>
              <w:t>(296,35</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vMerge w:val="restart"/>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3,088,744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w:t>
            </w: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0"/>
              <w:spacing w:after="0" w:line="202" w:lineRule="exact"/>
              <w:rPr>
                <w:sz w:val="20"/>
                <w:szCs w:val="20"/>
                <w:color w:val="auto"/>
              </w:rPr>
            </w:pPr>
            <w:r>
              <w:rPr>
                <w:rFonts w:ascii="Arial" w:cs="Arial" w:eastAsia="Arial" w:hAnsi="Arial"/>
                <w:sz w:val="18"/>
                <w:szCs w:val="18"/>
                <w:color w:val="auto"/>
                <w:w w:val="96"/>
              </w:rPr>
              <w:t>Stock option exercises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stock for</w:t>
            </w: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equity awards, net of</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(1,615 )</w:t>
            </w:r>
          </w:p>
        </w:tc>
        <w:tc>
          <w:tcPr>
            <w:tcW w:w="14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62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line="162" w:lineRule="exact"/>
              <w:rPr>
                <w:sz w:val="20"/>
                <w:szCs w:val="20"/>
                <w:color w:val="auto"/>
              </w:rPr>
            </w:pPr>
            <w:r>
              <w:rPr>
                <w:rFonts w:ascii="Arial" w:cs="Arial" w:eastAsia="Arial" w:hAnsi="Arial"/>
                <w:sz w:val="18"/>
                <w:szCs w:val="18"/>
                <w:color w:val="auto"/>
              </w:rPr>
              <w:t>Tax withholdings on</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(808 )</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216"/>
        </w:trPr>
        <w:tc>
          <w:tcPr>
            <w:tcW w:w="196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Amortization of</w:t>
            </w: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6"/>
              </w:rPr>
              <w:t>unearned share-based</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vMerge w:val="continue"/>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line="162" w:lineRule="exact"/>
              <w:rPr>
                <w:sz w:val="20"/>
                <w:szCs w:val="20"/>
                <w:color w:val="auto"/>
              </w:rPr>
            </w:pPr>
            <w:r>
              <w:rPr>
                <w:rFonts w:ascii="Arial" w:cs="Arial" w:eastAsia="Arial" w:hAnsi="Arial"/>
                <w:sz w:val="18"/>
                <w:szCs w:val="18"/>
                <w:color w:val="auto"/>
              </w:rPr>
              <w:t>Total comprehensive</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10,190</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income, net of taxes</w:t>
            </w:r>
          </w:p>
        </w:tc>
        <w:tc>
          <w:tcPr>
            <w:tcW w:w="6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FF0FC"/>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4"/>
              </w:rPr>
              <w:t>Balance at June 30, 2021</w:t>
            </w: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65,47</w:t>
            </w:r>
          </w:p>
        </w:tc>
        <w:tc>
          <w:tcPr>
            <w:tcW w:w="220" w:type="dxa"/>
            <w:vAlign w:val="bottom"/>
            <w:vMerge w:val="restart"/>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$ 6,547</w:t>
            </w:r>
          </w:p>
        </w:tc>
        <w:tc>
          <w:tcPr>
            <w:tcW w:w="22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848,081</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(57,683 )</w:t>
            </w: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w w:val="94"/>
              </w:rPr>
              <w:t>2,600,20</w:t>
            </w:r>
          </w:p>
        </w:tc>
        <w:tc>
          <w:tcPr>
            <w:tcW w:w="200" w:type="dxa"/>
            <w:vAlign w:val="bottom"/>
            <w:tcBorders>
              <w:righ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(5,366 )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w w:val="94"/>
              </w:rPr>
              <w:t>(295,46</w:t>
            </w:r>
          </w:p>
        </w:tc>
        <w:tc>
          <w:tcPr>
            <w:tcW w:w="200" w:type="dxa"/>
            <w:vAlign w:val="bottom"/>
            <w:tcBorders>
              <w:right w:val="single" w:sz="8" w:color="CFF0FC"/>
            </w:tcBorders>
            <w:shd w:val="clear" w:color="auto" w:fill="CFF0FC"/>
          </w:tcPr>
          <w:p>
            <w:pPr>
              <w:spacing w:after="0"/>
              <w:rPr>
                <w:sz w:val="13"/>
                <w:szCs w:val="13"/>
                <w:color w:val="auto"/>
              </w:rPr>
            </w:pPr>
          </w:p>
        </w:tc>
        <w:tc>
          <w:tcPr>
            <w:tcW w:w="180" w:type="dxa"/>
            <w:vAlign w:val="bottom"/>
            <w:vMerge w:val="restart"/>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3,639</w:t>
            </w:r>
          </w:p>
        </w:tc>
        <w:tc>
          <w:tcPr>
            <w:tcW w:w="2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3,105,329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240" w:type="dxa"/>
            <w:vAlign w:val="bottom"/>
            <w:tcBorders>
              <w:right w:val="single" w:sz="8" w:color="CFF0FC"/>
            </w:tcBorders>
            <w:gridSpan w:val="2"/>
            <w:vMerge w:val="continue"/>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FF0FC"/>
            </w:tcBorders>
            <w:shd w:val="clear" w:color="auto" w:fill="CFF0FC"/>
          </w:tcPr>
          <w:p>
            <w:pPr>
              <w:spacing w:after="0"/>
              <w:rPr>
                <w:sz w:val="20"/>
                <w:szCs w:val="20"/>
                <w:color w:val="auto"/>
              </w:rPr>
            </w:pPr>
          </w:p>
        </w:tc>
        <w:tc>
          <w:tcPr>
            <w:tcW w:w="82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w:t>
            </w:r>
          </w:p>
        </w:tc>
        <w:tc>
          <w:tcPr>
            <w:tcW w:w="180" w:type="dxa"/>
            <w:vAlign w:val="bottom"/>
            <w:vMerge w:val="continue"/>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-2553970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-2536825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-2553970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-2536825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-2553970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-2536825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-2553970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-2536825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-2553970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-2536825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-2553970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-2536825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-2553970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-2536825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-2553970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-2536825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-273685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-273685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-273685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-273685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-273685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-273685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-273685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-273685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40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Paid-in-</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Retained</w:t>
            </w:r>
          </w:p>
        </w:tc>
        <w:tc>
          <w:tcPr>
            <w:tcW w:w="1760" w:type="dxa"/>
            <w:vAlign w:val="bottom"/>
            <w:gridSpan w:val="7"/>
            <w:vMerge w:val="continue"/>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4"/>
              </w:rPr>
              <w:t>Shares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Income, Net</w:t>
            </w:r>
          </w:p>
        </w:tc>
        <w:tc>
          <w:tcPr>
            <w:tcW w:w="10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Earnings</w:t>
            </w:r>
          </w:p>
        </w:tc>
        <w:tc>
          <w:tcPr>
            <w:tcW w:w="7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
              <w:spacing w:after="0" w:line="162" w:lineRule="exact"/>
              <w:rPr>
                <w:sz w:val="20"/>
                <w:szCs w:val="20"/>
                <w:color w:val="auto"/>
              </w:rPr>
            </w:pPr>
            <w:r>
              <w:rPr>
                <w:rFonts w:ascii="Arial" w:cs="Arial" w:eastAsia="Arial" w:hAnsi="Arial"/>
                <w:sz w:val="18"/>
                <w:szCs w:val="18"/>
                <w:color w:val="auto"/>
                <w:w w:val="95"/>
              </w:rPr>
              <w:t>Balance at December 31,</w:t>
            </w:r>
          </w:p>
        </w:tc>
        <w:tc>
          <w:tcPr>
            <w:tcW w:w="58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65,47</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$ 6,547</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854,512</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(25,966 )</w:t>
            </w: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8"/>
                <w:szCs w:val="18"/>
                <w:color w:val="auto"/>
                <w:w w:val="99"/>
              </w:rPr>
              <w:t>2,346,43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(5,361 )</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w w:val="98"/>
              </w:rPr>
              <w:t>(295,20</w:t>
            </w:r>
          </w:p>
        </w:tc>
        <w:tc>
          <w:tcPr>
            <w:tcW w:w="20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2,888,782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80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00"/>
              <w:spacing w:after="0" w:line="202" w:lineRule="exact"/>
              <w:rPr>
                <w:sz w:val="20"/>
                <w:szCs w:val="20"/>
                <w:color w:val="auto"/>
              </w:rPr>
            </w:pPr>
            <w:r>
              <w:rPr>
                <w:rFonts w:ascii="Arial" w:cs="Arial" w:eastAsia="Arial" w:hAnsi="Arial"/>
                <w:sz w:val="18"/>
                <w:szCs w:val="18"/>
                <w:color w:val="auto"/>
                <w:w w:val="97"/>
              </w:rPr>
              <w:t>Stock option exercises</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stock for</w:t>
            </w:r>
          </w:p>
        </w:tc>
        <w:tc>
          <w:tcPr>
            <w:tcW w:w="580" w:type="dxa"/>
            <w:vAlign w:val="bottom"/>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tcBorders>
              <w:right w:val="single" w:sz="8" w:color="CFF0FC"/>
            </w:tcBorders>
            <w:shd w:val="clear" w:color="auto" w:fill="CFF0FC"/>
          </w:tcPr>
          <w:p>
            <w:pPr>
              <w:ind w:left="200"/>
              <w:spacing w:after="0" w:line="176" w:lineRule="exact"/>
              <w:rPr>
                <w:sz w:val="20"/>
                <w:szCs w:val="20"/>
                <w:color w:val="auto"/>
              </w:rPr>
            </w:pPr>
            <w:r>
              <w:rPr>
                <w:rFonts w:ascii="Arial" w:cs="Arial" w:eastAsia="Arial" w:hAnsi="Arial"/>
                <w:sz w:val="18"/>
                <w:szCs w:val="18"/>
                <w:color w:val="auto"/>
              </w:rPr>
              <w:t>equity awards, net of</w:t>
            </w: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(8,977 )</w:t>
            </w:r>
          </w:p>
        </w:tc>
        <w:tc>
          <w:tcPr>
            <w:tcW w:w="12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4"/>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4"/>
            <w:vMerge w:val="continue"/>
            <w:shd w:val="clear" w:color="auto" w:fill="CFF0FC"/>
          </w:tcPr>
          <w:p>
            <w:pPr>
              <w:spacing w:after="0"/>
              <w:rPr>
                <w:sz w:val="18"/>
                <w:szCs w:val="18"/>
                <w:color w:val="auto"/>
              </w:rPr>
            </w:pPr>
          </w:p>
        </w:tc>
        <w:tc>
          <w:tcPr>
            <w:tcW w:w="6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line="162" w:lineRule="exact"/>
              <w:rPr>
                <w:sz w:val="20"/>
                <w:szCs w:val="20"/>
                <w:color w:val="auto"/>
              </w:rPr>
            </w:pPr>
            <w:r>
              <w:rPr>
                <w:rFonts w:ascii="Arial" w:cs="Arial" w:eastAsia="Arial" w:hAnsi="Arial"/>
                <w:sz w:val="18"/>
                <w:szCs w:val="18"/>
                <w:color w:val="auto"/>
              </w:rPr>
              <w:t>Tax withholdings on</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(3,192 )</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(3,192 )</w:t>
            </w: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8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Amortization of share-</w:t>
            </w: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4"/>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based compensation</w:t>
            </w: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4"/>
            <w:vMerge w:val="continue"/>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line="162" w:lineRule="exact"/>
              <w:rPr>
                <w:sz w:val="20"/>
                <w:szCs w:val="20"/>
                <w:color w:val="auto"/>
              </w:rPr>
            </w:pPr>
            <w:r>
              <w:rPr>
                <w:rFonts w:ascii="Arial" w:cs="Arial" w:eastAsia="Arial" w:hAnsi="Arial"/>
                <w:sz w:val="18"/>
                <w:szCs w:val="18"/>
                <w:color w:val="auto"/>
              </w:rPr>
              <w:t>Treasury stock</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4"/>
              </w:rPr>
              <w:t>(18,085 )</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(18,085 )</w:t>
            </w: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8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rPr>
              <w:t>Total comprehensive</w:t>
            </w: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45,891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50,201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line="162" w:lineRule="exact"/>
              <w:rPr>
                <w:sz w:val="20"/>
                <w:szCs w:val="20"/>
                <w:color w:val="auto"/>
              </w:rPr>
            </w:pPr>
            <w:r>
              <w:rPr>
                <w:rFonts w:ascii="Arial" w:cs="Arial" w:eastAsia="Arial" w:hAnsi="Arial"/>
                <w:sz w:val="18"/>
                <w:szCs w:val="18"/>
                <w:color w:val="auto"/>
                <w:w w:val="94"/>
              </w:rPr>
              <w:t>Return of investment to</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spacing w:after="0"/>
              <w:rPr>
                <w:sz w:val="14"/>
                <w:szCs w:val="1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(402 )</w:t>
            </w:r>
          </w:p>
        </w:tc>
        <w:tc>
          <w:tcPr>
            <w:tcW w:w="14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(402 )</w:t>
            </w:r>
          </w:p>
        </w:tc>
        <w:tc>
          <w:tcPr>
            <w:tcW w:w="0" w:type="dxa"/>
            <w:vAlign w:val="bottom"/>
          </w:tcPr>
          <w:p>
            <w:pPr>
              <w:spacing w:after="0"/>
              <w:rPr>
                <w:sz w:val="1"/>
                <w:szCs w:val="1"/>
                <w:color w:val="auto"/>
              </w:rPr>
            </w:pPr>
          </w:p>
        </w:tc>
      </w:tr>
      <w:tr>
        <w:trPr>
          <w:trHeight w:val="203"/>
        </w:trPr>
        <w:tc>
          <w:tcPr>
            <w:tcW w:w="2000" w:type="dxa"/>
            <w:vAlign w:val="bottom"/>
          </w:tcPr>
          <w:p>
            <w:pPr>
              <w:ind w:left="200"/>
              <w:spacing w:after="0" w:line="202" w:lineRule="exact"/>
              <w:rPr>
                <w:sz w:val="20"/>
                <w:szCs w:val="20"/>
                <w:color w:val="auto"/>
              </w:rPr>
            </w:pPr>
            <w:r>
              <w:rPr>
                <w:rFonts w:ascii="Arial" w:cs="Arial" w:eastAsia="Arial" w:hAnsi="Arial"/>
                <w:sz w:val="18"/>
                <w:szCs w:val="18"/>
                <w:color w:val="auto"/>
                <w:w w:val="95"/>
              </w:rPr>
              <w:t>noncontrolling interests</w:t>
            </w:r>
          </w:p>
        </w:tc>
        <w:tc>
          <w:tcPr>
            <w:tcW w:w="5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tcBorders>
              <w:right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w w:val="95"/>
              </w:rPr>
              <w:t>Balance at June 30, 2022</w:t>
            </w:r>
          </w:p>
        </w:tc>
        <w:tc>
          <w:tcPr>
            <w:tcW w:w="58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65,47</w:t>
            </w:r>
          </w:p>
        </w:tc>
        <w:tc>
          <w:tcPr>
            <w:tcW w:w="240" w:type="dxa"/>
            <w:vAlign w:val="bottom"/>
            <w:tcBorders>
              <w:left w:val="single" w:sz="8" w:color="CFF0FC"/>
              <w:right w:val="single" w:sz="8" w:color="CFF0FC"/>
            </w:tcBorders>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$ 6,547</w:t>
            </w:r>
          </w:p>
        </w:tc>
        <w:tc>
          <w:tcPr>
            <w:tcW w:w="22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854,781</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(21,957 )</w:t>
            </w: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8"/>
                <w:szCs w:val="18"/>
                <w:color w:val="auto"/>
                <w:w w:val="99"/>
              </w:rPr>
              <w:t>2,392,33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(5,501 )</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w w:val="98"/>
              </w:rPr>
              <w:t>(304,31</w:t>
            </w:r>
          </w:p>
        </w:tc>
        <w:tc>
          <w:tcPr>
            <w:tcW w:w="20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Borders>
              <w:left w:val="single" w:sz="8" w:color="CFF0FC"/>
              <w:right w:val="single" w:sz="8" w:color="CFF0FC"/>
            </w:tcBorders>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2,929,744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00" w:type="dxa"/>
            <w:vAlign w:val="bottom"/>
            <w:tcBorders>
              <w:right w:val="single" w:sz="8" w:color="CFF0FC"/>
            </w:tcBorders>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580" w:type="dxa"/>
            <w:vAlign w:val="bottom"/>
            <w:vMerge w:val="continue"/>
            <w:shd w:val="clear" w:color="auto" w:fill="CFF0FC"/>
          </w:tcPr>
          <w:p>
            <w:pPr>
              <w:spacing w:after="0"/>
              <w:rPr>
                <w:sz w:val="22"/>
                <w:szCs w:val="22"/>
                <w:color w:val="auto"/>
              </w:rPr>
            </w:pPr>
          </w:p>
        </w:tc>
        <w:tc>
          <w:tcPr>
            <w:tcW w:w="220" w:type="dxa"/>
            <w:vAlign w:val="bottom"/>
            <w:vMerge w:val="continue"/>
            <w:shd w:val="clear" w:color="auto" w:fill="CFF0FC"/>
          </w:tcPr>
          <w:p>
            <w:pPr>
              <w:spacing w:after="0"/>
              <w:rPr>
                <w:sz w:val="22"/>
                <w:szCs w:val="22"/>
                <w:color w:val="auto"/>
              </w:rPr>
            </w:pPr>
          </w:p>
        </w:tc>
        <w:tc>
          <w:tcPr>
            <w:tcW w:w="100" w:type="dxa"/>
            <w:vAlign w:val="bottom"/>
            <w:vMerge w:val="continue"/>
            <w:shd w:val="clear" w:color="auto" w:fill="CFF0FC"/>
          </w:tcPr>
          <w:p>
            <w:pPr>
              <w:spacing w:after="0"/>
              <w:rPr>
                <w:sz w:val="22"/>
                <w:szCs w:val="22"/>
                <w:color w:val="auto"/>
              </w:rPr>
            </w:pPr>
          </w:p>
        </w:tc>
        <w:tc>
          <w:tcPr>
            <w:tcW w:w="800" w:type="dxa"/>
            <w:vAlign w:val="bottom"/>
            <w:tcBorders>
              <w:right w:val="single" w:sz="8" w:color="CFF0FC"/>
            </w:tcBorders>
            <w:vMerge w:val="continue"/>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vMerge w:val="continue"/>
            <w:shd w:val="clear" w:color="auto" w:fill="CFF0FC"/>
          </w:tcPr>
          <w:p>
            <w:pPr>
              <w:spacing w:after="0"/>
              <w:rPr>
                <w:sz w:val="22"/>
                <w:szCs w:val="22"/>
                <w:color w:val="auto"/>
              </w:rPr>
            </w:pPr>
          </w:p>
        </w:tc>
        <w:tc>
          <w:tcPr>
            <w:tcW w:w="1260" w:type="dxa"/>
            <w:vAlign w:val="bottom"/>
            <w:tcBorders>
              <w:right w:val="single" w:sz="8" w:color="CFF0FC"/>
            </w:tcBorders>
            <w:gridSpan w:val="2"/>
            <w:vMerge w:val="continue"/>
            <w:shd w:val="clear" w:color="auto" w:fill="CFF0FC"/>
          </w:tcPr>
          <w:p>
            <w:pPr>
              <w:spacing w:after="0"/>
              <w:rPr>
                <w:sz w:val="22"/>
                <w:szCs w:val="22"/>
                <w:color w:val="auto"/>
              </w:rPr>
            </w:pPr>
          </w:p>
        </w:tc>
        <w:tc>
          <w:tcPr>
            <w:tcW w:w="100" w:type="dxa"/>
            <w:vAlign w:val="bottom"/>
            <w:vMerge w:val="continue"/>
            <w:shd w:val="clear" w:color="auto" w:fill="CFF0FC"/>
          </w:tcPr>
          <w:p>
            <w:pPr>
              <w:spacing w:after="0"/>
              <w:rPr>
                <w:sz w:val="22"/>
                <w:szCs w:val="22"/>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720" w:type="dxa"/>
            <w:vAlign w:val="bottom"/>
            <w:gridSpan w:val="3"/>
            <w:vMerge w:val="continue"/>
            <w:shd w:val="clear" w:color="auto" w:fill="CFF0FC"/>
          </w:tcPr>
          <w:p>
            <w:pPr>
              <w:spacing w:after="0"/>
              <w:rPr>
                <w:sz w:val="22"/>
                <w:szCs w:val="22"/>
                <w:color w:val="auto"/>
              </w:rPr>
            </w:pPr>
          </w:p>
        </w:tc>
        <w:tc>
          <w:tcPr>
            <w:tcW w:w="200" w:type="dxa"/>
            <w:vAlign w:val="bottom"/>
            <w:gridSpan w:val="2"/>
            <w:vMerge w:val="continue"/>
            <w:shd w:val="clear" w:color="auto" w:fill="CFF0FC"/>
          </w:tcPr>
          <w:p>
            <w:pPr>
              <w:spacing w:after="0"/>
              <w:rPr>
                <w:sz w:val="22"/>
                <w:szCs w:val="2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4 )</w:t>
            </w:r>
          </w:p>
        </w:tc>
        <w:tc>
          <w:tcPr>
            <w:tcW w:w="180" w:type="dxa"/>
            <w:vAlign w:val="bottom"/>
            <w:vMerge w:val="continue"/>
            <w:shd w:val="clear" w:color="auto" w:fill="CFF0FC"/>
          </w:tcPr>
          <w:p>
            <w:pPr>
              <w:spacing w:after="0"/>
              <w:rPr>
                <w:sz w:val="22"/>
                <w:szCs w:val="22"/>
                <w:color w:val="auto"/>
              </w:rPr>
            </w:pPr>
          </w:p>
        </w:tc>
        <w:tc>
          <w:tcPr>
            <w:tcW w:w="900" w:type="dxa"/>
            <w:vAlign w:val="bottom"/>
            <w:vMerge w:val="continue"/>
            <w:shd w:val="clear" w:color="auto" w:fill="CFF0FC"/>
          </w:tcPr>
          <w:p>
            <w:pPr>
              <w:spacing w:after="0"/>
              <w:rPr>
                <w:sz w:val="22"/>
                <w:szCs w:val="22"/>
                <w:color w:val="auto"/>
              </w:rPr>
            </w:pP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vMerge w:val="continue"/>
            <w:shd w:val="clear" w:color="auto" w:fill="CFF0FC"/>
          </w:tcPr>
          <w:p>
            <w:pPr>
              <w:spacing w:after="0"/>
              <w:rPr>
                <w:sz w:val="22"/>
                <w:szCs w:val="22"/>
                <w:color w:val="auto"/>
              </w:rPr>
            </w:pPr>
          </w:p>
        </w:tc>
        <w:tc>
          <w:tcPr>
            <w:tcW w:w="780" w:type="dxa"/>
            <w:vAlign w:val="bottom"/>
            <w:vMerge w:val="continue"/>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200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400" w:type="dxa"/>
            <w:vAlign w:val="bottom"/>
            <w:gridSpan w:val="3"/>
            <w:vMerge w:val="restart"/>
          </w:tcPr>
          <w:p>
            <w:pPr>
              <w:jc w:val="right"/>
              <w:ind w:right="1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7"/>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Paid-in-</w:t>
            </w: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5"/>
          </w:tcPr>
          <w:p>
            <w:pPr>
              <w:ind w:left="80"/>
              <w:spacing w:after="0"/>
              <w:rPr>
                <w:sz w:val="20"/>
                <w:szCs w:val="20"/>
                <w:color w:val="auto"/>
              </w:rPr>
            </w:pPr>
            <w:r>
              <w:rPr>
                <w:rFonts w:ascii="Arial" w:cs="Arial" w:eastAsia="Arial" w:hAnsi="Arial"/>
                <w:sz w:val="14"/>
                <w:szCs w:val="14"/>
                <w:b w:val="1"/>
                <w:bCs w:val="1"/>
                <w:color w:val="auto"/>
              </w:rPr>
              <w:t>Retained</w:t>
            </w:r>
          </w:p>
        </w:tc>
        <w:tc>
          <w:tcPr>
            <w:tcW w:w="1760" w:type="dxa"/>
            <w:vAlign w:val="bottom"/>
            <w:gridSpan w:val="7"/>
            <w:vMerge w:val="continue"/>
          </w:tcPr>
          <w:p>
            <w:pPr>
              <w:spacing w:after="0"/>
              <w:rPr>
                <w:sz w:val="15"/>
                <w:szCs w:val="15"/>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8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Income, Net</w:t>
            </w: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(in thousands)</w:t>
            </w:r>
          </w:p>
        </w:tc>
        <w:tc>
          <w:tcPr>
            <w:tcW w:w="200" w:type="dxa"/>
            <w:vAlign w:val="bottom"/>
            <w:gridSpan w:val="2"/>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
              <w:spacing w:after="0" w:line="162" w:lineRule="exact"/>
              <w:rPr>
                <w:sz w:val="20"/>
                <w:szCs w:val="20"/>
                <w:color w:val="auto"/>
              </w:rPr>
            </w:pPr>
            <w:r>
              <w:rPr>
                <w:rFonts w:ascii="Arial" w:cs="Arial" w:eastAsia="Arial" w:hAnsi="Arial"/>
                <w:sz w:val="18"/>
                <w:szCs w:val="18"/>
                <w:color w:val="auto"/>
                <w:w w:val="95"/>
              </w:rPr>
              <w:t>Balance at December 31,</w:t>
            </w:r>
          </w:p>
        </w:tc>
        <w:tc>
          <w:tcPr>
            <w:tcW w:w="58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65,47</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9"/>
              </w:rPr>
              <w:t>$ 6,547</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844,979</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(61,452 )</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w w:val="88"/>
              </w:rPr>
              <w:t>2,593,39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(5,43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4"/>
            <w:vMerge w:val="restart"/>
            <w:shd w:val="clear" w:color="auto" w:fill="CFF0FC"/>
          </w:tcPr>
          <w:p>
            <w:pPr>
              <w:jc w:val="right"/>
              <w:ind w:right="140"/>
              <w:spacing w:after="0"/>
              <w:rPr>
                <w:sz w:val="20"/>
                <w:szCs w:val="20"/>
                <w:color w:val="auto"/>
              </w:rPr>
            </w:pPr>
            <w:r>
              <w:rPr>
                <w:rFonts w:ascii="Arial" w:cs="Arial" w:eastAsia="Arial" w:hAnsi="Arial"/>
                <w:sz w:val="18"/>
                <w:szCs w:val="18"/>
                <w:color w:val="auto"/>
                <w:w w:val="90"/>
              </w:rPr>
              <w:t>$ (299,161 )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3,087,553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2020</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80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spacing w:after="0"/>
              <w:rPr>
                <w:sz w:val="18"/>
                <w:szCs w:val="18"/>
                <w:color w:val="auto"/>
              </w:rPr>
            </w:pPr>
          </w:p>
        </w:tc>
        <w:tc>
          <w:tcPr>
            <w:tcW w:w="1040" w:type="dxa"/>
            <w:vAlign w:val="bottom"/>
            <w:gridSpan w:val="4"/>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200"/>
              <w:spacing w:after="0" w:line="202" w:lineRule="exact"/>
              <w:rPr>
                <w:sz w:val="20"/>
                <w:szCs w:val="20"/>
                <w:color w:val="auto"/>
              </w:rPr>
            </w:pPr>
            <w:r>
              <w:rPr>
                <w:rFonts w:ascii="Arial" w:cs="Arial" w:eastAsia="Arial" w:hAnsi="Arial"/>
                <w:sz w:val="18"/>
                <w:szCs w:val="18"/>
                <w:color w:val="auto"/>
                <w:w w:val="97"/>
              </w:rPr>
              <w:t>Stock option exercises</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stock for</w:t>
            </w:r>
          </w:p>
        </w:tc>
        <w:tc>
          <w:tcPr>
            <w:tcW w:w="580" w:type="dxa"/>
            <w:vAlign w:val="bottom"/>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tcBorders>
              <w:right w:val="single" w:sz="8" w:color="CFF0FC"/>
            </w:tcBorders>
            <w:shd w:val="clear" w:color="auto" w:fill="CFF0FC"/>
          </w:tcPr>
          <w:p>
            <w:pPr>
              <w:ind w:left="200"/>
              <w:spacing w:after="0" w:line="176" w:lineRule="exact"/>
              <w:rPr>
                <w:sz w:val="20"/>
                <w:szCs w:val="20"/>
                <w:color w:val="auto"/>
              </w:rPr>
            </w:pPr>
            <w:r>
              <w:rPr>
                <w:rFonts w:ascii="Arial" w:cs="Arial" w:eastAsia="Arial" w:hAnsi="Arial"/>
                <w:sz w:val="18"/>
                <w:szCs w:val="18"/>
                <w:color w:val="auto"/>
              </w:rPr>
              <w:t>equity awards, net of</w:t>
            </w: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(6,076 )</w:t>
            </w:r>
          </w:p>
        </w:tc>
        <w:tc>
          <w:tcPr>
            <w:tcW w:w="12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4"/>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6,076</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4"/>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line="162" w:lineRule="exact"/>
              <w:rPr>
                <w:sz w:val="20"/>
                <w:szCs w:val="20"/>
                <w:color w:val="auto"/>
              </w:rPr>
            </w:pPr>
            <w:r>
              <w:rPr>
                <w:rFonts w:ascii="Arial" w:cs="Arial" w:eastAsia="Arial" w:hAnsi="Arial"/>
                <w:sz w:val="18"/>
                <w:szCs w:val="18"/>
                <w:color w:val="auto"/>
              </w:rPr>
              <w:t>Tax withholdings on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(2,853 )</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(2,853 )</w:t>
            </w: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8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Amortization of share-</w:t>
            </w: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4"/>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based compensation</w:t>
            </w: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4"/>
            <w:vMerge w:val="continue"/>
            <w:shd w:val="clear" w:color="auto" w:fill="CFF0FC"/>
          </w:tcPr>
          <w:p>
            <w:pPr>
              <w:spacing w:after="0"/>
              <w:rPr>
                <w:sz w:val="18"/>
                <w:szCs w:val="18"/>
                <w:color w:val="auto"/>
              </w:rPr>
            </w:pPr>
          </w:p>
        </w:tc>
        <w:tc>
          <w:tcPr>
            <w:tcW w:w="72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line="162" w:lineRule="exact"/>
              <w:rPr>
                <w:sz w:val="20"/>
                <w:szCs w:val="20"/>
                <w:color w:val="auto"/>
              </w:rPr>
            </w:pPr>
            <w:r>
              <w:rPr>
                <w:rFonts w:ascii="Arial" w:cs="Arial" w:eastAsia="Arial" w:hAnsi="Arial"/>
                <w:sz w:val="18"/>
                <w:szCs w:val="18"/>
                <w:color w:val="auto"/>
              </w:rPr>
              <w:t>Total comprehensive</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0"/>
              <w:spacing w:after="0"/>
              <w:rPr>
                <w:sz w:val="20"/>
                <w:szCs w:val="20"/>
                <w:color w:val="auto"/>
              </w:rPr>
            </w:pPr>
            <w:r>
              <w:rPr>
                <w:rFonts w:ascii="Arial" w:cs="Arial" w:eastAsia="Arial" w:hAnsi="Arial"/>
                <w:sz w:val="18"/>
                <w:szCs w:val="18"/>
                <w:color w:val="auto"/>
              </w:rPr>
              <w:t>income, net of taxes</w:t>
            </w:r>
          </w:p>
        </w:tc>
        <w:tc>
          <w:tcPr>
            <w:tcW w:w="8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Borders>
              <w:right w:val="single" w:sz="8" w:color="CFF0FC"/>
            </w:tcBorders>
            <w:shd w:val="clear" w:color="auto" w:fill="CFF0FC"/>
          </w:tcPr>
          <w:p>
            <w:pPr>
              <w:ind w:left="200"/>
              <w:spacing w:after="0" w:line="162" w:lineRule="exact"/>
              <w:rPr>
                <w:sz w:val="20"/>
                <w:szCs w:val="20"/>
                <w:color w:val="auto"/>
              </w:rPr>
            </w:pPr>
            <w:r>
              <w:rPr>
                <w:rFonts w:ascii="Arial" w:cs="Arial" w:eastAsia="Arial" w:hAnsi="Arial"/>
                <w:sz w:val="18"/>
                <w:szCs w:val="18"/>
                <w:color w:val="auto"/>
                <w:w w:val="94"/>
              </w:rPr>
              <w:t>Return of investment to</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FF0FC"/>
              <w:right w:val="single" w:sz="8" w:color="CFF0FC"/>
            </w:tcBorders>
            <w:vMerge w:val="restart"/>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vMerge w:val="restart"/>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FF0FC"/>
          </w:tcPr>
          <w:p>
            <w:pPr>
              <w:spacing w:after="0"/>
              <w:rPr>
                <w:sz w:val="14"/>
                <w:szCs w:val="14"/>
                <w:color w:val="auto"/>
              </w:rPr>
            </w:pPr>
          </w:p>
        </w:tc>
        <w:tc>
          <w:tcPr>
            <w:tcW w:w="80" w:type="dxa"/>
            <w:vAlign w:val="bottom"/>
            <w:vMerge w:val="restart"/>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0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5"/>
              </w:rPr>
              <w:t>noncontrolling interests</w:t>
            </w:r>
          </w:p>
        </w:tc>
        <w:tc>
          <w:tcPr>
            <w:tcW w:w="580" w:type="dxa"/>
            <w:vAlign w:val="bottom"/>
            <w:vMerge w:val="continue"/>
            <w:shd w:val="clear" w:color="auto" w:fill="CFF0FC"/>
          </w:tcPr>
          <w:p>
            <w:pPr>
              <w:spacing w:after="0"/>
              <w:rPr>
                <w:sz w:val="17"/>
                <w:szCs w:val="17"/>
                <w:color w:val="auto"/>
              </w:rPr>
            </w:pPr>
          </w:p>
        </w:tc>
        <w:tc>
          <w:tcPr>
            <w:tcW w:w="240" w:type="dxa"/>
            <w:vAlign w:val="bottom"/>
            <w:tcBorders>
              <w:left w:val="single" w:sz="8" w:color="CFF0FC"/>
              <w:right w:val="single" w:sz="8" w:color="CFF0FC"/>
            </w:tcBorders>
            <w:vMerge w:val="continue"/>
            <w:shd w:val="clear" w:color="auto" w:fill="CFF0FC"/>
          </w:tcPr>
          <w:p>
            <w:pPr>
              <w:spacing w:after="0"/>
              <w:rPr>
                <w:sz w:val="17"/>
                <w:szCs w:val="17"/>
                <w:color w:val="auto"/>
              </w:rPr>
            </w:pPr>
          </w:p>
        </w:tc>
        <w:tc>
          <w:tcPr>
            <w:tcW w:w="5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tcBorders>
              <w:right w:val="single" w:sz="8" w:color="CFF0FC"/>
            </w:tcBorders>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vMerge w:val="continue"/>
            <w:shd w:val="clear" w:color="auto" w:fill="CFF0FC"/>
          </w:tcPr>
          <w:p>
            <w:pPr>
              <w:spacing w:after="0"/>
              <w:rPr>
                <w:sz w:val="17"/>
                <w:szCs w:val="17"/>
                <w:color w:val="auto"/>
              </w:rPr>
            </w:pPr>
          </w:p>
        </w:tc>
        <w:tc>
          <w:tcPr>
            <w:tcW w:w="220" w:type="dxa"/>
            <w:vAlign w:val="bottom"/>
            <w:tcBorders>
              <w:right w:val="single" w:sz="8" w:color="CFF0FC"/>
            </w:tcBorders>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520" w:type="dxa"/>
            <w:vAlign w:val="bottom"/>
            <w:vMerge w:val="continue"/>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Pr>
          <w:p>
            <w:pPr>
              <w:ind w:left="20"/>
              <w:spacing w:after="0" w:line="156" w:lineRule="exact"/>
              <w:rPr>
                <w:sz w:val="20"/>
                <w:szCs w:val="20"/>
                <w:color w:val="auto"/>
              </w:rPr>
            </w:pPr>
            <w:r>
              <w:rPr>
                <w:rFonts w:ascii="Arial" w:cs="Arial" w:eastAsia="Arial" w:hAnsi="Arial"/>
                <w:sz w:val="18"/>
                <w:szCs w:val="18"/>
                <w:color w:val="auto"/>
                <w:w w:val="95"/>
              </w:rPr>
              <w:t>Balance at June 30, 2021</w:t>
            </w:r>
          </w:p>
        </w:tc>
        <w:tc>
          <w:tcPr>
            <w:tcW w:w="580" w:type="dxa"/>
            <w:vAlign w:val="bottom"/>
          </w:tcPr>
          <w:p>
            <w:pPr>
              <w:jc w:val="right"/>
              <w:spacing w:after="0" w:line="156" w:lineRule="exact"/>
              <w:rPr>
                <w:sz w:val="20"/>
                <w:szCs w:val="20"/>
                <w:color w:val="auto"/>
              </w:rPr>
            </w:pPr>
            <w:r>
              <w:rPr>
                <w:rFonts w:ascii="Arial" w:cs="Arial" w:eastAsia="Arial" w:hAnsi="Arial"/>
                <w:sz w:val="18"/>
                <w:szCs w:val="18"/>
                <w:color w:val="auto"/>
              </w:rPr>
              <w:t>65,47</w:t>
            </w: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9"/>
              </w:rPr>
              <w:t>$ 6,547</w:t>
            </w:r>
          </w:p>
        </w:tc>
        <w:tc>
          <w:tcPr>
            <w:tcW w:w="22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848,081</w:t>
            </w:r>
          </w:p>
        </w:tc>
        <w:tc>
          <w:tcPr>
            <w:tcW w:w="2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(57,683 )</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w w:val="88"/>
              </w:rPr>
              <w:t>2,600,20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8"/>
                <w:szCs w:val="18"/>
                <w:color w:val="auto"/>
              </w:rPr>
              <w:t>(5,36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w w:val="90"/>
              </w:rPr>
              <w:t>$ (295,463 )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2"/>
              </w:rPr>
              <w:t>3,105,329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-2673985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-2656840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-2673985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-2656840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-2673985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-2656840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-2673985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-2656840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-2673985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-2656840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-2673985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-2656840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-2673985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-2656840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-2673985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-2656840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-270510</wp:posOffset>
            </wp:positionV>
            <wp:extent cx="768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-270510</wp:posOffset>
            </wp:positionV>
            <wp:extent cx="768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-270510</wp:posOffset>
            </wp:positionV>
            <wp:extent cx="768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-270510</wp:posOffset>
            </wp:positionV>
            <wp:extent cx="768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-270510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-270510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-270510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-270510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ind w:left="500" w:hanging="485"/>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175"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2021. Certain reclassifications have been made to reflect the current presentation of financial information.</w:t>
      </w:r>
    </w:p>
    <w:p>
      <w:pPr>
        <w:spacing w:after="0" w:line="14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On March 31, 2022, the Company paid $3.9 million in cash to purchase assets of a gearbox repair company in the distribution and services segment. Assets acquired consisted primarily of property and equipment. During the six months ended June 30, 2021, the Company purchased four inland tank barges from a leasing company for $7.5 million in cash. The Company had been leasing the barges prior to the purchase.</w:t>
      </w:r>
    </w:p>
    <w:p>
      <w:pPr>
        <w:spacing w:after="0" w:line="11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Company’s revenues by major source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Marine transportation segment: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Inland transportation</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316,948</w:t>
            </w: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253,588</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594,858</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478,039</w:t>
            </w:r>
          </w:p>
        </w:tc>
        <w:tc>
          <w:tcPr>
            <w:tcW w:w="100" w:type="dxa"/>
            <w:vAlign w:val="bottom"/>
          </w:tcPr>
          <w:p>
            <w:pPr>
              <w:spacing w:after="0"/>
              <w:rPr>
                <w:sz w:val="17"/>
                <w:szCs w:val="17"/>
                <w:color w:val="auto"/>
              </w:rPr>
            </w:pPr>
          </w:p>
        </w:tc>
      </w:tr>
      <w:tr>
        <w:trPr>
          <w:trHeight w:val="203"/>
        </w:trPr>
        <w:tc>
          <w:tcPr>
            <w:tcW w:w="4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Coastal transportation</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88,707</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79,299</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166,333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155,799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405,655</w:t>
            </w:r>
          </w:p>
        </w:tc>
        <w:tc>
          <w:tcPr>
            <w:tcW w:w="6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332,887</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761,191</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633,838</w:t>
            </w:r>
          </w:p>
        </w:tc>
        <w:tc>
          <w:tcPr>
            <w:tcW w:w="10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Distribution and services segment: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161,621</w:t>
            </w:r>
          </w:p>
        </w:tc>
        <w:tc>
          <w:tcPr>
            <w:tcW w:w="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140,966</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309,154</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273,874</w:t>
            </w:r>
          </w:p>
        </w:tc>
        <w:tc>
          <w:tcPr>
            <w:tcW w:w="100" w:type="dxa"/>
            <w:vAlign w:val="bottom"/>
          </w:tcPr>
          <w:p>
            <w:pPr>
              <w:spacing w:after="0"/>
              <w:rPr>
                <w:sz w:val="17"/>
                <w:szCs w:val="17"/>
                <w:color w:val="auto"/>
              </w:rPr>
            </w:pPr>
          </w:p>
        </w:tc>
      </w:tr>
      <w:tr>
        <w:trPr>
          <w:trHeight w:val="202"/>
        </w:trPr>
        <w:tc>
          <w:tcPr>
            <w:tcW w:w="4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Oil and gas</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130,688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85,771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238,401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148,762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292,309</w:t>
            </w:r>
          </w:p>
        </w:tc>
        <w:tc>
          <w:tcPr>
            <w:tcW w:w="6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226,737</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547,555</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422,636</w:t>
            </w:r>
          </w:p>
        </w:tc>
        <w:tc>
          <w:tcPr>
            <w:tcW w:w="10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-708025</wp:posOffset>
            </wp:positionV>
            <wp:extent cx="7747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-708025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-708025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-159385</wp:posOffset>
            </wp:positionV>
            <wp:extent cx="7747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6"/>
          <w:szCs w:val="16"/>
          <w:color w:val="auto"/>
        </w:rPr>
        <w:t>Contract liabilities represent advance consideration received from customers, and are recognized as revenue over time as the related performance obligation is satisfied. Revenues recognized during the six months ended June 30, 2022 and 2021 that were included in the opening contract liability balances were $46.7 million and $39.2 million, respectively. The Company presents all contract liabilities within the deferred revenues financial statement caption on the balance sheets. The Company did not have any contract assets at June 30, 2022 or December 31, 2021. The Company applies the practical expedient that allows non-disclosure of information about remaining performance obligations that have original expected durations of one year or less.</w:t>
      </w:r>
    </w:p>
    <w:p>
      <w:pPr>
        <w:spacing w:after="0" w:line="142"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185"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i w:val="1"/>
          <w:iCs w:val="1"/>
          <w:color w:val="auto"/>
        </w:rPr>
        <w:t xml:space="preserve">Marine Transportation Segment (“KMT”) </w:t>
      </w:r>
      <w:r>
        <w:rPr>
          <w:rFonts w:ascii="Arial" w:cs="Arial" w:eastAsia="Arial" w:hAnsi="Arial"/>
          <w:sz w:val="16"/>
          <w:szCs w:val="16"/>
          <w:color w:val="auto"/>
        </w:rPr>
        <w:t>— Provides marine transportation by United States flagged vessels principally of liquid cargoes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07"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6"/>
          <w:szCs w:val="16"/>
          <w:i w:val="1"/>
          <w:iCs w:val="1"/>
          <w:color w:val="auto"/>
        </w:rPr>
        <w:t xml:space="preserve">Distribution and Services Segment (“KDS”) </w:t>
      </w:r>
      <w:r>
        <w:rPr>
          <w:rFonts w:ascii="Arial" w:cs="Arial" w:eastAsia="Arial" w:hAnsi="Arial"/>
          <w:sz w:val="16"/>
          <w:szCs w:val="16"/>
          <w:color w:val="auto"/>
        </w:rPr>
        <w:t>— Provides after-market services and genuine replacement parts for engines, transmissions,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both"/>
        <w:ind w:firstLine="562"/>
        <w:spacing w:after="0" w:line="255"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$6.3 million and $13.9 million for the three months and six months ended June 30, 2022, respectively, and $7.3 million and $12.2 million for the three months and six months ended June 30, 2021, respectively, as well as the related intersegment profit of $0.6 million and $1.4 million for the three months and six months ended June 30, 2022 and $0.7 million and $1.2 million for the three months and six months ended June 30, 2021, respectively, have been eliminated from the tables below.</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405,655</w:t>
            </w:r>
          </w:p>
        </w:tc>
        <w:tc>
          <w:tcPr>
            <w:tcW w:w="28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332,887</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761,191</w:t>
            </w:r>
          </w:p>
        </w:tc>
        <w:tc>
          <w:tcPr>
            <w:tcW w:w="2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633,838</w:t>
            </w:r>
          </w:p>
        </w:tc>
        <w:tc>
          <w:tcPr>
            <w:tcW w:w="100" w:type="dxa"/>
            <w:vAlign w:val="bottom"/>
          </w:tcPr>
          <w:p>
            <w:pPr>
              <w:spacing w:after="0"/>
              <w:rPr>
                <w:sz w:val="17"/>
                <w:szCs w:val="17"/>
                <w:color w:val="auto"/>
              </w:rPr>
            </w:pPr>
          </w:p>
        </w:tc>
      </w:tr>
      <w:tr>
        <w:trPr>
          <w:trHeight w:val="203"/>
        </w:trPr>
        <w:tc>
          <w:tcPr>
            <w:tcW w:w="4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292,309</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226,737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547,555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422,636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6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697,964</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559,624</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1,308,746</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1,056,474</w:t>
            </w:r>
          </w:p>
        </w:tc>
        <w:tc>
          <w:tcPr>
            <w:tcW w:w="10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Segment profit:</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30,817</w:t>
            </w:r>
          </w:p>
        </w:tc>
        <w:tc>
          <w:tcPr>
            <w:tcW w:w="28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18,478</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47,752</w:t>
            </w:r>
          </w:p>
        </w:tc>
        <w:tc>
          <w:tcPr>
            <w:tcW w:w="2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20,418</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16,737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27,708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9,067</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(7,918 )</w:t>
            </w:r>
          </w:p>
        </w:tc>
        <w:tc>
          <w:tcPr>
            <w:tcW w:w="34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(8,789 )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(12,025 )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(17,651 )</w:t>
            </w: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39,636</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15,845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63,435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-836295</wp:posOffset>
            </wp:positionV>
            <wp:extent cx="768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-836295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-836295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-836295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193" w:lineRule="exact"/>
        <w:rPr>
          <w:sz w:val="20"/>
          <w:szCs w:val="20"/>
          <w:color w:val="auto"/>
        </w:rPr>
      </w:pPr>
    </w:p>
    <w:p>
      <w:pPr>
        <w:jc w:val="center"/>
        <w:ind w:left="8360"/>
        <w:spacing w:after="0"/>
        <w:rPr>
          <w:sz w:val="20"/>
          <w:szCs w:val="20"/>
          <w:color w:val="auto"/>
        </w:rPr>
      </w:pPr>
      <w:r>
        <w:rPr>
          <w:rFonts w:ascii="Arial" w:cs="Arial" w:eastAsia="Arial" w:hAnsi="Arial"/>
          <w:sz w:val="12"/>
          <w:szCs w:val="12"/>
          <w:b w:val="1"/>
          <w:bCs w:val="1"/>
          <w:color w:val="auto"/>
        </w:rPr>
        <w:t>June 30,</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2021</w:t>
      </w:r>
    </w:p>
    <w:p>
      <w:pPr>
        <w:spacing w:after="0" w:line="8" w:lineRule="exact"/>
        <w:rPr>
          <w:sz w:val="20"/>
          <w:szCs w:val="20"/>
          <w:color w:val="auto"/>
        </w:rPr>
      </w:pPr>
    </w:p>
    <w:p>
      <w:pPr>
        <w:sectPr>
          <w:pgSz w:w="11900" w:h="16838" w:orient="portrait"/>
          <w:cols w:equalWidth="0" w:num="2">
            <w:col w:w="9320" w:space="720"/>
            <w:col w:w="120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86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Marine transportation</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4,304,291</w:t>
            </w:r>
          </w:p>
        </w:tc>
        <w:tc>
          <w:tcPr>
            <w:tcW w:w="220" w:type="dxa"/>
            <w:vAlign w:val="bottom"/>
          </w:tcPr>
          <w:p>
            <w:pPr>
              <w:spacing w:after="0"/>
              <w:rPr>
                <w:sz w:val="17"/>
                <w:szCs w:val="17"/>
                <w:color w:val="auto"/>
              </w:rPr>
            </w:pPr>
          </w:p>
        </w:tc>
        <w:tc>
          <w:tcPr>
            <w:tcW w:w="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4,319,080</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Distribution and services</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927,141</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892,603</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173,724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187,380</w:t>
            </w:r>
          </w:p>
        </w:tc>
        <w:tc>
          <w:tcPr>
            <w:tcW w:w="100" w:type="dxa"/>
            <w:vAlign w:val="bottom"/>
          </w:tcPr>
          <w:p>
            <w:pPr>
              <w:spacing w:after="0"/>
              <w:rPr>
                <w:sz w:val="17"/>
                <w:szCs w:val="17"/>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5,405,156</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5,399,063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72"/>
        </w:trPr>
        <w:tc>
          <w:tcPr>
            <w:tcW w:w="6520" w:type="dxa"/>
            <w:vAlign w:val="bottom"/>
            <w:gridSpan w:val="4"/>
          </w:tcPr>
          <w:p>
            <w:pPr>
              <w:ind w:left="560"/>
              <w:spacing w:after="0"/>
              <w:rPr>
                <w:sz w:val="20"/>
                <w:szCs w:val="20"/>
                <w:color w:val="auto"/>
              </w:rPr>
            </w:pPr>
            <w:r>
              <w:rPr>
                <w:rFonts w:ascii="Arial" w:cs="Arial" w:eastAsia="Arial" w:hAnsi="Arial"/>
                <w:sz w:val="18"/>
                <w:szCs w:val="18"/>
                <w:color w:val="auto"/>
                <w:w w:val="94"/>
              </w:rPr>
              <w:t>The following table presents the details of “Other” segment loss (in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7"/>
          </w:tcPr>
          <w:p>
            <w:pPr>
              <w:jc w:val="right"/>
              <w:ind w:right="66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corporate expenses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(3,763</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(6,824</w:t>
            </w:r>
          </w:p>
        </w:tc>
        <w:tc>
          <w:tcPr>
            <w:tcW w:w="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3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Gain on disposition of assets</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2,745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2,119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4,252</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(10,640 )</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(10,706 )</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(20,843 )</w:t>
            </w: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(21,672 )</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6,314</w:t>
            </w:r>
          </w:p>
        </w:tc>
        <w:tc>
          <w:tcPr>
            <w:tcW w:w="100" w:type="dxa"/>
            <w:vAlign w:val="bottom"/>
          </w:tcPr>
          <w:p>
            <w:pPr>
              <w:spacing w:after="0"/>
              <w:rPr>
                <w:sz w:val="17"/>
                <w:szCs w:val="17"/>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(7,918</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(12,025</w:t>
            </w:r>
          </w:p>
        </w:tc>
        <w:tc>
          <w:tcPr>
            <w:tcW w:w="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-1310640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-1293495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details of “Other” total assets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r>
      <w:tr>
        <w:trPr>
          <w:trHeight w:val="185"/>
        </w:trPr>
        <w:tc>
          <w:tcPr>
            <w:tcW w:w="3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corporate assets</w:t>
            </w:r>
          </w:p>
        </w:tc>
        <w:tc>
          <w:tcPr>
            <w:tcW w:w="44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171,996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185,246</w:t>
            </w:r>
          </w:p>
        </w:tc>
        <w:tc>
          <w:tcPr>
            <w:tcW w:w="100" w:type="dxa"/>
            <w:vAlign w:val="bottom"/>
            <w:shd w:val="clear" w:color="auto" w:fill="CFF0FC"/>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Investment in affiliates</w:t>
            </w:r>
          </w:p>
        </w:tc>
        <w:tc>
          <w:tcPr>
            <w:tcW w:w="4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2,134</w:t>
            </w:r>
          </w:p>
        </w:tc>
        <w:tc>
          <w:tcPr>
            <w:tcW w:w="100" w:type="dxa"/>
            <w:vAlign w:val="bottom"/>
          </w:tcPr>
          <w:p>
            <w:pPr>
              <w:spacing w:after="0"/>
              <w:rPr>
                <w:sz w:val="17"/>
                <w:szCs w:val="17"/>
                <w:color w:val="auto"/>
              </w:rPr>
            </w:pPr>
          </w:p>
        </w:tc>
      </w:tr>
      <w:tr>
        <w:trPr>
          <w:trHeight w:val="236"/>
        </w:trPr>
        <w:tc>
          <w:tcPr>
            <w:tcW w:w="3680" w:type="dxa"/>
            <w:vAlign w:val="bottom"/>
            <w:tcBorders>
              <w:bottom w:val="single" w:sz="8" w:color="CFF0FC"/>
            </w:tcBorders>
            <w:shd w:val="clear" w:color="auto" w:fill="CFF0FC"/>
          </w:tcPr>
          <w:p>
            <w:pPr>
              <w:spacing w:after="0"/>
              <w:rPr>
                <w:sz w:val="20"/>
                <w:szCs w:val="20"/>
                <w:color w:val="auto"/>
              </w:rPr>
            </w:pPr>
          </w:p>
        </w:tc>
        <w:tc>
          <w:tcPr>
            <w:tcW w:w="44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173,724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187,380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48"/>
        </w:trPr>
        <w:tc>
          <w:tcPr>
            <w:tcW w:w="3680" w:type="dxa"/>
            <w:vAlign w:val="bottom"/>
          </w:tcPr>
          <w:p>
            <w:pPr>
              <w:spacing w:after="0"/>
              <w:rPr>
                <w:sz w:val="24"/>
                <w:szCs w:val="24"/>
                <w:color w:val="auto"/>
              </w:rPr>
            </w:pPr>
          </w:p>
        </w:tc>
        <w:tc>
          <w:tcPr>
            <w:tcW w:w="4480" w:type="dxa"/>
            <w:vAlign w:val="bottom"/>
          </w:tcPr>
          <w:p>
            <w:pPr>
              <w:jc w:val="right"/>
              <w:ind w:right="24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-462280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-445135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9" w:name="page10"/>
    <w:bookmarkEnd w:id="9"/>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right="140" w:firstLine="562"/>
        <w:spacing w:after="0" w:line="261" w:lineRule="auto"/>
        <w:rPr>
          <w:sz w:val="20"/>
          <w:szCs w:val="20"/>
          <w:color w:val="auto"/>
        </w:rPr>
      </w:pPr>
      <w:r>
        <w:rPr>
          <w:rFonts w:ascii="Arial" w:cs="Arial" w:eastAsia="Arial" w:hAnsi="Arial"/>
          <w:sz w:val="18"/>
          <w:szCs w:val="18"/>
          <w:color w:val="auto"/>
        </w:rPr>
        <w:t>The following table presents the carrying value and fair value (determined using inputs characteristic of a Level 2 fair value measurement) of debt outstanding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Carrying Value</w:t>
            </w:r>
          </w:p>
        </w:tc>
        <w:tc>
          <w:tcPr>
            <w:tcW w:w="22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Revolving Credit Facility due March 27, 2024 (a)</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Term Loan due March 27, 2024 (a)</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285,000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285,000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3.29% senior notes due February 27, 2023</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351,828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358,390</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4.2% senior notes due March 1, 2028</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500,480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549,239</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Credit line due June 30, 2024</w:t>
            </w: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Bank notes payable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4,206</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4,206</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1,934</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1,139,206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1,141,514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1,166,934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1,224,563</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Unamortized debt discounts and issuance costs (b)</w:t>
            </w:r>
          </w:p>
        </w:tc>
        <w:tc>
          <w:tcPr>
            <w:tcW w:w="14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(3,151 )</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(3,567 )</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1,136,055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1,141,514</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1,163,367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1,224,563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940" w:hanging="370"/>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rate of 3.0% and 1.5% at June 30, 2022 and December 31, 2021, respectively.</w:t>
      </w:r>
    </w:p>
    <w:p>
      <w:pPr>
        <w:spacing w:after="0" w:line="11" w:lineRule="exact"/>
        <w:rPr>
          <w:rFonts w:ascii="Arial" w:cs="Arial" w:eastAsia="Arial" w:hAnsi="Arial"/>
          <w:sz w:val="18"/>
          <w:szCs w:val="18"/>
          <w:color w:val="auto"/>
        </w:rPr>
      </w:pPr>
    </w:p>
    <w:p>
      <w:pPr>
        <w:ind w:left="940" w:hanging="370"/>
        <w:spacing w:after="0" w:line="243"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$1.1 million and $1.4 million attributable to the 2024 Revolving Credit Facility included in other assets at June 30, 2022 and December 31, 2021, respectively.</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1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Borrowings on bank credit facilities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120,634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
              <w:spacing w:after="0" w:line="202" w:lineRule="exact"/>
              <w:rPr>
                <w:sz w:val="20"/>
                <w:szCs w:val="20"/>
                <w:color w:val="auto"/>
              </w:rPr>
            </w:pPr>
            <w:r>
              <w:rPr>
                <w:rFonts w:ascii="Arial" w:cs="Arial" w:eastAsia="Arial" w:hAnsi="Arial"/>
                <w:sz w:val="18"/>
                <w:szCs w:val="18"/>
                <w:color w:val="auto"/>
              </w:rPr>
              <w:t>Payments on bank credit facilities</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(118,362 )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(195,988 )</w:t>
            </w:r>
          </w:p>
        </w:tc>
      </w:tr>
      <w:tr>
        <w:trPr>
          <w:trHeight w:val="236"/>
        </w:trPr>
        <w:tc>
          <w:tcPr>
            <w:tcW w:w="8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(193,623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At June 30,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 During the six months ended June 30, 2022, the Company repaid $30.0 million under the 2024 Term Loan. Outstanding letters of credit under the 2024 Revolving Credit Facility were $5.1 million and available borrowing capacity was $844.9 million as of June 30, 2022. Outstanding letters of credit under the $10 million credit line were $1.3 million and available borrowing capacity was $8.7 million as of June 30, 2022.</w:t>
      </w:r>
    </w:p>
    <w:p>
      <w:pPr>
        <w:spacing w:after="0" w:line="164"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6"/>
          <w:szCs w:val="16"/>
          <w:color w:val="auto"/>
        </w:rPr>
        <w:t>On July 29, 2022, the 2024 Credit Agreement was replaced with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In conjunction with entering into the 2027 Credit Agreement, on July 29, 2022, the Company borrowed $35 million under the 2027 Revolving Credit Facility and $250 million under the 2027 Term Loan to repay borrowings under the 2024 Term Loan. The 2027 Term Loan is repayable in quarterly installments, scheduled to commence December 31, 2022,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38"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are scheduled to be issued on October 20, 2022, and the Series B Notes are scheduled to be issued on January 19, 2023. No principal payments will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both"/>
        <w:ind w:right="60"/>
        <w:spacing w:after="0" w:line="254" w:lineRule="auto"/>
        <w:rPr>
          <w:sz w:val="20"/>
          <w:szCs w:val="20"/>
          <w:color w:val="auto"/>
        </w:rPr>
      </w:pPr>
      <w:r>
        <w:rPr>
          <w:rFonts w:ascii="Arial" w:cs="Arial" w:eastAsia="Arial" w:hAnsi="Arial"/>
          <w:sz w:val="17"/>
          <w:szCs w:val="17"/>
          <w:color w:val="auto"/>
        </w:rPr>
        <w:t>be required until maturity. Beginning in 2023, interest payments of $5.3 million will be due semi-annually on January 19 and July 19 of each year, with the exception of the first payment on January 19, 2023, which will be $0.5 million.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are excluded from short term liabilities because the Company intends to use a combination of the proceeds from the issuance of the 2033 Notes and availability under the 2027 Revolving Credit Facility to repay the 2023 Notes upon maturity.</w:t>
      </w:r>
    </w:p>
    <w:p>
      <w:pPr>
        <w:spacing w:after="0" w:line="163"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6" w:lineRule="exact"/>
        <w:rPr>
          <w:sz w:val="20"/>
          <w:szCs w:val="20"/>
          <w:color w:val="auto"/>
        </w:rPr>
      </w:pPr>
    </w:p>
    <w:p>
      <w:pPr>
        <w:jc w:val="both"/>
        <w:ind w:right="60" w:firstLine="562"/>
        <w:spacing w:after="0" w:line="239"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64" w:lineRule="exact"/>
        <w:rPr>
          <w:sz w:val="20"/>
          <w:szCs w:val="20"/>
          <w:color w:val="auto"/>
        </w:rPr>
      </w:pPr>
    </w:p>
    <w:p>
      <w:pPr>
        <w:jc w:val="both"/>
        <w:ind w:right="60" w:firstLine="562"/>
        <w:spacing w:after="0" w:line="261"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20,467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41,685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37,110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35,833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30,002</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28,837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24,864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23,794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19,502</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18,361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91,785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91,237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lease payments</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223,730</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239,747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(38,708 )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(46,173 )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lease liabilities</w:t>
            </w:r>
          </w:p>
        </w:tc>
        <w:tc>
          <w:tcPr>
            <w:tcW w:w="8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185,022</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193,574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900" w:type="dxa"/>
            <w:vAlign w:val="bottom"/>
          </w:tcPr>
          <w:p>
            <w:pPr>
              <w:ind w:left="580"/>
              <w:spacing w:after="0"/>
              <w:rPr>
                <w:sz w:val="20"/>
                <w:szCs w:val="20"/>
                <w:color w:val="auto"/>
              </w:rPr>
            </w:pPr>
            <w:r>
              <w:rPr>
                <w:rFonts w:ascii="Arial" w:cs="Arial" w:eastAsia="Arial" w:hAnsi="Arial"/>
                <w:sz w:val="18"/>
                <w:szCs w:val="18"/>
                <w:color w:val="auto"/>
                <w:w w:val="91"/>
              </w:rPr>
              <w:t>The following table summarizes lease costs (in thousands):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0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840" w:type="dxa"/>
            <w:vAlign w:val="bottom"/>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10,604</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10,680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21,454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21,072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5,248</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4,015</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10,729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84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(68 )</w:t>
            </w:r>
          </w:p>
        </w:tc>
        <w:tc>
          <w:tcPr>
            <w:tcW w:w="8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(137 )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16,230</w:t>
            </w: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14,595</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32,911</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28,475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8160" w:type="dxa"/>
            <w:vAlign w:val="bottom"/>
            <w:gridSpan w:val="8"/>
          </w:tcPr>
          <w:p>
            <w:pPr>
              <w:ind w:left="580"/>
              <w:spacing w:after="0"/>
              <w:rPr>
                <w:sz w:val="20"/>
                <w:szCs w:val="20"/>
                <w:color w:val="auto"/>
              </w:rPr>
            </w:pPr>
            <w:r>
              <w:rPr>
                <w:rFonts w:ascii="Arial" w:cs="Arial" w:eastAsia="Arial" w:hAnsi="Arial"/>
                <w:sz w:val="18"/>
                <w:szCs w:val="18"/>
                <w:color w:val="auto"/>
                <w:w w:val="92"/>
              </w:rPr>
              <w:t>The following table summarizes other supplemental information about the Company’s operating leases: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Weighted average discount rate</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8"/>
                <w:szCs w:val="18"/>
                <w:color w:val="auto"/>
              </w:rPr>
              <w:t>9 years</w:t>
            </w:r>
          </w:p>
        </w:tc>
        <w:tc>
          <w:tcPr>
            <w:tcW w:w="18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-2168525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-2151380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-2168525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-2151380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-882650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-865505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-882650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-865505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-882650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-865505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6"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189" w:lineRule="exact"/>
        <w:rPr>
          <w:sz w:val="20"/>
          <w:szCs w:val="20"/>
          <w:color w:val="auto"/>
        </w:rPr>
      </w:pPr>
    </w:p>
    <w:p>
      <w:pPr>
        <w:ind w:right="60" w:firstLine="562"/>
        <w:spacing w:after="0" w:line="261"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Compensation cost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2,590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3,426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9,148</w:t>
            </w:r>
          </w:p>
        </w:tc>
        <w:tc>
          <w:tcPr>
            <w:tcW w:w="100" w:type="dxa"/>
            <w:vAlign w:val="bottom"/>
            <w:shd w:val="clear" w:color="auto" w:fill="CFF0FC"/>
          </w:tcPr>
          <w:p>
            <w:pPr>
              <w:spacing w:after="0"/>
              <w:rPr>
                <w:sz w:val="17"/>
                <w:szCs w:val="17"/>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0"/>
                <w:szCs w:val="20"/>
                <w:color w:val="auto"/>
              </w:rPr>
            </w:pPr>
          </w:p>
        </w:tc>
      </w:tr>
      <w:tr>
        <w:trPr>
          <w:trHeight w:val="526"/>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7"/>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sectPr>
      </w:pPr>
    </w:p>
    <w:bookmarkStart w:id="11" w:name="page12"/>
    <w:bookmarkEnd w:id="11"/>
    <w:p>
      <w:pPr>
        <w:jc w:val="both"/>
        <w:ind w:firstLine="562"/>
        <w:spacing w:after="0" w:line="248" w:lineRule="auto"/>
        <w:rPr>
          <w:sz w:val="20"/>
          <w:szCs w:val="20"/>
          <w:color w:val="auto"/>
        </w:rPr>
      </w:pPr>
      <w:r>
        <w:rPr>
          <w:rFonts w:ascii="Arial" w:cs="Arial" w:eastAsia="Arial" w:hAnsi="Arial"/>
          <w:sz w:val="18"/>
          <w:szCs w:val="18"/>
          <w:color w:val="auto"/>
        </w:rPr>
        <w:t>During the six months ended June 30, 2022, the Company granted 207,916 restricted stock units (“RSUs”) to selected officers and other key employees under the employee stock award plan which vest ratably over five years and 27,696 shares of restricted stock to nonemployee directors of the Company under the director stock plan, the majority of which vest six months after the date of grant.</w:t>
      </w:r>
    </w:p>
    <w:p>
      <w:pPr>
        <w:spacing w:after="0" w:line="137"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89"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At June 30, 2022 and December 31, 2021, the Company had a federal income tax receivable of $70.5 million and $71.0 million, respectively, included in Accounts Receivable – Other on the balance sheets. During the three months ended March 31, 2021, the Company received a tax refund of $119.5 million, including accrued interest, for its 2019 federal tax return related to net operating losses being carried back to offset taxable income generated between 2014 and 2017.</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(loss) before taxes on income:</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39,607</w:t>
            </w:r>
          </w:p>
        </w:tc>
        <w:tc>
          <w:tcPr>
            <w:tcW w:w="280" w:type="dxa"/>
            <w:vAlign w:val="bottom"/>
          </w:tcPr>
          <w:p>
            <w:pPr>
              <w:spacing w:after="0"/>
              <w:rPr>
                <w:sz w:val="17"/>
                <w:szCs w:val="17"/>
                <w:color w:val="auto"/>
              </w:rPr>
            </w:pPr>
          </w:p>
        </w:tc>
        <w:tc>
          <w:tcPr>
            <w:tcW w:w="860" w:type="dxa"/>
            <w:vAlign w:val="bottom"/>
          </w:tcPr>
          <w:p>
            <w:pPr>
              <w:jc w:val="right"/>
              <w:ind w:right="674"/>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15,811</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63,261</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12,192</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(358 )</w:t>
            </w:r>
          </w:p>
        </w:tc>
      </w:tr>
      <w:tr>
        <w:trPr>
          <w:trHeight w:val="196"/>
        </w:trPr>
        <w:tc>
          <w:tcPr>
            <w:tcW w:w="4860" w:type="dxa"/>
            <w:vAlign w:val="bottom"/>
            <w:tcBorders>
              <w:top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39,636</w:t>
            </w:r>
          </w:p>
        </w:tc>
        <w:tc>
          <w:tcPr>
            <w:tcW w:w="28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67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15,845</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63,435</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11,834</w:t>
            </w:r>
          </w:p>
        </w:tc>
        <w:tc>
          <w:tcPr>
            <w:tcW w:w="100" w:type="dxa"/>
            <w:vAlign w:val="bottom"/>
            <w:tcBorders>
              <w:top w:val="single" w:sz="8" w:color="CFF0FC"/>
            </w:tcBorders>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Provision (benefit) for taxes on income:</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Current</w:t>
            </w:r>
          </w:p>
        </w:tc>
        <w:tc>
          <w:tcPr>
            <w:tcW w:w="840" w:type="dxa"/>
            <w:vAlign w:val="bottom"/>
            <w:shd w:val="clear" w:color="auto" w:fill="CFF0FC"/>
          </w:tcPr>
          <w:p>
            <w:pPr>
              <w:jc w:val="right"/>
              <w:ind w:right="636"/>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74"/>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5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380"/>
              <w:spacing w:after="0" w:line="202" w:lineRule="exact"/>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8,464</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3,407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13,721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2,804</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380"/>
              <w:spacing w:after="0" w:line="202" w:lineRule="exact"/>
              <w:rPr>
                <w:sz w:val="20"/>
                <w:szCs w:val="20"/>
                <w:color w:val="auto"/>
              </w:rPr>
            </w:pPr>
            <w:r>
              <w:rPr>
                <w:rFonts w:ascii="Arial" w:cs="Arial" w:eastAsia="Arial" w:hAnsi="Arial"/>
                <w:sz w:val="18"/>
                <w:szCs w:val="18"/>
                <w:color w:val="auto"/>
              </w:rPr>
              <w:t>Current</w:t>
            </w:r>
          </w:p>
        </w:tc>
        <w:tc>
          <w:tcPr>
            <w:tcW w:w="8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1,035</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1,015</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1,576</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Foreign - current</w:t>
            </w:r>
          </w:p>
        </w:tc>
        <w:tc>
          <w:tcPr>
            <w:tcW w:w="84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(3 )</w:t>
            </w: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11,030</w:t>
            </w:r>
          </w:p>
        </w:tc>
        <w:tc>
          <w:tcPr>
            <w:tcW w:w="2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17,243</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-1350645</wp:posOffset>
            </wp:positionV>
            <wp:extent cx="774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-1350645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-1350645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basic and diluted earnings per share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attributable to Kirby</w:t>
            </w:r>
          </w:p>
        </w:tc>
        <w:tc>
          <w:tcPr>
            <w:tcW w:w="840" w:type="dxa"/>
            <w:vAlign w:val="bottom"/>
            <w:shd w:val="clear" w:color="auto" w:fill="CFF0FC"/>
          </w:tcPr>
          <w:p>
            <w:pPr>
              <w:jc w:val="right"/>
              <w:ind w:right="65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28,457</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10,190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45,891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6,815</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(10 )</w:t>
            </w:r>
          </w:p>
        </w:tc>
        <w:tc>
          <w:tcPr>
            <w:tcW w:w="86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(6 )</w:t>
            </w:r>
          </w:p>
        </w:tc>
      </w:tr>
      <w:tr>
        <w:trPr>
          <w:trHeight w:val="196"/>
        </w:trPr>
        <w:tc>
          <w:tcPr>
            <w:tcW w:w="48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available to Kirby common stockholders – basic</w:t>
            </w:r>
          </w:p>
        </w:tc>
        <w:tc>
          <w:tcPr>
            <w:tcW w:w="8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28,447</w:t>
            </w:r>
          </w:p>
        </w:tc>
        <w:tc>
          <w:tcPr>
            <w:tcW w:w="2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10,182</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45,880</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6,809</w:t>
            </w:r>
          </w:p>
        </w:tc>
        <w:tc>
          <w:tcPr>
            <w:tcW w:w="100" w:type="dxa"/>
            <w:vAlign w:val="bottom"/>
            <w:shd w:val="clear" w:color="auto" w:fill="CFF0FC"/>
          </w:tcPr>
          <w:p>
            <w:pPr>
              <w:spacing w:after="0"/>
              <w:rPr>
                <w:sz w:val="17"/>
                <w:szCs w:val="17"/>
                <w:color w:val="auto"/>
              </w:rPr>
            </w:pPr>
          </w:p>
        </w:tc>
      </w:tr>
      <w:tr>
        <w:trPr>
          <w:trHeight w:val="202"/>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Undistributed earnings allocated to restricted shares</w:t>
            </w:r>
          </w:p>
        </w:tc>
        <w:tc>
          <w:tcPr>
            <w:tcW w:w="8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Undistributed earnings reallocated to restricted shares</w:t>
            </w:r>
          </w:p>
        </w:tc>
        <w:tc>
          <w:tcPr>
            <w:tcW w:w="8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(10 )</w:t>
            </w:r>
          </w:p>
        </w:tc>
        <w:tc>
          <w:tcPr>
            <w:tcW w:w="8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(6 )</w:t>
            </w:r>
          </w:p>
        </w:tc>
      </w:tr>
      <w:tr>
        <w:trPr>
          <w:trHeight w:val="196"/>
        </w:trPr>
        <w:tc>
          <w:tcPr>
            <w:tcW w:w="48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w w:val="99"/>
              </w:rPr>
              <w:t>Earnings available to Kirby common stockholders – diluted</w:t>
            </w:r>
          </w:p>
        </w:tc>
        <w:tc>
          <w:tcPr>
            <w:tcW w:w="840" w:type="dxa"/>
            <w:vAlign w:val="bottom"/>
            <w:tcBorders>
              <w:top w:val="single" w:sz="8" w:color="auto"/>
              <w:bottom w:val="single" w:sz="8" w:color="auto"/>
            </w:tcBorders>
          </w:tcPr>
          <w:p>
            <w:pPr>
              <w:jc w:val="right"/>
              <w:ind w:right="65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28,447</w:t>
            </w:r>
          </w:p>
        </w:tc>
        <w:tc>
          <w:tcPr>
            <w:tcW w:w="28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654"/>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10,182</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45,880</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6,809</w:t>
            </w:r>
          </w:p>
        </w:tc>
        <w:tc>
          <w:tcPr>
            <w:tcW w:w="100" w:type="dxa"/>
            <w:vAlign w:val="bottom"/>
            <w:tcBorders>
              <w:top w:val="single" w:sz="8" w:color="CFF0FC"/>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common stock issued and outstanding</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60,222</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60,101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60,202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60,088</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unvested restricted stock</w:t>
            </w:r>
          </w:p>
        </w:tc>
        <w:tc>
          <w:tcPr>
            <w:tcW w:w="84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(20 )</w:t>
            </w:r>
          </w:p>
        </w:tc>
        <w:tc>
          <w:tcPr>
            <w:tcW w:w="86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(53 )</w:t>
            </w:r>
          </w:p>
        </w:tc>
      </w:tr>
      <w:tr>
        <w:trPr>
          <w:trHeight w:val="196"/>
        </w:trPr>
        <w:tc>
          <w:tcPr>
            <w:tcW w:w="48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 average common stock outstanding – basic</w:t>
            </w:r>
          </w:p>
        </w:tc>
        <w:tc>
          <w:tcPr>
            <w:tcW w:w="8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60,202</w:t>
            </w:r>
          </w:p>
        </w:tc>
        <w:tc>
          <w:tcPr>
            <w:tcW w:w="2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60,053</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60,188</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60,035</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Dilutive effect of stock options and restricted stock units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r>
      <w:tr>
        <w:trPr>
          <w:trHeight w:val="236"/>
        </w:trPr>
        <w:tc>
          <w:tcPr>
            <w:tcW w:w="48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 average common stock outstanding – diluted</w:t>
            </w:r>
          </w:p>
        </w:tc>
        <w:tc>
          <w:tcPr>
            <w:tcW w:w="8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60,467</w:t>
            </w:r>
          </w:p>
        </w:tc>
        <w:tc>
          <w:tcPr>
            <w:tcW w:w="2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60,274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60,465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60,220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8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earnings per share attributable to Kirby common</w:t>
            </w:r>
          </w:p>
        </w:tc>
        <w:tc>
          <w:tcPr>
            <w:tcW w:w="8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840" w:type="dxa"/>
            <w:vAlign w:val="bottom"/>
            <w:tcBorders>
              <w:bottom w:val="single" w:sz="8" w:color="auto"/>
            </w:tcBorders>
          </w:tcPr>
          <w:p>
            <w:pPr>
              <w:jc w:val="right"/>
              <w:ind w:right="655"/>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0.47</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ind w:right="654"/>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0.17</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0.76</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shd w:val="clear" w:color="auto" w:fill="CFF0FC"/>
          </w:tcPr>
          <w:p>
            <w:pPr>
              <w:jc w:val="right"/>
              <w:ind w:right="655"/>
              <w:spacing w:after="0" w:line="18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0.47</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54"/>
              <w:spacing w:after="0" w:line="18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0.17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0.76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547"/>
        </w:trPr>
        <w:tc>
          <w:tcPr>
            <w:tcW w:w="48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8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-2207895</wp:posOffset>
            </wp:positionV>
            <wp:extent cx="768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-2207895</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-2207895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-2207895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-1130935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-1113790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-1130935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-1113790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-1130935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-1113790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-453390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-436245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-453390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-436245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-453390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-436245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both"/>
        <w:ind w:firstLine="562"/>
        <w:spacing w:after="0" w:line="243" w:lineRule="auto"/>
        <w:rPr>
          <w:sz w:val="20"/>
          <w:szCs w:val="20"/>
          <w:color w:val="auto"/>
        </w:rPr>
      </w:pPr>
      <w:r>
        <w:rPr>
          <w:rFonts w:ascii="Arial" w:cs="Arial" w:eastAsia="Arial" w:hAnsi="Arial"/>
          <w:sz w:val="18"/>
          <w:szCs w:val="18"/>
          <w:color w:val="auto"/>
        </w:rPr>
        <w:t>Certain outstanding options to purchase approximately 0.4 million and 0.6 million shares of common stock were excluded in the computation of diluted earnings per share as of June 30, 2022 and 2021, respectively, as such stock options would have been antidilutive. Certain outstanding RSUs to convert to 12,000 and 5,000 shares of common stock were also excluded in the computation of diluted earnings per share as of June 30, 2022 and 2021, respectively, as such RSUs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74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Arial" w:cs="Arial" w:eastAsia="Arial" w:hAnsi="Arial"/>
                <w:sz w:val="18"/>
                <w:szCs w:val="18"/>
                <w:color w:val="auto"/>
              </w:rPr>
              <w:t>The following table presents the details of inventories – net (in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24"/>
                <w:szCs w:val="24"/>
                <w:color w:val="auto"/>
              </w:rPr>
            </w:pPr>
          </w:p>
        </w:tc>
      </w:tr>
      <w:tr>
        <w:trPr>
          <w:trHeight w:val="185"/>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81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Finished goods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288,763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260,707</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81,622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70,643</w:t>
            </w:r>
          </w:p>
        </w:tc>
        <w:tc>
          <w:tcPr>
            <w:tcW w:w="100" w:type="dxa"/>
            <w:vAlign w:val="bottom"/>
          </w:tcPr>
          <w:p>
            <w:pPr>
              <w:spacing w:after="0"/>
              <w:rPr>
                <w:sz w:val="17"/>
                <w:szCs w:val="17"/>
                <w:color w:val="auto"/>
              </w:rPr>
            </w:pPr>
          </w:p>
        </w:tc>
      </w:tr>
      <w:tr>
        <w:trPr>
          <w:trHeight w:val="236"/>
        </w:trPr>
        <w:tc>
          <w:tcPr>
            <w:tcW w:w="420" w:type="dxa"/>
            <w:vAlign w:val="bottom"/>
            <w:tcBorders>
              <w:bottom w:val="single" w:sz="8" w:color="CFF0FC"/>
            </w:tcBorders>
            <w:shd w:val="clear" w:color="auto" w:fill="CFF0FC"/>
          </w:tcPr>
          <w:p>
            <w:pPr>
              <w:spacing w:after="0"/>
              <w:rPr>
                <w:sz w:val="20"/>
                <w:szCs w:val="20"/>
                <w:color w:val="auto"/>
              </w:rPr>
            </w:pPr>
          </w:p>
        </w:tc>
        <w:tc>
          <w:tcPr>
            <w:tcW w:w="7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370,385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331,350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(11)</w:t>
            </w:r>
          </w:p>
        </w:tc>
        <w:tc>
          <w:tcPr>
            <w:tcW w:w="7740" w:type="dxa"/>
            <w:vAlign w:val="bottom"/>
          </w:tcPr>
          <w:p>
            <w:pPr>
              <w:ind w:left="100"/>
              <w:spacing w:after="0"/>
              <w:rPr>
                <w:sz w:val="20"/>
                <w:szCs w:val="20"/>
                <w:color w:val="auto"/>
              </w:rPr>
            </w:pPr>
            <w:r>
              <w:rPr>
                <w:rFonts w:ascii="Arial" w:cs="Arial" w:eastAsia="Arial" w:hAnsi="Arial"/>
                <w:sz w:val="18"/>
                <w:szCs w:val="18"/>
                <w:b w:val="1"/>
                <w:bCs w:val="1"/>
                <w:color w:val="auto"/>
              </w:rPr>
              <w:t>Retirement Plans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-290830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-273685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0"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61" w:lineRule="exact"/>
        <w:rPr>
          <w:sz w:val="20"/>
          <w:szCs w:val="20"/>
          <w:color w:val="auto"/>
        </w:rPr>
      </w:pPr>
    </w:p>
    <w:p>
      <w:pPr>
        <w:jc w:val="both"/>
        <w:ind w:firstLine="569"/>
        <w:spacing w:after="0" w:line="241"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2022.</w:t>
      </w:r>
    </w:p>
    <w:p>
      <w:pPr>
        <w:spacing w:after="0" w:line="149" w:lineRule="exact"/>
        <w:rPr>
          <w:sz w:val="20"/>
          <w:szCs w:val="20"/>
          <w:color w:val="auto"/>
        </w:rPr>
      </w:pPr>
    </w:p>
    <w:p>
      <w:pPr>
        <w:jc w:val="both"/>
        <w:ind w:firstLine="562"/>
        <w:spacing w:after="0" w:line="241" w:lineRule="auto"/>
        <w:rPr>
          <w:sz w:val="20"/>
          <w:szCs w:val="20"/>
          <w:color w:val="auto"/>
        </w:rPr>
      </w:pPr>
      <w:r>
        <w:rPr>
          <w:rFonts w:ascii="Arial" w:cs="Arial" w:eastAsia="Arial" w:hAnsi="Arial"/>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$0.5 million to the Higman pension plan during the six months ended June 30, 2022 and a contribution of $0.2 million during July 2022. The Company expects to make additional contributions of $0.2 million during the remainder of 2022.</w:t>
      </w:r>
    </w:p>
    <w:p>
      <w:pPr>
        <w:spacing w:after="0" w:line="149" w:lineRule="exact"/>
        <w:rPr>
          <w:sz w:val="20"/>
          <w:szCs w:val="20"/>
          <w:color w:val="auto"/>
        </w:rPr>
      </w:pPr>
    </w:p>
    <w:p>
      <w:pPr>
        <w:jc w:val="both"/>
        <w:ind w:firstLine="562"/>
        <w:spacing w:after="0" w:line="241"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ind w:left="560"/>
        <w:spacing w:after="0"/>
        <w:rPr>
          <w:sz w:val="20"/>
          <w:szCs w:val="20"/>
          <w:color w:val="auto"/>
        </w:rPr>
      </w:pPr>
      <w:r>
        <w:rPr>
          <w:rFonts w:ascii="Arial" w:cs="Arial" w:eastAsia="Arial" w:hAnsi="Arial"/>
          <w:sz w:val="16"/>
          <w:szCs w:val="16"/>
          <w:color w:val="auto"/>
        </w:rPr>
        <w:t>The components of net periodic benefit cost for the Company’s defined benefit plans were as follows (in thousands):</w:t>
      </w:r>
    </w:p>
    <w:p>
      <w:pPr>
        <w:spacing w:after="0" w:line="22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15240</wp:posOffset>
            </wp:positionV>
            <wp:extent cx="4011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8"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15240</wp:posOffset>
            </wp:positionV>
            <wp:extent cx="19373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22225</wp:posOffset>
            </wp:positionV>
            <wp:extent cx="19373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15240</wp:posOffset>
            </wp:positionV>
            <wp:extent cx="19113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8" w:lineRule="exact"/>
        <w:rPr>
          <w:sz w:val="20"/>
          <w:szCs w:val="20"/>
          <w:color w:val="auto"/>
        </w:rPr>
      </w:pPr>
    </w:p>
    <w:p>
      <w:pPr>
        <w:jc w:val="center"/>
        <w:ind w:right="6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22225</wp:posOffset>
            </wp:positionV>
            <wp:extent cx="19113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p>
    <w:p>
      <w:pPr>
        <w:spacing w:after="0"/>
        <w:tabs>
          <w:tab w:leader="none" w:pos="162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35" w:lineRule="exact"/>
        <w:rPr>
          <w:sz w:val="20"/>
          <w:szCs w:val="20"/>
          <w:color w:val="auto"/>
        </w:rPr>
      </w:pPr>
    </w:p>
    <w:p>
      <w:pPr>
        <w:sectPr>
          <w:pgSz w:w="11900" w:h="16838" w:orient="portrait"/>
          <w:cols w:equalWidth="0" w:num="2">
            <w:col w:w="7900" w:space="720"/>
            <w:col w:w="262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82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Components of net periodic benefit cost:</w:t>
            </w:r>
          </w:p>
        </w:tc>
        <w:tc>
          <w:tcPr>
            <w:tcW w:w="4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Service cost</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1,658</w:t>
            </w:r>
          </w:p>
        </w:tc>
        <w:tc>
          <w:tcPr>
            <w:tcW w:w="28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2,053</w:t>
            </w:r>
          </w:p>
        </w:tc>
        <w:tc>
          <w:tcPr>
            <w:tcW w:w="260" w:type="dxa"/>
            <w:vAlign w:val="bottom"/>
          </w:tcPr>
          <w:p>
            <w:pPr>
              <w:spacing w:after="0"/>
              <w:rPr>
                <w:sz w:val="17"/>
                <w:szCs w:val="17"/>
                <w:color w:val="auto"/>
              </w:rPr>
            </w:pP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cost</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3,535</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Expected return on plan assets</w:t>
            </w:r>
          </w:p>
        </w:tc>
        <w:tc>
          <w:tcPr>
            <w:tcW w:w="4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(7,154 )</w:t>
            </w:r>
          </w:p>
        </w:tc>
        <w:tc>
          <w:tcPr>
            <w:tcW w:w="52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(6,559 )</w:t>
            </w:r>
          </w:p>
        </w:tc>
        <w:tc>
          <w:tcPr>
            <w:tcW w:w="6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actuarial loss</w:t>
            </w:r>
          </w:p>
        </w:tc>
        <w:tc>
          <w:tcPr>
            <w:tcW w:w="4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Net periodic benefit cost</w:t>
            </w: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(1,724 )</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(181 )</w:t>
            </w:r>
          </w:p>
        </w:tc>
        <w:tc>
          <w:tcPr>
            <w:tcW w:w="60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-159385</wp:posOffset>
            </wp:positionV>
            <wp:extent cx="7747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Pension Plans</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SERP</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Components of net periodic benefit cost: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3,980</w:t>
            </w:r>
          </w:p>
        </w:tc>
        <w:tc>
          <w:tcPr>
            <w:tcW w:w="240" w:type="dxa"/>
            <w:vAlign w:val="bottom"/>
          </w:tcPr>
          <w:p>
            <w:pPr>
              <w:spacing w:after="0"/>
              <w:rPr>
                <w:sz w:val="17"/>
                <w:szCs w:val="17"/>
                <w:color w:val="auto"/>
              </w:rPr>
            </w:pP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ind w:left="64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7,119</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w w:val="89"/>
              </w:rPr>
              <w:t>15</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89"/>
              </w:rPr>
              <w:t>15</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(14,296 )</w:t>
            </w:r>
          </w:p>
        </w:tc>
        <w:tc>
          <w:tcPr>
            <w:tcW w:w="46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(13,133 )</w:t>
            </w:r>
          </w:p>
        </w:tc>
        <w:tc>
          <w:tcPr>
            <w:tcW w:w="420" w:type="dxa"/>
            <w:vAlign w:val="bottom"/>
          </w:tcPr>
          <w:p>
            <w:pPr>
              <w:spacing w:after="0"/>
              <w:rPr>
                <w:sz w:val="17"/>
                <w:szCs w:val="17"/>
                <w:color w:val="auto"/>
              </w:rPr>
            </w:pPr>
          </w:p>
        </w:tc>
        <w:tc>
          <w:tcPr>
            <w:tcW w:w="840" w:type="dxa"/>
            <w:vAlign w:val="bottom"/>
          </w:tcPr>
          <w:p>
            <w:pPr>
              <w:ind w:left="64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actuarial loss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1,888</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ind w:left="640"/>
              <w:spacing w:after="0" w:line="202" w:lineRule="exact"/>
              <w:rPr>
                <w:sz w:val="20"/>
                <w:szCs w:val="20"/>
                <w:color w:val="auto"/>
              </w:rPr>
            </w:pPr>
            <w:r>
              <w:rPr>
                <w:rFonts w:ascii="Arial" w:cs="Arial" w:eastAsia="Arial" w:hAnsi="Arial"/>
                <w:sz w:val="18"/>
                <w:szCs w:val="18"/>
                <w:color w:val="auto"/>
                <w:w w:val="89"/>
              </w:rPr>
              <w:t>15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80"/>
              <w:spacing w:after="0" w:line="202" w:lineRule="exact"/>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380"/>
              <w:spacing w:after="0" w:line="196" w:lineRule="exact"/>
              <w:rPr>
                <w:sz w:val="20"/>
                <w:szCs w:val="20"/>
                <w:color w:val="auto"/>
              </w:rPr>
            </w:pPr>
            <w:r>
              <w:rPr>
                <w:rFonts w:ascii="Arial" w:cs="Arial" w:eastAsia="Arial" w:hAnsi="Arial"/>
                <w:sz w:val="18"/>
                <w:szCs w:val="18"/>
                <w:color w:val="auto"/>
              </w:rPr>
              <w:t>Net periodic benefit cost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(3,423 )</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(146 )</w:t>
            </w: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Pr>
          <w:p>
            <w:pPr>
              <w:ind w:left="640"/>
              <w:spacing w:after="0" w:line="196" w:lineRule="exact"/>
              <w:rPr>
                <w:sz w:val="20"/>
                <w:szCs w:val="20"/>
                <w:color w:val="auto"/>
              </w:rPr>
            </w:pPr>
            <w:r>
              <w:rPr>
                <w:rFonts w:ascii="Arial" w:cs="Arial" w:eastAsia="Arial" w:hAnsi="Arial"/>
                <w:sz w:val="18"/>
                <w:szCs w:val="18"/>
                <w:color w:val="auto"/>
                <w:w w:val="89"/>
              </w:rPr>
              <w:t>30</w:t>
            </w:r>
          </w:p>
        </w:tc>
        <w:tc>
          <w:tcPr>
            <w:tcW w:w="6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ind w:left="880"/>
              <w:spacing w:after="0" w:line="196" w:lineRule="exact"/>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-159385</wp:posOffset>
            </wp:positionV>
            <wp:extent cx="7747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rPr>
              <w:t>Other Postretirement Benefits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Postretirement Welfare Plan</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56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Three Months Ended June 30,</w:t>
            </w:r>
          </w:p>
        </w:tc>
        <w:tc>
          <w:tcPr>
            <w:tcW w:w="276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Components of net periodic benefit cost:</w:t>
            </w: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actuarial gain</w:t>
            </w:r>
          </w:p>
        </w:tc>
        <w:tc>
          <w:tcPr>
            <w:tcW w:w="9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(99 )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(112 )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(197 )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(225 )</w:t>
            </w:r>
          </w:p>
        </w:tc>
      </w:tr>
      <w:tr>
        <w:trPr>
          <w:trHeight w:val="20"/>
        </w:trPr>
        <w:tc>
          <w:tcPr>
            <w:tcW w:w="48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Net periodic benefit cost</w:t>
            </w:r>
          </w:p>
        </w:tc>
        <w:tc>
          <w:tcPr>
            <w:tcW w:w="960" w:type="dxa"/>
            <w:vAlign w:val="bottom"/>
          </w:tcPr>
          <w:p>
            <w:pPr>
              <w:jc w:val="right"/>
              <w:ind w:right="762"/>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(95 )   $</w:t>
            </w:r>
          </w:p>
        </w:tc>
        <w:tc>
          <w:tcPr>
            <w:tcW w:w="162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(108 )  $</w:t>
            </w:r>
          </w:p>
        </w:tc>
        <w:tc>
          <w:tcPr>
            <w:tcW w:w="164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(189 )  $</w:t>
            </w:r>
          </w:p>
        </w:tc>
        <w:tc>
          <w:tcPr>
            <w:tcW w:w="1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(217 )</w:t>
            </w:r>
          </w:p>
        </w:tc>
      </w:tr>
      <w:tr>
        <w:trPr>
          <w:trHeight w:val="20"/>
        </w:trPr>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-159385</wp:posOffset>
            </wp:positionV>
            <wp:extent cx="7747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Other Comprehensive Income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changes in other comprehensive income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80" w:type="dxa"/>
            <w:vAlign w:val="bottom"/>
            <w:gridSpan w:val="2"/>
          </w:tcPr>
          <w:p>
            <w:pPr>
              <w:jc w:val="center"/>
              <w:ind w:right="310"/>
              <w:spacing w:after="0" w:line="133" w:lineRule="exact"/>
              <w:rPr>
                <w:sz w:val="20"/>
                <w:szCs w:val="20"/>
                <w:color w:val="auto"/>
              </w:rPr>
            </w:pPr>
            <w:r>
              <w:rPr>
                <w:rFonts w:ascii="Arial" w:cs="Arial" w:eastAsia="Arial" w:hAnsi="Arial"/>
                <w:sz w:val="14"/>
                <w:szCs w:val="14"/>
                <w:b w:val="1"/>
                <w:bCs w:val="1"/>
                <w:color w:val="auto"/>
                <w:w w:val="90"/>
              </w:rPr>
              <w:t>Income Tax</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Net Amount</w:t>
            </w:r>
          </w:p>
        </w:tc>
        <w:tc>
          <w:tcPr>
            <w:tcW w:w="180" w:type="dxa"/>
            <w:vAlign w:val="bottom"/>
          </w:tcPr>
          <w:p>
            <w:pPr>
              <w:spacing w:after="0"/>
              <w:rPr>
                <w:sz w:val="11"/>
                <w:szCs w:val="11"/>
                <w:color w:val="auto"/>
              </w:rPr>
            </w:pPr>
          </w:p>
        </w:tc>
        <w:tc>
          <w:tcPr>
            <w:tcW w:w="10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40" w:type="dxa"/>
            <w:vAlign w:val="bottom"/>
            <w:gridSpan w:val="2"/>
          </w:tcPr>
          <w:p>
            <w:pPr>
              <w:jc w:val="center"/>
              <w:ind w:right="301"/>
              <w:spacing w:after="0" w:line="133" w:lineRule="exact"/>
              <w:rPr>
                <w:sz w:val="20"/>
                <w:szCs w:val="20"/>
                <w:color w:val="auto"/>
              </w:rPr>
            </w:pPr>
            <w:r>
              <w:rPr>
                <w:rFonts w:ascii="Arial" w:cs="Arial" w:eastAsia="Arial" w:hAnsi="Arial"/>
                <w:sz w:val="14"/>
                <w:szCs w:val="14"/>
                <w:b w:val="1"/>
                <w:bCs w:val="1"/>
                <w:color w:val="auto"/>
                <w:w w:val="93"/>
              </w:rPr>
              <w:t>Income Tax</w:t>
            </w:r>
          </w:p>
        </w:tc>
        <w:tc>
          <w:tcPr>
            <w:tcW w:w="200" w:type="dxa"/>
            <w:vAlign w:val="bottom"/>
          </w:tcPr>
          <w:p>
            <w:pPr>
              <w:spacing w:after="0"/>
              <w:rPr>
                <w:sz w:val="11"/>
                <w:szCs w:val="11"/>
                <w:color w:val="auto"/>
              </w:rPr>
            </w:pPr>
          </w:p>
        </w:tc>
        <w:tc>
          <w:tcPr>
            <w:tcW w:w="92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0"/>
              </w:rPr>
              <w:t>Provision</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Pension and postretirement benefits (a):</w:t>
            </w: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net actuarial loss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(174 )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Actuarial gains</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(1,371 )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(1,035 )</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(611 )</w:t>
            </w:r>
          </w:p>
        </w:tc>
        <w:tc>
          <w:tcPr>
            <w:tcW w:w="120" w:type="dxa"/>
            <w:vAlign w:val="bottom"/>
          </w:tcPr>
          <w:p>
            <w:pPr>
              <w:spacing w:after="0"/>
              <w:rPr>
                <w:sz w:val="17"/>
                <w:szCs w:val="17"/>
                <w:color w:val="auto"/>
              </w:rPr>
            </w:pP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(611 )</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(86 )</w:t>
            </w:r>
          </w:p>
        </w:tc>
        <w:tc>
          <w:tcPr>
            <w:tcW w:w="120" w:type="dxa"/>
            <w:vAlign w:val="bottom"/>
          </w:tcPr>
          <w:p>
            <w:pPr>
              <w:spacing w:after="0"/>
              <w:rPr>
                <w:sz w:val="17"/>
                <w:szCs w:val="17"/>
                <w:color w:val="auto"/>
              </w:rPr>
            </w:pPr>
          </w:p>
        </w:tc>
        <w:tc>
          <w:tcPr>
            <w:tcW w:w="11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3,520</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4,730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80" w:type="dxa"/>
            <w:vAlign w:val="bottom"/>
            <w:gridSpan w:val="2"/>
          </w:tcPr>
          <w:p>
            <w:pPr>
              <w:jc w:val="center"/>
              <w:ind w:right="310"/>
              <w:spacing w:after="0" w:line="133" w:lineRule="exact"/>
              <w:rPr>
                <w:sz w:val="20"/>
                <w:szCs w:val="20"/>
                <w:color w:val="auto"/>
              </w:rPr>
            </w:pPr>
            <w:r>
              <w:rPr>
                <w:rFonts w:ascii="Arial" w:cs="Arial" w:eastAsia="Arial" w:hAnsi="Arial"/>
                <w:sz w:val="14"/>
                <w:szCs w:val="14"/>
                <w:b w:val="1"/>
                <w:bCs w:val="1"/>
                <w:color w:val="auto"/>
                <w:w w:val="90"/>
              </w:rPr>
              <w:t>Income Tax</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Net Amount</w:t>
            </w:r>
          </w:p>
        </w:tc>
        <w:tc>
          <w:tcPr>
            <w:tcW w:w="180" w:type="dxa"/>
            <w:vAlign w:val="bottom"/>
          </w:tcPr>
          <w:p>
            <w:pPr>
              <w:spacing w:after="0"/>
              <w:rPr>
                <w:sz w:val="11"/>
                <w:szCs w:val="11"/>
                <w:color w:val="auto"/>
              </w:rPr>
            </w:pPr>
          </w:p>
        </w:tc>
        <w:tc>
          <w:tcPr>
            <w:tcW w:w="10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40" w:type="dxa"/>
            <w:vAlign w:val="bottom"/>
            <w:gridSpan w:val="2"/>
          </w:tcPr>
          <w:p>
            <w:pPr>
              <w:jc w:val="center"/>
              <w:ind w:right="301"/>
              <w:spacing w:after="0" w:line="133" w:lineRule="exact"/>
              <w:rPr>
                <w:sz w:val="20"/>
                <w:szCs w:val="20"/>
                <w:color w:val="auto"/>
              </w:rPr>
            </w:pPr>
            <w:r>
              <w:rPr>
                <w:rFonts w:ascii="Arial" w:cs="Arial" w:eastAsia="Arial" w:hAnsi="Arial"/>
                <w:sz w:val="14"/>
                <w:szCs w:val="14"/>
                <w:b w:val="1"/>
                <w:bCs w:val="1"/>
                <w:color w:val="auto"/>
                <w:w w:val="93"/>
              </w:rPr>
              <w:t>Income Tax</w:t>
            </w:r>
          </w:p>
        </w:tc>
        <w:tc>
          <w:tcPr>
            <w:tcW w:w="200" w:type="dxa"/>
            <w:vAlign w:val="bottom"/>
          </w:tcPr>
          <w:p>
            <w:pPr>
              <w:spacing w:after="0"/>
              <w:rPr>
                <w:sz w:val="11"/>
                <w:szCs w:val="11"/>
                <w:color w:val="auto"/>
              </w:rPr>
            </w:pPr>
          </w:p>
        </w:tc>
        <w:tc>
          <w:tcPr>
            <w:tcW w:w="92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0"/>
              </w:rPr>
              <w:t>Provision</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Pension and postretirement benefits (a):</w:t>
            </w: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net actuarial loss</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1,683</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(424 )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Actuarial gains</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(1,371 )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(1,035 )</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(135 )</w:t>
            </w:r>
          </w:p>
        </w:tc>
        <w:tc>
          <w:tcPr>
            <w:tcW w:w="120" w:type="dxa"/>
            <w:vAlign w:val="bottom"/>
          </w:tcPr>
          <w:p>
            <w:pPr>
              <w:spacing w:after="0"/>
              <w:rPr>
                <w:sz w:val="17"/>
                <w:szCs w:val="17"/>
                <w:color w:val="auto"/>
              </w:rPr>
            </w:pP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(135 )</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(583 )</w:t>
            </w:r>
          </w:p>
        </w:tc>
        <w:tc>
          <w:tcPr>
            <w:tcW w:w="120" w:type="dxa"/>
            <w:vAlign w:val="bottom"/>
          </w:tcPr>
          <w:p>
            <w:pPr>
              <w:spacing w:after="0"/>
              <w:rPr>
                <w:sz w:val="17"/>
                <w:szCs w:val="17"/>
                <w:color w:val="auto"/>
              </w:rPr>
            </w:pPr>
          </w:p>
        </w:tc>
        <w:tc>
          <w:tcPr>
            <w:tcW w:w="114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4,009</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5,228</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-1285240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-1268095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-1285240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-1268095</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-1285240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-1268095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-1285240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-1268095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-1268095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5540" w:right="3640" w:hanging="4963"/>
        <w:spacing w:after="0" w:line="449" w:lineRule="auto"/>
        <w:tabs>
          <w:tab w:leader="none" w:pos="10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Actuarial gains are amortized into other income (expense). (See Note 11, Retirement Plans)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4" w:name="page15"/>
    <w:bookmarkEnd w:id="14"/>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Contingencies and Commitments</w:t>
      </w:r>
    </w:p>
    <w:p>
      <w:pPr>
        <w:spacing w:after="0" w:line="189"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6"/>
          <w:szCs w:val="16"/>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27"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47" w:lineRule="exact"/>
        <w:rPr>
          <w:sz w:val="20"/>
          <w:szCs w:val="20"/>
          <w:color w:val="auto"/>
        </w:rPr>
      </w:pPr>
    </w:p>
    <w:p>
      <w:pPr>
        <w:jc w:val="both"/>
        <w:ind w:firstLine="562"/>
        <w:spacing w:after="0" w:line="241"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$20.2 million at June 30, 2022, including $12.1 million in letters of credit and $8.1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562"/>
        <w:spacing w:after="0" w:line="205" w:lineRule="exact"/>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697,964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559,624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1,308,746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1,056,474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Net earnings attributable to Kirby</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28,457</w:t>
            </w:r>
          </w:p>
        </w:tc>
        <w:tc>
          <w:tcPr>
            <w:tcW w:w="6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10,190</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45,891</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Net earnings per share attributable to Kirby common</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6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58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58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 diluted</w:t>
            </w:r>
          </w:p>
        </w:tc>
        <w:tc>
          <w:tcPr>
            <w:tcW w:w="3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95,644</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197,818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79,059</w:t>
            </w:r>
          </w:p>
        </w:tc>
        <w:tc>
          <w:tcPr>
            <w:tcW w:w="5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2022 second quarter included $1.5 million before taxes, $1.3 million after taxes, or $0.02 per share of severance expense.</w:t>
      </w:r>
    </w:p>
    <w:p>
      <w:pPr>
        <w:spacing w:after="0" w:line="171" w:lineRule="exact"/>
        <w:rPr>
          <w:sz w:val="20"/>
          <w:szCs w:val="20"/>
          <w:color w:val="auto"/>
        </w:rPr>
      </w:pPr>
    </w:p>
    <w:p>
      <w:pPr>
        <w:jc w:val="both"/>
        <w:ind w:firstLine="569"/>
        <w:spacing w:after="0" w:line="243" w:lineRule="auto"/>
        <w:rPr>
          <w:sz w:val="20"/>
          <w:szCs w:val="20"/>
          <w:color w:val="auto"/>
        </w:rPr>
      </w:pPr>
      <w:r>
        <w:rPr>
          <w:rFonts w:ascii="Arial" w:cs="Arial" w:eastAsia="Arial" w:hAnsi="Arial"/>
          <w:sz w:val="18"/>
          <w:szCs w:val="18"/>
          <w:color w:val="auto"/>
        </w:rPr>
        <w:t>Cash provided by operating activities for the 2022 first six months decreased primarily due to the receipt of a tax refund of $119.5 million, including accrued interest, for the Company’s 2019 federal tax return during the 2021 first quarter. For the 2022 first six months, capital expenditures of $79.1 million included $66.3 million in KMT and $12.8 million in KDS and corporate, more fully described under cash flow and capital expenditures below.</w:t>
      </w:r>
    </w:p>
    <w:p>
      <w:pPr>
        <w:spacing w:after="0" w:line="147"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The Company projects that capital expenditures for 2022 will be in the $170 million to $190 million range. The 2022 construction program will consist of approximately $5 million for the construction of new inland towboats, $145 million to $155 million primarily for maintenance capital and improvements to existing marine equipment and facilities, and $20 million to $30 million for new machinery and equipment, facilities improvements, and information technology projects in KDS and corporate.</w:t>
      </w:r>
    </w:p>
    <w:p>
      <w:pPr>
        <w:spacing w:after="0" w:line="161"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The Company’s debt-to-capitalization ratio decreased to 27.9% at June 30, 2022 from 28.7% at December 31, 2021, primarily due to repayments under the 2024 Term Loan in the 2022 first six months, and an increase in total equity, primarily due to the net earnings attributable to Kirby of $45.9 million, partially offset by treasury stock purchases of $18.1 million. The Company’s debt outstanding as of June 30, 2022 and December 31, 2021 is detailed in Long-Term Financing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Marine Transportation</w:t>
      </w:r>
    </w:p>
    <w:p>
      <w:pPr>
        <w:spacing w:after="0" w:line="189"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6"/>
          <w:szCs w:val="16"/>
          <w:color w:val="auto"/>
        </w:rPr>
        <w:t>For both the 2022 second quarter and first six months, KMT generated 58%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203"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tank barges:</w:t>
            </w:r>
          </w:p>
        </w:tc>
        <w:tc>
          <w:tcPr>
            <w:tcW w:w="8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990</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1,002</w:t>
            </w:r>
          </w:p>
        </w:tc>
        <w:tc>
          <w:tcPr>
            <w:tcW w:w="100" w:type="dxa"/>
            <w:vAlign w:val="bottom"/>
          </w:tcPr>
          <w:p>
            <w:pPr>
              <w:spacing w:after="0"/>
              <w:rPr>
                <w:sz w:val="17"/>
                <w:szCs w:val="17"/>
                <w:color w:val="auto"/>
              </w:rPr>
            </w:pPr>
          </w:p>
        </w:tc>
      </w:tr>
      <w:tr>
        <w:trPr>
          <w:trHeight w:val="203"/>
        </w:trPr>
        <w:tc>
          <w:tcPr>
            <w:tcW w:w="81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Leased</w:t>
            </w: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0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1,034</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1,046</w:t>
            </w:r>
          </w:p>
        </w:tc>
        <w:tc>
          <w:tcPr>
            <w:tcW w:w="100" w:type="dxa"/>
            <w:vAlign w:val="bottom"/>
          </w:tcPr>
          <w:p>
            <w:pPr>
              <w:spacing w:after="0"/>
              <w:rPr>
                <w:sz w:val="17"/>
                <w:szCs w:val="17"/>
                <w:color w:val="auto"/>
              </w:rPr>
            </w:pP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8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Barrel capacity (in millions)</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5"/>
                <w:szCs w:val="15"/>
                <w:color w:val="auto"/>
              </w:rPr>
            </w:pPr>
          </w:p>
        </w:tc>
      </w:tr>
      <w:tr>
        <w:trPr>
          <w:trHeight w:val="203"/>
        </w:trPr>
        <w:tc>
          <w:tcPr>
            <w:tcW w:w="90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Active inland towboats (quarter average):</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218</w:t>
            </w:r>
          </w:p>
        </w:tc>
        <w:tc>
          <w:tcPr>
            <w:tcW w:w="100" w:type="dxa"/>
            <w:vAlign w:val="bottom"/>
          </w:tcPr>
          <w:p>
            <w:pPr>
              <w:spacing w:after="0"/>
              <w:rPr>
                <w:sz w:val="17"/>
                <w:szCs w:val="17"/>
                <w:color w:val="auto"/>
              </w:rPr>
            </w:pPr>
          </w:p>
        </w:tc>
      </w:tr>
      <w:tr>
        <w:trPr>
          <w:trHeight w:val="203"/>
        </w:trPr>
        <w:tc>
          <w:tcPr>
            <w:tcW w:w="81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Chartered</w:t>
            </w: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2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26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w:t>
            </w:r>
          </w:p>
        </w:tc>
        <w:tc>
          <w:tcPr>
            <w:tcW w:w="100" w:type="dxa"/>
            <w:vAlign w:val="bottom"/>
          </w:tcPr>
          <w:p>
            <w:pPr>
              <w:spacing w:after="0"/>
              <w:rPr>
                <w:sz w:val="17"/>
                <w:szCs w:val="17"/>
                <w:color w:val="auto"/>
              </w:rPr>
            </w:pPr>
          </w:p>
        </w:tc>
      </w:tr>
      <w:tr>
        <w:trPr>
          <w:trHeight w:val="20"/>
        </w:trPr>
        <w:tc>
          <w:tcPr>
            <w:tcW w:w="8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9040" w:type="dxa"/>
            <w:vAlign w:val="bottom"/>
            <w:gridSpan w:val="2"/>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90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Coastal tank barges: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7"/>
                <w:szCs w:val="17"/>
                <w:color w:val="auto"/>
              </w:rPr>
            </w:pPr>
          </w:p>
        </w:tc>
      </w:tr>
      <w:tr>
        <w:trPr>
          <w:trHeight w:val="203"/>
        </w:trPr>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Leased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904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Barrel capacity (in millions)</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3.1</w:t>
            </w:r>
          </w:p>
        </w:tc>
        <w:tc>
          <w:tcPr>
            <w:tcW w:w="16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r>
      <w:tr>
        <w:trPr>
          <w:trHeight w:val="203"/>
        </w:trPr>
        <w:tc>
          <w:tcPr>
            <w:tcW w:w="9040" w:type="dxa"/>
            <w:vAlign w:val="bottom"/>
            <w:gridSpan w:val="2"/>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0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Coastal tugboats: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0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7"/>
                <w:szCs w:val="17"/>
                <w:color w:val="auto"/>
              </w:rPr>
            </w:pPr>
          </w:p>
        </w:tc>
      </w:tr>
      <w:tr>
        <w:trPr>
          <w:trHeight w:val="203"/>
        </w:trPr>
        <w:tc>
          <w:tcPr>
            <w:tcW w:w="9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Chartered</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90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90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Offshore dry-bulk cargo barges (owned)</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-2851785</wp:posOffset>
            </wp:positionV>
            <wp:extent cx="7747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-2851785</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-2045970</wp:posOffset>
            </wp:positionV>
            <wp:extent cx="7747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-1234440</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-1217295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-1234440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-1217295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-428625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-411480</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-428625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3"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37"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During the 2022 first six months, the Company brought back into service seven inland tank barges and leased two tank barges. The net result was an increase of nine inland tank barges and approximately 0.1 million barrels of capacity.</w:t>
      </w:r>
    </w:p>
    <w:p>
      <w:pPr>
        <w:spacing w:after="0" w:line="130"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7"/>
          <w:szCs w:val="17"/>
          <w:color w:val="auto"/>
        </w:rPr>
        <w:t>KMT revenues for the 2022 second quarter and first six months increased 22% and 20%, respectively, and operating income increased 67% and 134%, respectively, compared to the 2021 second quarter and first six months. The increases for the 2022 second quarter and first six months were primarily due to increased tank barge utilization, higher term and spot pricing, and increased fuel rebills in the inland and coastal markets. The 2021 first six months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2022 and 2021 first quarters were impacted by poor operating conditions including seasonal wind and fog along the Gulf Coast, flooding on the Mississippi River, and various lock closures along the Gulf Intracoastal Waterway, in addition to ice on the Illinois River. For both the 2022 second quarter and first six months, the inland tank barge fleet contributed 78% and the coastal fleet contributed 22% of KMT revenues. For the 2021 second quarter and first six months, the inland tank barge fleet contributed 76% and 75%, respectively, and the coastal fleet contributed 24% and 25%, respectively, of KMT revenues.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jc w:val="both"/>
        <w:ind w:firstLine="569"/>
        <w:spacing w:after="0" w:line="279" w:lineRule="auto"/>
        <w:rPr>
          <w:sz w:val="20"/>
          <w:szCs w:val="20"/>
          <w:color w:val="auto"/>
        </w:rPr>
      </w:pPr>
      <w:r>
        <w:rPr>
          <w:rFonts w:ascii="Arial" w:cs="Arial" w:eastAsia="Arial" w:hAnsi="Arial"/>
          <w:sz w:val="16"/>
          <w:szCs w:val="16"/>
          <w:color w:val="auto"/>
        </w:rPr>
        <w:t>Inland tank barge utilization levels averaged in the mid-80% range during the 2022 first quarter and the low 90% range during the 2022 second quarter compared to the mid-70% range during the 2021 first quarter and the low to mid-80% range during the 2021 second quarter. The 2022 first six months reflected increasing activity levels as a result of higher refinery and petrochemical plant utilization while the 2021 first six months was impacted by reduced demand resulting from the effects of the COVID-19 pandemic causing an economic slowdown as well as reduced volumes due to Winter Storm Uri during the 2021 first quarter partially offset by the Colonial Pipeline outage which increased barge transportation activity in the 2021 second quarter.</w:t>
      </w:r>
    </w:p>
    <w:p>
      <w:pPr>
        <w:spacing w:after="0" w:line="132"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Coastal tank barge utilization levels averaged in the low 90% range during both the 2022 first and second quarters compared to the mid-70% range during the 2021 first quarter and the low to mid-70% range during the 2021 second quarter. The increase in coastal tank barge utilization during 2022 was primarily due to the retirement of underutilized barges in the 2021 third quarter and some modest improvements in customer demand.</w:t>
      </w:r>
    </w:p>
    <w:p>
      <w:pPr>
        <w:spacing w:after="0" w:line="10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7"/>
          <w:szCs w:val="17"/>
          <w:color w:val="auto"/>
        </w:rPr>
        <w:t>During both the 2022 second quarter and first six months, approximately 60% of KMT inland revenues were under term contracts and 40% were spot contract revenues. During both the 2021 second quarter and first six months, approximately 65% of KMT inland revenues were under term contracts and 35% were spot contract revenues. Inland time charters during both the 2022 second quarter and first six months represented 57% of the inland revenues under term contracts compared with 57% and 59% in the 2021 second quarter and first six months, respectively. During each of the 2022 and 2021 second quarters and first six months, approximately 80% of the coastal revenues were under term contracts and 20% were spot contract revenues. Coastal time charters represented approximately 90% of coastal revenues under term contracts during both the 2022 second quarter and first six months compared to approximately 85% during both the 2021 second quarter and first six months. Term contracts have contract terms of 12 months or longer, while spot contracts have contract terms of less than 12 months.</w:t>
      </w:r>
    </w:p>
    <w:p>
      <w:pPr>
        <w:spacing w:after="0" w:line="140"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2022 compared to contracts renewed during the corresponding quarter of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0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8180" w:type="dxa"/>
            <w:vAlign w:val="bottom"/>
          </w:tcPr>
          <w:p>
            <w:pPr>
              <w:spacing w:after="0"/>
              <w:rPr>
                <w:sz w:val="14"/>
                <w:szCs w:val="14"/>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8180" w:type="dxa"/>
            <w:vAlign w:val="bottom"/>
          </w:tcPr>
          <w:p>
            <w:pPr>
              <w:jc w:val="center"/>
              <w:ind w:right="6670"/>
              <w:spacing w:after="0" w:line="202" w:lineRule="exact"/>
              <w:rPr>
                <w:sz w:val="20"/>
                <w:szCs w:val="20"/>
                <w:color w:val="auto"/>
              </w:rPr>
            </w:pPr>
            <w:r>
              <w:rPr>
                <w:rFonts w:ascii="Arial" w:cs="Arial" w:eastAsia="Arial" w:hAnsi="Arial"/>
                <w:sz w:val="18"/>
                <w:szCs w:val="18"/>
                <w:color w:val="auto"/>
                <w:w w:val="88"/>
              </w:rPr>
              <w:t>Term increase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 – 9%</w:t>
            </w:r>
          </w:p>
        </w:tc>
        <w:tc>
          <w:tcPr>
            <w:tcW w:w="140" w:type="dxa"/>
            <w:vAlign w:val="bottom"/>
          </w:tcPr>
          <w:p>
            <w:pPr>
              <w:spacing w:after="0"/>
              <w:rPr>
                <w:sz w:val="17"/>
                <w:szCs w:val="17"/>
                <w:color w:val="auto"/>
              </w:rPr>
            </w:pPr>
          </w:p>
        </w:tc>
        <w:tc>
          <w:tcPr>
            <w:tcW w:w="1460" w:type="dxa"/>
            <w:vAlign w:val="bottom"/>
          </w:tcPr>
          <w:p>
            <w:pPr>
              <w:ind w:left="600"/>
              <w:spacing w:after="0" w:line="202" w:lineRule="exact"/>
              <w:rPr>
                <w:sz w:val="20"/>
                <w:szCs w:val="20"/>
                <w:color w:val="auto"/>
              </w:rPr>
            </w:pPr>
            <w:r>
              <w:rPr>
                <w:rFonts w:ascii="Arial" w:cs="Arial" w:eastAsia="Arial" w:hAnsi="Arial"/>
                <w:sz w:val="18"/>
                <w:szCs w:val="18"/>
                <w:color w:val="auto"/>
                <w:w w:val="91"/>
              </w:rPr>
              <w:t>14% – 16%</w:t>
            </w:r>
          </w:p>
        </w:tc>
      </w:tr>
      <w:tr>
        <w:trPr>
          <w:trHeight w:val="203"/>
        </w:trPr>
        <w:tc>
          <w:tcPr>
            <w:tcW w:w="8180" w:type="dxa"/>
            <w:vAlign w:val="bottom"/>
            <w:shd w:val="clear" w:color="auto" w:fill="CFF0FC"/>
          </w:tcPr>
          <w:p>
            <w:pPr>
              <w:jc w:val="center"/>
              <w:ind w:right="6730"/>
              <w:spacing w:after="0" w:line="202" w:lineRule="exact"/>
              <w:rPr>
                <w:sz w:val="20"/>
                <w:szCs w:val="20"/>
                <w:color w:val="auto"/>
              </w:rPr>
            </w:pPr>
            <w:r>
              <w:rPr>
                <w:rFonts w:ascii="Arial" w:cs="Arial" w:eastAsia="Arial" w:hAnsi="Arial"/>
                <w:sz w:val="18"/>
                <w:szCs w:val="18"/>
                <w:color w:val="auto"/>
                <w:w w:val="87"/>
              </w:rPr>
              <w:t>Spot increase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 – 20%</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1"/>
              </w:rPr>
              <w:t>15% – 18%</w:t>
            </w:r>
          </w:p>
        </w:tc>
      </w:tr>
      <w:tr>
        <w:trPr>
          <w:trHeight w:val="203"/>
        </w:trPr>
        <w:tc>
          <w:tcPr>
            <w:tcW w:w="8180" w:type="dxa"/>
            <w:vAlign w:val="bottom"/>
          </w:tcPr>
          <w:p>
            <w:pPr>
              <w:jc w:val="center"/>
              <w:ind w:right="6670"/>
              <w:spacing w:after="0" w:line="202" w:lineRule="exact"/>
              <w:rPr>
                <w:sz w:val="20"/>
                <w:szCs w:val="20"/>
                <w:color w:val="auto"/>
              </w:rPr>
            </w:pPr>
            <w:r>
              <w:rPr>
                <w:rFonts w:ascii="Arial" w:cs="Arial" w:eastAsia="Arial" w:hAnsi="Arial"/>
                <w:sz w:val="18"/>
                <w:szCs w:val="18"/>
                <w:color w:val="auto"/>
                <w:w w:val="90"/>
              </w:rPr>
              <w:t>Coastal market (a):</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8180" w:type="dxa"/>
            <w:vAlign w:val="bottom"/>
            <w:shd w:val="clear" w:color="auto" w:fill="CFF0FC"/>
          </w:tcPr>
          <w:p>
            <w:pPr>
              <w:jc w:val="center"/>
              <w:ind w:right="6670"/>
              <w:spacing w:after="0" w:line="202" w:lineRule="exact"/>
              <w:rPr>
                <w:sz w:val="20"/>
                <w:szCs w:val="20"/>
                <w:color w:val="auto"/>
              </w:rPr>
            </w:pPr>
            <w:r>
              <w:rPr>
                <w:rFonts w:ascii="Arial" w:cs="Arial" w:eastAsia="Arial" w:hAnsi="Arial"/>
                <w:sz w:val="18"/>
                <w:szCs w:val="18"/>
                <w:color w:val="auto"/>
                <w:w w:val="88"/>
              </w:rPr>
              <w:t>Term increase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 6%</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1"/>
              </w:rPr>
              <w:t>10% – 12%</w:t>
            </w:r>
          </w:p>
        </w:tc>
      </w:tr>
      <w:tr>
        <w:trPr>
          <w:trHeight w:val="230"/>
        </w:trPr>
        <w:tc>
          <w:tcPr>
            <w:tcW w:w="8180" w:type="dxa"/>
            <w:vAlign w:val="bottom"/>
          </w:tcPr>
          <w:p>
            <w:pPr>
              <w:jc w:val="center"/>
              <w:ind w:right="6730"/>
              <w:spacing w:after="0"/>
              <w:rPr>
                <w:sz w:val="20"/>
                <w:szCs w:val="20"/>
                <w:color w:val="auto"/>
              </w:rPr>
            </w:pPr>
            <w:r>
              <w:rPr>
                <w:rFonts w:ascii="Arial" w:cs="Arial" w:eastAsia="Arial" w:hAnsi="Arial"/>
                <w:sz w:val="18"/>
                <w:szCs w:val="18"/>
                <w:color w:val="auto"/>
                <w:w w:val="87"/>
              </w:rPr>
              <w:t>Spot increase</w:t>
            </w:r>
          </w:p>
        </w:tc>
        <w:tc>
          <w:tcPr>
            <w:tcW w:w="1460" w:type="dxa"/>
            <w:vAlign w:val="bottom"/>
          </w:tcPr>
          <w:p>
            <w:pPr>
              <w:jc w:val="right"/>
              <w:spacing w:after="0"/>
              <w:rPr>
                <w:sz w:val="20"/>
                <w:szCs w:val="20"/>
                <w:color w:val="auto"/>
              </w:rPr>
            </w:pPr>
            <w:r>
              <w:rPr>
                <w:rFonts w:ascii="Arial" w:cs="Arial" w:eastAsia="Arial" w:hAnsi="Arial"/>
                <w:sz w:val="18"/>
                <w:szCs w:val="18"/>
                <w:color w:val="auto"/>
              </w:rPr>
              <w:t>4% – 6%</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Arial" w:cs="Arial" w:eastAsia="Arial" w:hAnsi="Arial"/>
                <w:sz w:val="18"/>
                <w:szCs w:val="18"/>
                <w:color w:val="auto"/>
                <w:w w:val="91"/>
              </w:rPr>
              <w:t>10% – 12%</w:t>
            </w:r>
          </w:p>
        </w:tc>
      </w:tr>
    </w:tbl>
    <w:p>
      <w:pPr>
        <w:spacing w:after="0" w:line="147" w:lineRule="exact"/>
        <w:rPr>
          <w:sz w:val="20"/>
          <w:szCs w:val="20"/>
          <w:color w:val="auto"/>
        </w:rPr>
      </w:pPr>
    </w:p>
    <w:p>
      <w:pPr>
        <w:jc w:val="both"/>
        <w:ind w:left="940" w:hanging="370"/>
        <w:spacing w:after="0" w:line="24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 Contract pricing in the coastal marine market continued to be impacted by the oversupply of tank barges in the coastal industry in 2022 and 2021.</w:t>
      </w:r>
    </w:p>
    <w:p>
      <w:pPr>
        <w:spacing w:after="0" w:line="141"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30"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KMT operating margin was 7.6% and 6.3% for the 2022 second quarter and first six months, respectively, compared to 5.6% and 3.2% for the 2021 second quarter and first six months,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75"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5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For both the 2022 second quarter and first six months, KDS generated 42% of the Company’s revenues, of which 82% and 85%, respectively, were generated from service and parts and 18% and 15%, respectively, from manufacturing. The results of KDS are largely influenced by the economic cycles of the oil and gas, marine, power generation, on-highway, and other related industrial markets.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jc w:val="both"/>
        <w:ind w:right="60" w:firstLine="569"/>
        <w:spacing w:after="0" w:line="255" w:lineRule="auto"/>
        <w:rPr>
          <w:sz w:val="20"/>
          <w:szCs w:val="20"/>
          <w:color w:val="auto"/>
        </w:rPr>
      </w:pPr>
      <w:r>
        <w:rPr>
          <w:rFonts w:ascii="Arial" w:cs="Arial" w:eastAsia="Arial" w:hAnsi="Arial"/>
          <w:sz w:val="17"/>
          <w:szCs w:val="17"/>
          <w:color w:val="auto"/>
        </w:rPr>
        <w:t>KDS revenues for the 2022 second quarter and first six months increased 29% and 30%, respectively, and operating income increased 172% and 206%, respectively, compared with the 2021 second quarter and first six months. In the commercial and industrial market, the increases for the 2022 second quarter and first six months were primarily attributable to strong economic activity across the United States which resulted in higher business levels in the marine and on-highway businesses. Increased product sales in Thermo King also contributed favorably to the 2022 second quarter and first six months results. These increases were partially offset by continuing supply chain constraints and delays. The 2021 first six months was impacted by Winter Storm Uri which caused reduced activity, especially in the Southern United States, in the commercial and industrial market. For the 2022 second quarter and first six months, the commercial and industrial market contributed 55% and 56%, respectively, of KDS revenues.</w:t>
      </w:r>
    </w:p>
    <w:p>
      <w:pPr>
        <w:spacing w:after="0" w:line="153" w:lineRule="exact"/>
        <w:rPr>
          <w:sz w:val="20"/>
          <w:szCs w:val="20"/>
          <w:color w:val="auto"/>
        </w:rPr>
      </w:pPr>
    </w:p>
    <w:p>
      <w:pPr>
        <w:jc w:val="both"/>
        <w:ind w:right="60" w:firstLine="569"/>
        <w:spacing w:after="0" w:line="241" w:lineRule="auto"/>
        <w:rPr>
          <w:sz w:val="20"/>
          <w:szCs w:val="20"/>
          <w:color w:val="auto"/>
        </w:rPr>
      </w:pPr>
      <w:r>
        <w:rPr>
          <w:rFonts w:ascii="Arial" w:cs="Arial" w:eastAsia="Arial" w:hAnsi="Arial"/>
          <w:sz w:val="18"/>
          <w:szCs w:val="18"/>
          <w:color w:val="auto"/>
        </w:rPr>
        <w:t>In the oil and gas market, revenues and operating income improved compared to the 2021 second quarter and first six months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second quarter and first six months, the oil and gas market contributed 45% and 44%, respectively, of KDS revenues.</w:t>
      </w:r>
    </w:p>
    <w:p>
      <w:pPr>
        <w:spacing w:after="0" w:line="149" w:lineRule="exact"/>
        <w:rPr>
          <w:sz w:val="20"/>
          <w:szCs w:val="20"/>
          <w:color w:val="auto"/>
        </w:rPr>
      </w:pPr>
    </w:p>
    <w:p>
      <w:pPr>
        <w:jc w:val="both"/>
        <w:ind w:right="60" w:firstLine="562"/>
        <w:spacing w:after="0" w:line="261" w:lineRule="auto"/>
        <w:rPr>
          <w:sz w:val="20"/>
          <w:szCs w:val="20"/>
          <w:color w:val="auto"/>
        </w:rPr>
      </w:pPr>
      <w:r>
        <w:rPr>
          <w:rFonts w:ascii="Arial" w:cs="Arial" w:eastAsia="Arial" w:hAnsi="Arial"/>
          <w:sz w:val="18"/>
          <w:szCs w:val="18"/>
          <w:color w:val="auto"/>
        </w:rPr>
        <w:t>KDS operating margin was 5.7% and 5.1% for the 2022 second quarter and first six months, respectively, compared to 2.7% and 2.1% for the 2021 second quarter and first six months,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9" w:lineRule="exact"/>
        <w:rPr>
          <w:sz w:val="20"/>
          <w:szCs w:val="20"/>
          <w:color w:val="auto"/>
        </w:rPr>
      </w:pPr>
    </w:p>
    <w:p>
      <w:pPr>
        <w:jc w:val="both"/>
        <w:ind w:right="60" w:firstLine="562"/>
        <w:spacing w:after="0" w:line="270" w:lineRule="auto"/>
        <w:rPr>
          <w:sz w:val="20"/>
          <w:szCs w:val="20"/>
          <w:color w:val="auto"/>
        </w:rPr>
      </w:pPr>
      <w:r>
        <w:rPr>
          <w:rFonts w:ascii="Arial" w:cs="Arial" w:eastAsia="Arial" w:hAnsi="Arial"/>
          <w:sz w:val="17"/>
          <w:szCs w:val="17"/>
          <w:color w:val="auto"/>
        </w:rPr>
        <w:t>Refinery and petrochemical utilization levels are near historic highs. This is favorable for the Company's barge utilization which is strong in both inland and coastal markets with steadily increasing rates. In KDS, despite persistent supply chain constraints and delays, demand for the Company's products and services continues to grow. Overall, the Company expects both KMT and KDS to deliver improved financial results in 2022.</w:t>
      </w:r>
    </w:p>
    <w:p>
      <w:pPr>
        <w:spacing w:after="0" w:line="123" w:lineRule="exact"/>
        <w:rPr>
          <w:sz w:val="20"/>
          <w:szCs w:val="20"/>
          <w:color w:val="auto"/>
        </w:rPr>
      </w:pPr>
    </w:p>
    <w:p>
      <w:pPr>
        <w:jc w:val="both"/>
        <w:ind w:right="60" w:firstLine="569"/>
        <w:spacing w:after="0" w:line="279" w:lineRule="auto"/>
        <w:rPr>
          <w:sz w:val="20"/>
          <w:szCs w:val="20"/>
          <w:color w:val="auto"/>
        </w:rPr>
      </w:pPr>
      <w:r>
        <w:rPr>
          <w:rFonts w:ascii="Arial" w:cs="Arial" w:eastAsia="Arial" w:hAnsi="Arial"/>
          <w:sz w:val="16"/>
          <w:szCs w:val="16"/>
          <w:color w:val="auto"/>
        </w:rPr>
        <w:t>The inland marine transportation market, revenues and operating income are expected to continue to improve, driven by increased barge utilization, improvements in the spot market, and renewals of expiring term contracts at higher rates. The impacts of rising costs from inflationary pressures, including significantly higher fuel prices, are expected to be recovered as term contracts renew and contract escalators reprice over the coming quarters and into 2023. In coastal marine, modest improvements in demand and pricing are anticipated in 2022, but revenues and operating income are expected to be impacted by planned shipyard maintenance and ballast water treatment installations on certain vessels for the duration of the year.</w:t>
      </w:r>
    </w:p>
    <w:p>
      <w:pPr>
        <w:spacing w:after="0" w:line="119" w:lineRule="exact"/>
        <w:rPr>
          <w:sz w:val="20"/>
          <w:szCs w:val="20"/>
          <w:color w:val="auto"/>
        </w:rPr>
      </w:pPr>
    </w:p>
    <w:p>
      <w:pPr>
        <w:jc w:val="both"/>
        <w:ind w:right="60" w:firstLine="562"/>
        <w:spacing w:after="0" w:line="257" w:lineRule="auto"/>
        <w:rPr>
          <w:sz w:val="20"/>
          <w:szCs w:val="20"/>
          <w:color w:val="auto"/>
        </w:rPr>
      </w:pPr>
      <w:r>
        <w:rPr>
          <w:rFonts w:ascii="Arial" w:cs="Arial" w:eastAsia="Arial" w:hAnsi="Arial"/>
          <w:sz w:val="17"/>
          <w:szCs w:val="17"/>
          <w:color w:val="auto"/>
        </w:rPr>
        <w:t>KDS results are largely influenced by the cycles of the oil and gas, marine, power generation, on-highway and other related industrial markets. In the oil and gas market, high commodity prices, increasing rig counts, and growing well completions activity are expected to result in increased demand for original equipment manufacturer products, parts, and services as well as for new environmentally friendly pressure pumping equipment and power generation equipment for electric fracturing. In commercial and industrial, favorable economic activity is expected to result in increased demand in power generation, marine repair, and on-highway. Overall, despite ongoing supply chain issues and long lead times, favorable oilfield fundamentals and increased demand in commercial and industrial are expected to result in improved financial results in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right="60" w:firstLine="569"/>
        <w:spacing w:after="0" w:line="248" w:lineRule="auto"/>
        <w:rPr>
          <w:sz w:val="20"/>
          <w:szCs w:val="20"/>
          <w:color w:val="auto"/>
        </w:rPr>
      </w:pPr>
      <w:r>
        <w:rPr>
          <w:rFonts w:ascii="Arial" w:cs="Arial" w:eastAsia="Arial" w:hAnsi="Arial"/>
          <w:sz w:val="18"/>
          <w:szCs w:val="18"/>
          <w:color w:val="auto"/>
        </w:rPr>
        <w:t>On March 31, 2022, the Company paid $3.9 million in cash to purchase assets of a gearbox repair company in KDS. During the six months ended June 30, 2021, the Company purchased four inland tank barges from a leasing company for $7.5 million in cash. The Company had been leasing the barges prior to the purchase. Financing of the purchases was through cash provided by operating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Company’s KMT and KDS revenues and the percentage of each to total revenues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20" w:type="dxa"/>
            <w:vAlign w:val="bottom"/>
            <w:vMerge w:val="restart"/>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20" w:type="dxa"/>
            <w:vAlign w:val="bottom"/>
            <w:vMerge w:val="continue"/>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405,655</w:t>
            </w:r>
          </w:p>
        </w:tc>
        <w:tc>
          <w:tcPr>
            <w:tcW w:w="138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58 %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332,887</w:t>
            </w: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color w:val="auto"/>
              </w:rPr>
              <w:t>59 %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761,191</w:t>
            </w:r>
          </w:p>
        </w:tc>
        <w:tc>
          <w:tcPr>
            <w:tcW w:w="1700" w:type="dxa"/>
            <w:vAlign w:val="bottom"/>
            <w:gridSpan w:val="4"/>
            <w:vMerge w:val="restart"/>
          </w:tcPr>
          <w:p>
            <w:pPr>
              <w:jc w:val="right"/>
              <w:spacing w:after="0"/>
              <w:rPr>
                <w:sz w:val="20"/>
                <w:szCs w:val="20"/>
                <w:color w:val="auto"/>
              </w:rPr>
            </w:pPr>
            <w:r>
              <w:rPr>
                <w:rFonts w:ascii="Arial" w:cs="Arial" w:eastAsia="Arial" w:hAnsi="Arial"/>
                <w:sz w:val="18"/>
                <w:szCs w:val="18"/>
                <w:color w:val="auto"/>
              </w:rPr>
              <w:t>58 %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633,838</w:t>
            </w:r>
          </w:p>
        </w:tc>
        <w:tc>
          <w:tcPr>
            <w:tcW w:w="1460" w:type="dxa"/>
            <w:vAlign w:val="bottom"/>
            <w:gridSpan w:val="4"/>
            <w:vMerge w:val="restart"/>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0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Arial" w:cs="Arial" w:eastAsia="Arial" w:hAnsi="Arial"/>
                <w:sz w:val="18"/>
                <w:szCs w:val="18"/>
                <w:color w:val="auto"/>
              </w:rPr>
              <w:t>Distribution and</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292,309</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226,737</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547,555</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422,636</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line="202" w:lineRule="exact"/>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697,964</w:t>
            </w:r>
          </w:p>
        </w:tc>
        <w:tc>
          <w:tcPr>
            <w:tcW w:w="2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559,624</w:t>
            </w: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1,308,746</w:t>
            </w:r>
          </w:p>
        </w:tc>
        <w:tc>
          <w:tcPr>
            <w:tcW w:w="2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1,056,474</w:t>
            </w:r>
          </w:p>
        </w:tc>
        <w:tc>
          <w:tcPr>
            <w:tcW w:w="2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2"/>
          </w:tcPr>
          <w:p>
            <w:pPr>
              <w:jc w:val="right"/>
              <w:ind w:right="359"/>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2400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Marine Transportation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KMT revenues, costs and expenses, operating income, and operating margin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6"/>
              </w:rPr>
              <w:t>Three Months Ended June 30,</w:t>
            </w: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Marine transportation revenues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405,655</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332,887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761,191</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633,838</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w w:val="97"/>
              </w:rPr>
              <w:t>Costs of sales and operating expenses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294,343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229,959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548,702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444,084</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28,294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28,272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60,630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58,850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7,990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8,677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(8 )</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15,810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15,406</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44,211</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47,501</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(7 )</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88,297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95,080</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374,838</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314,409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713,439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613,420</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82"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30,817</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18,478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67 %</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47,752</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20,418</w:t>
            </w:r>
          </w:p>
        </w:tc>
        <w:tc>
          <w:tcPr>
            <w:tcW w:w="240" w:type="dxa"/>
            <w:vAlign w:val="bottom"/>
          </w:tcPr>
          <w:p>
            <w:pPr>
              <w:spacing w:after="0"/>
              <w:rPr>
                <w:sz w:val="17"/>
                <w:szCs w:val="17"/>
                <w:color w:val="auto"/>
              </w:rPr>
            </w:pPr>
          </w:p>
        </w:tc>
        <w:tc>
          <w:tcPr>
            <w:tcW w:w="11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7.6 %</w:t>
            </w:r>
          </w:p>
        </w:tc>
        <w:tc>
          <w:tcPr>
            <w:tcW w:w="260" w:type="dxa"/>
            <w:vAlign w:val="bottom"/>
          </w:tcPr>
          <w:p>
            <w:pPr>
              <w:spacing w:after="0"/>
              <w:rPr>
                <w:sz w:val="15"/>
                <w:szCs w:val="15"/>
                <w:color w:val="auto"/>
              </w:rPr>
            </w:pPr>
          </w:p>
        </w:tc>
        <w:tc>
          <w:tcPr>
            <w:tcW w:w="110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5.6 %</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6.3 %</w:t>
            </w:r>
          </w:p>
        </w:tc>
        <w:tc>
          <w:tcPr>
            <w:tcW w:w="260" w:type="dxa"/>
            <w:vAlign w:val="bottom"/>
          </w:tcPr>
          <w:p>
            <w:pPr>
              <w:spacing w:after="0"/>
              <w:rPr>
                <w:sz w:val="15"/>
                <w:szCs w:val="15"/>
                <w:color w:val="auto"/>
              </w:rPr>
            </w:pPr>
          </w:p>
        </w:tc>
        <w:tc>
          <w:tcPr>
            <w:tcW w:w="110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3.2 %</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-450850</wp:posOffset>
            </wp:positionV>
            <wp:extent cx="7683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-450850</wp:posOffset>
            </wp:positionV>
            <wp:extent cx="7747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-450850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-450850</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71" w:lineRule="exact"/>
        <w:rPr>
          <w:sz w:val="20"/>
          <w:szCs w:val="20"/>
          <w:color w:val="auto"/>
        </w:rPr>
      </w:pPr>
    </w:p>
    <w:p>
      <w:pPr>
        <w:jc w:val="both"/>
        <w:ind w:right="60" w:firstLine="562"/>
        <w:spacing w:after="0" w:line="261" w:lineRule="auto"/>
        <w:rPr>
          <w:sz w:val="20"/>
          <w:szCs w:val="20"/>
          <w:color w:val="auto"/>
        </w:rPr>
      </w:pPr>
      <w:r>
        <w:rPr>
          <w:rFonts w:ascii="Arial" w:cs="Arial" w:eastAsia="Arial" w:hAnsi="Arial"/>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2022 Second Quarter</w:t>
            </w: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2022 Six Months</w:t>
            </w:r>
          </w:p>
        </w:tc>
        <w:tc>
          <w:tcPr>
            <w:tcW w:w="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364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Products Moved</w:t>
            </w:r>
          </w:p>
        </w:tc>
        <w:tc>
          <w:tcPr>
            <w:tcW w:w="140" w:type="dxa"/>
            <w:vAlign w:val="bottom"/>
          </w:tcPr>
          <w:p>
            <w:pPr>
              <w:spacing w:after="0"/>
              <w:rPr>
                <w:sz w:val="12"/>
                <w:szCs w:val="12"/>
                <w:color w:val="auto"/>
              </w:rPr>
            </w:pPr>
          </w:p>
        </w:tc>
        <w:tc>
          <w:tcPr>
            <w:tcW w:w="23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Drivers</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Serviced</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Petrochemicals</w:t>
            </w: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88"/>
              </w:rPr>
              <w:t>49%</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88"/>
              </w:rPr>
              <w:t>49%</w:t>
            </w:r>
          </w:p>
        </w:tc>
        <w:tc>
          <w:tcPr>
            <w:tcW w:w="160" w:type="dxa"/>
            <w:vAlign w:val="bottom"/>
            <w:shd w:val="clear" w:color="auto" w:fill="CFF0FC"/>
          </w:tcPr>
          <w:p>
            <w:pPr>
              <w:spacing w:after="0"/>
              <w:rPr>
                <w:sz w:val="13"/>
                <w:szCs w:val="13"/>
                <w:color w:val="auto"/>
              </w:rPr>
            </w:pPr>
          </w:p>
        </w:tc>
        <w:tc>
          <w:tcPr>
            <w:tcW w:w="36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Benzene, Styrene, Methanol, Acrylonitrile,</w:t>
            </w:r>
          </w:p>
        </w:tc>
        <w:tc>
          <w:tcPr>
            <w:tcW w:w="140" w:type="dxa"/>
            <w:vAlign w:val="bottom"/>
            <w:shd w:val="clear" w:color="auto" w:fill="CFF0FC"/>
          </w:tcPr>
          <w:p>
            <w:pPr>
              <w:spacing w:after="0"/>
              <w:rPr>
                <w:sz w:val="13"/>
                <w:szCs w:val="13"/>
                <w:color w:val="auto"/>
              </w:rPr>
            </w:pPr>
          </w:p>
        </w:tc>
        <w:tc>
          <w:tcPr>
            <w:tcW w:w="23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Consumer non-durables –</w:t>
            </w:r>
          </w:p>
        </w:tc>
        <w:tc>
          <w:tcPr>
            <w:tcW w:w="0" w:type="dxa"/>
            <w:vAlign w:val="bottom"/>
          </w:tcPr>
          <w:p>
            <w:pPr>
              <w:spacing w:after="0"/>
              <w:rPr>
                <w:sz w:val="1"/>
                <w:szCs w:val="1"/>
                <w:color w:val="auto"/>
              </w:rPr>
            </w:pPr>
          </w:p>
        </w:tc>
      </w:tr>
      <w:tr>
        <w:trPr>
          <w:trHeight w:val="176"/>
        </w:trPr>
        <w:tc>
          <w:tcPr>
            <w:tcW w:w="1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4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Xylene, Naphtha, Caustic Soda, Butadiene,</w:t>
            </w:r>
          </w:p>
        </w:tc>
        <w:tc>
          <w:tcPr>
            <w:tcW w:w="140" w:type="dxa"/>
            <w:vAlign w:val="bottom"/>
            <w:shd w:val="clear" w:color="auto" w:fill="CFF0FC"/>
          </w:tcPr>
          <w:p>
            <w:pPr>
              <w:spacing w:after="0"/>
              <w:rPr>
                <w:sz w:val="15"/>
                <w:szCs w:val="15"/>
                <w:color w:val="auto"/>
              </w:rPr>
            </w:pPr>
          </w:p>
        </w:tc>
        <w:tc>
          <w:tcPr>
            <w:tcW w:w="23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70%, Consumer durables –</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Propylene</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Arial" w:cs="Arial" w:eastAsia="Arial" w:hAnsi="Arial"/>
                <w:sz w:val="18"/>
                <w:szCs w:val="18"/>
                <w:color w:val="auto"/>
              </w:rPr>
              <w:t>Black Oil</w:t>
            </w:r>
          </w:p>
        </w:tc>
        <w:tc>
          <w:tcPr>
            <w:tcW w:w="1580" w:type="dxa"/>
            <w:vAlign w:val="bottom"/>
            <w:gridSpan w:val="2"/>
          </w:tcPr>
          <w:p>
            <w:pPr>
              <w:jc w:val="center"/>
              <w:ind w:left="50"/>
              <w:spacing w:after="0" w:line="162" w:lineRule="exact"/>
              <w:rPr>
                <w:sz w:val="20"/>
                <w:szCs w:val="20"/>
                <w:color w:val="auto"/>
              </w:rPr>
            </w:pPr>
            <w:r>
              <w:rPr>
                <w:rFonts w:ascii="Arial" w:cs="Arial" w:eastAsia="Arial" w:hAnsi="Arial"/>
                <w:sz w:val="18"/>
                <w:szCs w:val="18"/>
                <w:color w:val="auto"/>
                <w:w w:val="88"/>
              </w:rPr>
              <w:t>28%</w:t>
            </w:r>
          </w:p>
        </w:tc>
        <w:tc>
          <w:tcPr>
            <w:tcW w:w="1540" w:type="dxa"/>
            <w:vAlign w:val="bottom"/>
            <w:gridSpan w:val="2"/>
          </w:tcPr>
          <w:p>
            <w:pPr>
              <w:jc w:val="center"/>
              <w:ind w:left="50"/>
              <w:spacing w:after="0" w:line="162" w:lineRule="exact"/>
              <w:rPr>
                <w:sz w:val="20"/>
                <w:szCs w:val="20"/>
                <w:color w:val="auto"/>
              </w:rPr>
            </w:pPr>
            <w:r>
              <w:rPr>
                <w:rFonts w:ascii="Arial" w:cs="Arial" w:eastAsia="Arial" w:hAnsi="Arial"/>
                <w:sz w:val="18"/>
                <w:szCs w:val="18"/>
                <w:color w:val="auto"/>
                <w:w w:val="88"/>
              </w:rPr>
              <w:t>28%</w:t>
            </w:r>
          </w:p>
        </w:tc>
        <w:tc>
          <w:tcPr>
            <w:tcW w:w="160" w:type="dxa"/>
            <w:vAlign w:val="bottom"/>
          </w:tcPr>
          <w:p>
            <w:pPr>
              <w:spacing w:after="0"/>
              <w:rPr>
                <w:sz w:val="14"/>
                <w:szCs w:val="14"/>
                <w:color w:val="auto"/>
              </w:rPr>
            </w:pPr>
          </w:p>
        </w:tc>
        <w:tc>
          <w:tcPr>
            <w:tcW w:w="3640" w:type="dxa"/>
            <w:vAlign w:val="bottom"/>
          </w:tcPr>
          <w:p>
            <w:pPr>
              <w:spacing w:after="0" w:line="162" w:lineRule="exact"/>
              <w:rPr>
                <w:sz w:val="20"/>
                <w:szCs w:val="20"/>
                <w:color w:val="auto"/>
              </w:rPr>
            </w:pPr>
            <w:r>
              <w:rPr>
                <w:rFonts w:ascii="Arial" w:cs="Arial" w:eastAsia="Arial" w:hAnsi="Arial"/>
                <w:sz w:val="18"/>
                <w:szCs w:val="18"/>
                <w:color w:val="auto"/>
                <w:w w:val="91"/>
              </w:rPr>
              <w:t>Residual Fuel Oil, Coker Feedstock, Vacuum Gas</w:t>
            </w:r>
          </w:p>
        </w:tc>
        <w:tc>
          <w:tcPr>
            <w:tcW w:w="140" w:type="dxa"/>
            <w:vAlign w:val="bottom"/>
          </w:tcPr>
          <w:p>
            <w:pPr>
              <w:spacing w:after="0"/>
              <w:rPr>
                <w:sz w:val="14"/>
                <w:szCs w:val="14"/>
                <w:color w:val="auto"/>
              </w:rPr>
            </w:pPr>
          </w:p>
        </w:tc>
        <w:tc>
          <w:tcPr>
            <w:tcW w:w="2300" w:type="dxa"/>
            <w:vAlign w:val="bottom"/>
          </w:tcPr>
          <w:p>
            <w:pPr>
              <w:ind w:left="20"/>
              <w:spacing w:after="0" w:line="162" w:lineRule="exact"/>
              <w:rPr>
                <w:sz w:val="20"/>
                <w:szCs w:val="20"/>
                <w:color w:val="auto"/>
              </w:rPr>
            </w:pPr>
            <w:r>
              <w:rPr>
                <w:rFonts w:ascii="Arial" w:cs="Arial" w:eastAsia="Arial" w:hAnsi="Arial"/>
                <w:sz w:val="18"/>
                <w:szCs w:val="18"/>
                <w:color w:val="auto"/>
              </w:rPr>
              <w:t>Fuel for Power Plants and</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tcPr>
          <w:p>
            <w:pPr>
              <w:spacing w:after="0" w:line="176" w:lineRule="exact"/>
              <w:rPr>
                <w:sz w:val="20"/>
                <w:szCs w:val="20"/>
                <w:color w:val="auto"/>
              </w:rPr>
            </w:pPr>
            <w:r>
              <w:rPr>
                <w:rFonts w:ascii="Arial" w:cs="Arial" w:eastAsia="Arial" w:hAnsi="Arial"/>
                <w:sz w:val="18"/>
                <w:szCs w:val="18"/>
                <w:color w:val="auto"/>
                <w:w w:val="93"/>
              </w:rPr>
              <w:t>Oil, Asphalt, Carbon Black Feedstock, Crude Oil,</w:t>
            </w:r>
          </w:p>
        </w:tc>
        <w:tc>
          <w:tcPr>
            <w:tcW w:w="140" w:type="dxa"/>
            <w:vAlign w:val="bottom"/>
          </w:tcPr>
          <w:p>
            <w:pPr>
              <w:spacing w:after="0"/>
              <w:rPr>
                <w:sz w:val="15"/>
                <w:szCs w:val="15"/>
                <w:color w:val="auto"/>
              </w:rPr>
            </w:pPr>
          </w:p>
        </w:tc>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Ships, Feedstock for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Natural Gas Condensate, Ship Bunkers</w:t>
            </w:r>
          </w:p>
        </w:tc>
        <w:tc>
          <w:tcPr>
            <w:tcW w:w="14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4"/>
              </w:rPr>
              <w:t>Refineries, Road Construction</w:t>
            </w: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Refined Petroleum</w:t>
            </w:r>
          </w:p>
        </w:tc>
        <w:tc>
          <w:tcPr>
            <w:tcW w:w="1580" w:type="dxa"/>
            <w:vAlign w:val="bottom"/>
            <w:gridSpan w:val="2"/>
            <w:shd w:val="clear" w:color="auto" w:fill="CFF0FC"/>
          </w:tcPr>
          <w:p>
            <w:pPr>
              <w:jc w:val="center"/>
              <w:ind w:left="50"/>
              <w:spacing w:after="0" w:line="162" w:lineRule="exact"/>
              <w:rPr>
                <w:sz w:val="20"/>
                <w:szCs w:val="20"/>
                <w:color w:val="auto"/>
              </w:rPr>
            </w:pPr>
            <w:r>
              <w:rPr>
                <w:rFonts w:ascii="Arial" w:cs="Arial" w:eastAsia="Arial" w:hAnsi="Arial"/>
                <w:sz w:val="18"/>
                <w:szCs w:val="18"/>
                <w:color w:val="auto"/>
                <w:w w:val="88"/>
              </w:rPr>
              <w:t>20%</w:t>
            </w:r>
          </w:p>
        </w:tc>
        <w:tc>
          <w:tcPr>
            <w:tcW w:w="1540" w:type="dxa"/>
            <w:vAlign w:val="bottom"/>
            <w:gridSpan w:val="2"/>
            <w:shd w:val="clear" w:color="auto" w:fill="CFF0FC"/>
          </w:tcPr>
          <w:p>
            <w:pPr>
              <w:jc w:val="center"/>
              <w:ind w:left="50"/>
              <w:spacing w:after="0" w:line="162" w:lineRule="exact"/>
              <w:rPr>
                <w:sz w:val="20"/>
                <w:szCs w:val="20"/>
                <w:color w:val="auto"/>
              </w:rPr>
            </w:pPr>
            <w:r>
              <w:rPr>
                <w:rFonts w:ascii="Arial" w:cs="Arial" w:eastAsia="Arial" w:hAnsi="Arial"/>
                <w:sz w:val="18"/>
                <w:szCs w:val="18"/>
                <w:color w:val="auto"/>
                <w:w w:val="88"/>
              </w:rPr>
              <w:t>20%</w:t>
            </w:r>
          </w:p>
        </w:tc>
        <w:tc>
          <w:tcPr>
            <w:tcW w:w="16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4"/>
              </w:rPr>
              <w:t>Gasoline, No. 2 Oil, Jet Fuel, Heating Oil, Diesel</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Vehicle Usage, Air Travel,</w:t>
            </w:r>
          </w:p>
        </w:tc>
        <w:tc>
          <w:tcPr>
            <w:tcW w:w="0" w:type="dxa"/>
            <w:vAlign w:val="bottom"/>
          </w:tcPr>
          <w:p>
            <w:pPr>
              <w:spacing w:after="0"/>
              <w:rPr>
                <w:sz w:val="1"/>
                <w:szCs w:val="1"/>
                <w:color w:val="auto"/>
              </w:rPr>
            </w:pPr>
          </w:p>
        </w:tc>
      </w:tr>
      <w:tr>
        <w:trPr>
          <w:trHeight w:val="176"/>
        </w:trPr>
        <w:tc>
          <w:tcPr>
            <w:tcW w:w="18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Products</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4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Fuel, Ethanol</w:t>
            </w:r>
          </w:p>
        </w:tc>
        <w:tc>
          <w:tcPr>
            <w:tcW w:w="140" w:type="dxa"/>
            <w:vAlign w:val="bottom"/>
            <w:shd w:val="clear" w:color="auto" w:fill="CFF0FC"/>
          </w:tcPr>
          <w:p>
            <w:pPr>
              <w:spacing w:after="0"/>
              <w:rPr>
                <w:sz w:val="15"/>
                <w:szCs w:val="15"/>
                <w:color w:val="auto"/>
              </w:rPr>
            </w:pPr>
          </w:p>
        </w:tc>
        <w:tc>
          <w:tcPr>
            <w:tcW w:w="23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6"/>
              </w:rPr>
              <w:t>Weather Conditions, Refinery</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Utilization</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Arial" w:cs="Arial" w:eastAsia="Arial" w:hAnsi="Arial"/>
                <w:sz w:val="18"/>
                <w:szCs w:val="18"/>
                <w:color w:val="auto"/>
              </w:rPr>
              <w:t>Agricultural Chemicals</w:t>
            </w:r>
          </w:p>
        </w:tc>
        <w:tc>
          <w:tcPr>
            <w:tcW w:w="1580" w:type="dxa"/>
            <w:vAlign w:val="bottom"/>
            <w:gridSpan w:val="2"/>
          </w:tcPr>
          <w:p>
            <w:pPr>
              <w:jc w:val="center"/>
              <w:ind w:left="50"/>
              <w:spacing w:after="0" w:line="162" w:lineRule="exact"/>
              <w:rPr>
                <w:sz w:val="20"/>
                <w:szCs w:val="20"/>
                <w:color w:val="auto"/>
              </w:rPr>
            </w:pPr>
            <w:r>
              <w:rPr>
                <w:rFonts w:ascii="Arial" w:cs="Arial" w:eastAsia="Arial" w:hAnsi="Arial"/>
                <w:sz w:val="18"/>
                <w:szCs w:val="18"/>
                <w:color w:val="auto"/>
                <w:w w:val="92"/>
              </w:rPr>
              <w:t>3%</w:t>
            </w:r>
          </w:p>
        </w:tc>
        <w:tc>
          <w:tcPr>
            <w:tcW w:w="1540" w:type="dxa"/>
            <w:vAlign w:val="bottom"/>
            <w:gridSpan w:val="2"/>
          </w:tcPr>
          <w:p>
            <w:pPr>
              <w:jc w:val="center"/>
              <w:ind w:left="50"/>
              <w:spacing w:after="0" w:line="162" w:lineRule="exact"/>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14"/>
                <w:szCs w:val="14"/>
                <w:color w:val="auto"/>
              </w:rPr>
            </w:pPr>
          </w:p>
        </w:tc>
        <w:tc>
          <w:tcPr>
            <w:tcW w:w="3640" w:type="dxa"/>
            <w:vAlign w:val="bottom"/>
          </w:tcPr>
          <w:p>
            <w:pPr>
              <w:spacing w:after="0" w:line="162" w:lineRule="exact"/>
              <w:rPr>
                <w:sz w:val="20"/>
                <w:szCs w:val="20"/>
                <w:color w:val="auto"/>
              </w:rPr>
            </w:pPr>
            <w:r>
              <w:rPr>
                <w:rFonts w:ascii="Arial" w:cs="Arial" w:eastAsia="Arial" w:hAnsi="Arial"/>
                <w:sz w:val="18"/>
                <w:szCs w:val="18"/>
                <w:color w:val="auto"/>
                <w:w w:val="98"/>
              </w:rPr>
              <w:t>Anhydrous Ammonia, Nitrogen – Based Liquid</w:t>
            </w:r>
          </w:p>
        </w:tc>
        <w:tc>
          <w:tcPr>
            <w:tcW w:w="140" w:type="dxa"/>
            <w:vAlign w:val="bottom"/>
          </w:tcPr>
          <w:p>
            <w:pPr>
              <w:spacing w:after="0"/>
              <w:rPr>
                <w:sz w:val="14"/>
                <w:szCs w:val="14"/>
                <w:color w:val="auto"/>
              </w:rPr>
            </w:pPr>
          </w:p>
        </w:tc>
        <w:tc>
          <w:tcPr>
            <w:tcW w:w="2300" w:type="dxa"/>
            <w:vAlign w:val="bottom"/>
          </w:tcPr>
          <w:p>
            <w:pPr>
              <w:ind w:left="20"/>
              <w:spacing w:after="0" w:line="162" w:lineRule="exact"/>
              <w:rPr>
                <w:sz w:val="20"/>
                <w:szCs w:val="20"/>
                <w:color w:val="auto"/>
              </w:rPr>
            </w:pPr>
            <w:r>
              <w:rPr>
                <w:rFonts w:ascii="Arial" w:cs="Arial" w:eastAsia="Arial" w:hAnsi="Arial"/>
                <w:sz w:val="18"/>
                <w:szCs w:val="18"/>
                <w:color w:val="auto"/>
              </w:rPr>
              <w:t>Corn, Cotton and Wheat</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tcPr>
          <w:p>
            <w:pPr>
              <w:spacing w:after="0" w:line="176" w:lineRule="exact"/>
              <w:rPr>
                <w:sz w:val="20"/>
                <w:szCs w:val="20"/>
                <w:color w:val="auto"/>
              </w:rPr>
            </w:pPr>
            <w:r>
              <w:rPr>
                <w:rFonts w:ascii="Arial" w:cs="Arial" w:eastAsia="Arial" w:hAnsi="Arial"/>
                <w:sz w:val="18"/>
                <w:szCs w:val="18"/>
                <w:color w:val="auto"/>
              </w:rPr>
              <w:t>Fertilizer, Industrial Ammonia</w:t>
            </w:r>
          </w:p>
        </w:tc>
        <w:tc>
          <w:tcPr>
            <w:tcW w:w="140" w:type="dxa"/>
            <w:vAlign w:val="bottom"/>
          </w:tcPr>
          <w:p>
            <w:pPr>
              <w:spacing w:after="0"/>
              <w:rPr>
                <w:sz w:val="15"/>
                <w:szCs w:val="15"/>
                <w:color w:val="auto"/>
              </w:rPr>
            </w:pPr>
          </w:p>
        </w:tc>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Production, Chemical</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Feedstock Usage</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60" w:firstLine="569"/>
        <w:spacing w:after="0" w:line="253" w:lineRule="auto"/>
        <w:rPr>
          <w:sz w:val="20"/>
          <w:szCs w:val="20"/>
          <w:color w:val="auto"/>
        </w:rPr>
      </w:pPr>
      <w:r>
        <w:rPr>
          <w:rFonts w:ascii="Arial" w:cs="Arial" w:eastAsia="Arial" w:hAnsi="Arial"/>
          <w:sz w:val="17"/>
          <w:szCs w:val="17"/>
          <w:color w:val="auto"/>
        </w:rPr>
        <w:t>KMT revenues for the 2022 second quarter and first six months increased 22% and 20%, respectively, compared to the 2021 second quarter and first six months revenues. The increase for the 2022 second quarter and first six months was primarily due to increased tank barge utilization, higher term and spot pricing, and increased fuel rebills in the inland and coastal markets. The 2021 first six months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2022 and 2021 first quarters were impacted by poor operating conditions including seasonal wind and fog along the Gulf Coast, flooding on the Mississippi River, and various lock closures along the Gulf Intracoastal Waterway, in addition to ice on the Illinois River. For both the 2022 second quarter and first six months, the inland tank barge fleet contributed 78% and the coastal fleet contributed 22% of KMT revenues. For the 2021 second quarter and first six months, the inland tank barge fleet contributed 76% and 75%, respectively, and the coastal fleet contributed 24% and 25%, respectively, of KMT revenues.</w:t>
      </w:r>
    </w:p>
    <w:p>
      <w:pPr>
        <w:spacing w:after="0" w:line="153" w:lineRule="exact"/>
        <w:rPr>
          <w:sz w:val="20"/>
          <w:szCs w:val="20"/>
          <w:color w:val="auto"/>
        </w:rPr>
      </w:pPr>
    </w:p>
    <w:p>
      <w:pPr>
        <w:jc w:val="both"/>
        <w:ind w:right="60" w:firstLine="569"/>
        <w:spacing w:after="0" w:line="279" w:lineRule="auto"/>
        <w:rPr>
          <w:sz w:val="20"/>
          <w:szCs w:val="20"/>
          <w:color w:val="auto"/>
        </w:rPr>
      </w:pPr>
      <w:r>
        <w:rPr>
          <w:rFonts w:ascii="Arial" w:cs="Arial" w:eastAsia="Arial" w:hAnsi="Arial"/>
          <w:sz w:val="16"/>
          <w:szCs w:val="16"/>
          <w:color w:val="auto"/>
        </w:rPr>
        <w:t>Inland tank barge utilization levels averaged in the mid-80% range during the 2022 first quarter and the low 90% range during the 2022 second quarter compared to the mid-70% range during the 2021 first quarter and the low to mid-80% range during the 2021 second quarter. The 2022 first six months reflected increasing activity levels as a result of higher refinery and petrochemical plant utilization while the 2021 first six months was impacted by reduced demand resulting from the effects of the COVID-19 pandemic causing an economic slowdown as well as reduced volumes due to Winter Storm Uri during the 2021 first quarter partially offset by the Colonial Pipeline outage which increased barge transportation activity in the 2021 second quarter.</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20" w:name="page21"/>
    <w:bookmarkEnd w:id="20"/>
    <w:p>
      <w:pPr>
        <w:jc w:val="both"/>
        <w:ind w:firstLine="562"/>
        <w:spacing w:after="0" w:line="294" w:lineRule="auto"/>
        <w:rPr>
          <w:sz w:val="20"/>
          <w:szCs w:val="20"/>
          <w:color w:val="auto"/>
        </w:rPr>
      </w:pPr>
      <w:r>
        <w:rPr>
          <w:rFonts w:ascii="Arial" w:cs="Arial" w:eastAsia="Arial" w:hAnsi="Arial"/>
          <w:sz w:val="16"/>
          <w:szCs w:val="16"/>
          <w:color w:val="auto"/>
        </w:rPr>
        <w:t>Coastal tank barge utilization levels averaged in the low 90% range during both the 2022 first and second quarters compared to the mid-70% range during the 2021 first quarter and the low to mid-70% range during the 2021 second quarter. The increase in coastal tank barge utilization during 2022 was primarily due to the retirement of underutilized barges in the 2021 third quarter and some modest improvements in customer demand.</w:t>
      </w:r>
    </w:p>
    <w:p>
      <w:pPr>
        <w:spacing w:after="0" w:line="12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The petrochemical market, which is the Company’s largest market, contributed 49% of KMT revenues for both the 2022 second quarter and first six months, reflecting increased volumes and utilization from Gulf Coast petrochemical plants as a result of improved economic conditions following the height of the COVID-19 pandemic.</w:t>
      </w:r>
    </w:p>
    <w:p>
      <w:pPr>
        <w:spacing w:after="0" w:line="141"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The black oil market, which contributed 28% of KMT revenues for both the 2022 second quarter and first six months, reflected improved demand as refinery utilization and production levels of refined petroleum products and fuel oils increased following the height of the COVID-19 pandemic. During the 2022 first six months,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49" w:lineRule="exact"/>
        <w:rPr>
          <w:sz w:val="20"/>
          <w:szCs w:val="20"/>
          <w:color w:val="auto"/>
        </w:rPr>
      </w:pPr>
    </w:p>
    <w:p>
      <w:pPr>
        <w:jc w:val="both"/>
        <w:ind w:right="20" w:firstLine="569"/>
        <w:spacing w:after="0" w:line="291" w:lineRule="auto"/>
        <w:rPr>
          <w:sz w:val="20"/>
          <w:szCs w:val="20"/>
          <w:color w:val="auto"/>
        </w:rPr>
      </w:pPr>
      <w:r>
        <w:rPr>
          <w:rFonts w:ascii="Arial" w:cs="Arial" w:eastAsia="Arial" w:hAnsi="Arial"/>
          <w:sz w:val="17"/>
          <w:szCs w:val="17"/>
          <w:color w:val="auto"/>
        </w:rPr>
        <w:t>The refined petroleum products market, which contributed 20% of KMT revenues for both the 2022 second quarter and first six months, reflected increased volumes in the inland market as refinery utilization and product levels improved following the height of the COVID-19 pandemic.</w:t>
      </w:r>
    </w:p>
    <w:p>
      <w:pPr>
        <w:spacing w:after="0" w:line="12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The agricultural chemical market, which contributed 3% of KMT revenues for both the 2022 second quarter and first six months, reflected improved demand for transportation of both domestically produced and imported products, primarily due to improved economic conditions following the height of the COVID-19 pandemic.</w:t>
      </w:r>
    </w:p>
    <w:p>
      <w:pPr>
        <w:spacing w:after="0" w:line="141" w:lineRule="exact"/>
        <w:rPr>
          <w:sz w:val="20"/>
          <w:szCs w:val="20"/>
          <w:color w:val="auto"/>
        </w:rPr>
      </w:pPr>
    </w:p>
    <w:p>
      <w:pPr>
        <w:jc w:val="both"/>
        <w:ind w:firstLine="569"/>
        <w:spacing w:after="0" w:line="276" w:lineRule="auto"/>
        <w:rPr>
          <w:sz w:val="20"/>
          <w:szCs w:val="20"/>
          <w:color w:val="auto"/>
        </w:rPr>
      </w:pPr>
      <w:r>
        <w:rPr>
          <w:rFonts w:ascii="Arial" w:cs="Arial" w:eastAsia="Arial" w:hAnsi="Arial"/>
          <w:sz w:val="16"/>
          <w:szCs w:val="16"/>
          <w:color w:val="auto"/>
        </w:rPr>
        <w:t>For the 2022 second quarter, the inland operations incurred 2,762 delay days, 5% fewer than the 2,922 delay days that occurred during the 2021 second quarter. For the 2022 first six months, the inland operations incurred 5,899 delay days, 2% more than the 5,776 delay days that occurred during the 2021 first six months.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high water conditions on the Mississippi River System during the 2022 and 2021 first quarters. The 2022 first quarter was also impacted by ice on the Illinois River while the 2021 first quarter was impacted by closures of key waterways as a result of lock maintenance projects.</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7"/>
          <w:szCs w:val="17"/>
          <w:color w:val="auto"/>
        </w:rPr>
        <w:t>During both the 2022 second quarter and first six months, approximately 60% of KMT inland revenues were under term contracts and 40% were spot contract revenues. During both the 2021 second quarter and first six months, approximately 65% of KMT inland revenues were under term contracts and 35% were spot contract revenues. Inland time charters during both the 2022 second quarter and first six months represented 57% of the inland revenues under term contracts compared with 57% and 59% in the 2021 second quarter and first six months, respectively. During each of the 2022 and 2021 second quarters and first six months, approximately 80% of the coastal revenues were under term contracts and 20% were spot contract revenues. Coastal time charters represented approximately 90% of coastal revenues under term contracts during both the 2022 second quarter and first six months compared to approximately 85% during both the 2021 second quarter and first six months. Term contracts have contract terms of 12 months or longer, while spot contracts have contract terms of less than 12 months.</w:t>
      </w:r>
    </w:p>
    <w:p>
      <w:pPr>
        <w:spacing w:after="0" w:line="154"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2022 compared to contracts renewed during the corresponding quarter of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30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8180" w:type="dxa"/>
            <w:vAlign w:val="bottom"/>
          </w:tcPr>
          <w:p>
            <w:pPr>
              <w:spacing w:after="0"/>
              <w:rPr>
                <w:sz w:val="14"/>
                <w:szCs w:val="14"/>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8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Inland market:</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8180" w:type="dxa"/>
            <w:vAlign w:val="bottom"/>
          </w:tcPr>
          <w:p>
            <w:pPr>
              <w:jc w:val="center"/>
              <w:ind w:right="6670"/>
              <w:spacing w:after="0" w:line="202" w:lineRule="exact"/>
              <w:rPr>
                <w:sz w:val="20"/>
                <w:szCs w:val="20"/>
                <w:color w:val="auto"/>
              </w:rPr>
            </w:pPr>
            <w:r>
              <w:rPr>
                <w:rFonts w:ascii="Arial" w:cs="Arial" w:eastAsia="Arial" w:hAnsi="Arial"/>
                <w:sz w:val="18"/>
                <w:szCs w:val="18"/>
                <w:color w:val="auto"/>
                <w:w w:val="88"/>
              </w:rPr>
              <w:t>Term increase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 – 9%</w:t>
            </w:r>
          </w:p>
        </w:tc>
        <w:tc>
          <w:tcPr>
            <w:tcW w:w="140" w:type="dxa"/>
            <w:vAlign w:val="bottom"/>
          </w:tcPr>
          <w:p>
            <w:pPr>
              <w:spacing w:after="0"/>
              <w:rPr>
                <w:sz w:val="17"/>
                <w:szCs w:val="17"/>
                <w:color w:val="auto"/>
              </w:rPr>
            </w:pPr>
          </w:p>
        </w:tc>
        <w:tc>
          <w:tcPr>
            <w:tcW w:w="1460" w:type="dxa"/>
            <w:vAlign w:val="bottom"/>
          </w:tcPr>
          <w:p>
            <w:pPr>
              <w:ind w:left="600"/>
              <w:spacing w:after="0" w:line="202" w:lineRule="exact"/>
              <w:rPr>
                <w:sz w:val="20"/>
                <w:szCs w:val="20"/>
                <w:color w:val="auto"/>
              </w:rPr>
            </w:pPr>
            <w:r>
              <w:rPr>
                <w:rFonts w:ascii="Arial" w:cs="Arial" w:eastAsia="Arial" w:hAnsi="Arial"/>
                <w:sz w:val="18"/>
                <w:szCs w:val="18"/>
                <w:color w:val="auto"/>
                <w:w w:val="91"/>
              </w:rPr>
              <w:t>14% – 16%</w:t>
            </w:r>
          </w:p>
        </w:tc>
      </w:tr>
      <w:tr>
        <w:trPr>
          <w:trHeight w:val="203"/>
        </w:trPr>
        <w:tc>
          <w:tcPr>
            <w:tcW w:w="8180" w:type="dxa"/>
            <w:vAlign w:val="bottom"/>
            <w:shd w:val="clear" w:color="auto" w:fill="CFF0FC"/>
          </w:tcPr>
          <w:p>
            <w:pPr>
              <w:jc w:val="center"/>
              <w:ind w:right="6730"/>
              <w:spacing w:after="0" w:line="202" w:lineRule="exact"/>
              <w:rPr>
                <w:sz w:val="20"/>
                <w:szCs w:val="20"/>
                <w:color w:val="auto"/>
              </w:rPr>
            </w:pPr>
            <w:r>
              <w:rPr>
                <w:rFonts w:ascii="Arial" w:cs="Arial" w:eastAsia="Arial" w:hAnsi="Arial"/>
                <w:sz w:val="18"/>
                <w:szCs w:val="18"/>
                <w:color w:val="auto"/>
                <w:w w:val="87"/>
              </w:rPr>
              <w:t>Spot increase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 – 20%</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1"/>
              </w:rPr>
              <w:t>15% – 18%</w:t>
            </w:r>
          </w:p>
        </w:tc>
      </w:tr>
      <w:tr>
        <w:trPr>
          <w:trHeight w:val="203"/>
        </w:trPr>
        <w:tc>
          <w:tcPr>
            <w:tcW w:w="8180" w:type="dxa"/>
            <w:vAlign w:val="bottom"/>
          </w:tcPr>
          <w:p>
            <w:pPr>
              <w:jc w:val="center"/>
              <w:ind w:right="6670"/>
              <w:spacing w:after="0" w:line="202" w:lineRule="exact"/>
              <w:rPr>
                <w:sz w:val="20"/>
                <w:szCs w:val="20"/>
                <w:color w:val="auto"/>
              </w:rPr>
            </w:pPr>
            <w:r>
              <w:rPr>
                <w:rFonts w:ascii="Arial" w:cs="Arial" w:eastAsia="Arial" w:hAnsi="Arial"/>
                <w:sz w:val="18"/>
                <w:szCs w:val="18"/>
                <w:color w:val="auto"/>
                <w:w w:val="90"/>
              </w:rPr>
              <w:t>Coastal market (a):</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8180" w:type="dxa"/>
            <w:vAlign w:val="bottom"/>
            <w:shd w:val="clear" w:color="auto" w:fill="CFF0FC"/>
          </w:tcPr>
          <w:p>
            <w:pPr>
              <w:jc w:val="center"/>
              <w:ind w:right="6670"/>
              <w:spacing w:after="0" w:line="202" w:lineRule="exact"/>
              <w:rPr>
                <w:sz w:val="20"/>
                <w:szCs w:val="20"/>
                <w:color w:val="auto"/>
              </w:rPr>
            </w:pPr>
            <w:r>
              <w:rPr>
                <w:rFonts w:ascii="Arial" w:cs="Arial" w:eastAsia="Arial" w:hAnsi="Arial"/>
                <w:sz w:val="18"/>
                <w:szCs w:val="18"/>
                <w:color w:val="auto"/>
                <w:w w:val="88"/>
              </w:rPr>
              <w:t>Term increase</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 6%</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1"/>
              </w:rPr>
              <w:t>10% – 12%</w:t>
            </w:r>
          </w:p>
        </w:tc>
      </w:tr>
      <w:tr>
        <w:trPr>
          <w:trHeight w:val="230"/>
        </w:trPr>
        <w:tc>
          <w:tcPr>
            <w:tcW w:w="8180" w:type="dxa"/>
            <w:vAlign w:val="bottom"/>
          </w:tcPr>
          <w:p>
            <w:pPr>
              <w:jc w:val="center"/>
              <w:ind w:right="6730"/>
              <w:spacing w:after="0"/>
              <w:rPr>
                <w:sz w:val="20"/>
                <w:szCs w:val="20"/>
                <w:color w:val="auto"/>
              </w:rPr>
            </w:pPr>
            <w:r>
              <w:rPr>
                <w:rFonts w:ascii="Arial" w:cs="Arial" w:eastAsia="Arial" w:hAnsi="Arial"/>
                <w:sz w:val="18"/>
                <w:szCs w:val="18"/>
                <w:color w:val="auto"/>
                <w:w w:val="87"/>
              </w:rPr>
              <w:t>Spot increase</w:t>
            </w:r>
          </w:p>
        </w:tc>
        <w:tc>
          <w:tcPr>
            <w:tcW w:w="1460" w:type="dxa"/>
            <w:vAlign w:val="bottom"/>
          </w:tcPr>
          <w:p>
            <w:pPr>
              <w:jc w:val="right"/>
              <w:spacing w:after="0"/>
              <w:rPr>
                <w:sz w:val="20"/>
                <w:szCs w:val="20"/>
                <w:color w:val="auto"/>
              </w:rPr>
            </w:pPr>
            <w:r>
              <w:rPr>
                <w:rFonts w:ascii="Arial" w:cs="Arial" w:eastAsia="Arial" w:hAnsi="Arial"/>
                <w:sz w:val="18"/>
                <w:szCs w:val="18"/>
                <w:color w:val="auto"/>
              </w:rPr>
              <w:t>4% – 6%</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Arial" w:cs="Arial" w:eastAsia="Arial" w:hAnsi="Arial"/>
                <w:sz w:val="18"/>
                <w:szCs w:val="18"/>
                <w:color w:val="auto"/>
                <w:w w:val="91"/>
              </w:rPr>
              <w:t>10% – 12%</w:t>
            </w:r>
          </w:p>
        </w:tc>
      </w:tr>
    </w:tbl>
    <w:p>
      <w:pPr>
        <w:spacing w:after="0" w:line="133" w:lineRule="exact"/>
        <w:rPr>
          <w:sz w:val="20"/>
          <w:szCs w:val="20"/>
          <w:color w:val="auto"/>
        </w:rPr>
      </w:pPr>
    </w:p>
    <w:p>
      <w:pPr>
        <w:jc w:val="both"/>
        <w:ind w:left="940" w:hanging="370"/>
        <w:spacing w:after="0" w:line="24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 Contract pricing in the coastal marine market continued to be impacted by the oversupply of tank barges in the coastal industry in 2022 and 2021.</w:t>
      </w:r>
    </w:p>
    <w:p>
      <w:pPr>
        <w:spacing w:after="0" w:line="141" w:lineRule="exact"/>
        <w:rPr>
          <w:sz w:val="20"/>
          <w:szCs w:val="20"/>
          <w:color w:val="auto"/>
        </w:rPr>
      </w:pPr>
    </w:p>
    <w:p>
      <w:pPr>
        <w:ind w:firstLine="562"/>
        <w:spacing w:after="0" w:line="261" w:lineRule="auto"/>
        <w:rPr>
          <w:sz w:val="20"/>
          <w:szCs w:val="20"/>
          <w:color w:val="auto"/>
        </w:rPr>
      </w:pPr>
      <w:r>
        <w:rPr>
          <w:rFonts w:ascii="Arial" w:cs="Arial" w:eastAsia="Arial" w:hAnsi="Arial"/>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ind w:left="5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85" w:lineRule="exact"/>
        <w:rPr>
          <w:sz w:val="20"/>
          <w:szCs w:val="20"/>
          <w:color w:val="auto"/>
        </w:rPr>
      </w:pPr>
    </w:p>
    <w:p>
      <w:pPr>
        <w:jc w:val="both"/>
        <w:ind w:right="60" w:firstLine="569"/>
        <w:spacing w:after="0" w:line="284" w:lineRule="auto"/>
        <w:rPr>
          <w:sz w:val="20"/>
          <w:szCs w:val="20"/>
          <w:color w:val="auto"/>
        </w:rPr>
      </w:pPr>
      <w:r>
        <w:rPr>
          <w:rFonts w:ascii="Arial" w:cs="Arial" w:eastAsia="Arial" w:hAnsi="Arial"/>
          <w:sz w:val="16"/>
          <w:szCs w:val="16"/>
          <w:color w:val="auto"/>
        </w:rPr>
        <w:t>Costs and expenses for the 2022 second quarter and first six months increased 19% and 16%, respectively, compared to the 2021 second quarter and first six months. Costs of sales and operating expenses for the 2022 second quarter and first six months increased 28% and 24%, respectively, compared with the 2021 second quarter and first six months. The increases during the 2022 second quarter and first six months primarily reflect improved business activity levels and increased fuel costs as well as incremental costs associated with the COVID-19 Omicron variant during the first quarter.</w:t>
      </w:r>
    </w:p>
    <w:p>
      <w:pPr>
        <w:spacing w:after="0" w:line="115" w:lineRule="exact"/>
        <w:rPr>
          <w:sz w:val="20"/>
          <w:szCs w:val="20"/>
          <w:color w:val="auto"/>
        </w:rPr>
      </w:pPr>
    </w:p>
    <w:p>
      <w:pPr>
        <w:jc w:val="both"/>
        <w:ind w:right="60" w:firstLine="562"/>
        <w:spacing w:after="0"/>
        <w:rPr>
          <w:sz w:val="20"/>
          <w:szCs w:val="20"/>
          <w:color w:val="auto"/>
        </w:rPr>
      </w:pPr>
      <w:r>
        <w:rPr>
          <w:rFonts w:ascii="Arial" w:cs="Arial" w:eastAsia="Arial" w:hAnsi="Arial"/>
          <w:sz w:val="18"/>
          <w:szCs w:val="18"/>
          <w:color w:val="auto"/>
        </w:rPr>
        <w:t>The inland marine transportation fleet operated an average of 270 towboats during the 2022 second quarter, of which an average of 59 were chartered, compared to 260 during the 2021 second quarter, of which an average of 42 were chartered. The increase was primarily due to increasing business activity levels during the 2022 second quarter. Generally, variability in demand or anticipated demand, as tank barges are added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49" w:lineRule="exact"/>
        <w:rPr>
          <w:sz w:val="20"/>
          <w:szCs w:val="20"/>
          <w:color w:val="auto"/>
        </w:rPr>
      </w:pPr>
    </w:p>
    <w:p>
      <w:pPr>
        <w:jc w:val="both"/>
        <w:ind w:right="60" w:firstLine="569"/>
        <w:spacing w:after="0" w:line="255" w:lineRule="auto"/>
        <w:rPr>
          <w:sz w:val="20"/>
          <w:szCs w:val="20"/>
          <w:color w:val="auto"/>
        </w:rPr>
      </w:pPr>
      <w:r>
        <w:rPr>
          <w:rFonts w:ascii="Arial" w:cs="Arial" w:eastAsia="Arial" w:hAnsi="Arial"/>
          <w:sz w:val="17"/>
          <w:szCs w:val="17"/>
          <w:color w:val="auto"/>
        </w:rPr>
        <w:t>During the 2022 second quarter, the inland operations consumed 12.6 million gallons of diesel fuel compared to 11.8 million gallons consumed during the 2021 second quarter. The average price per gallon of diesel fuel consumed during the 2022 second quarter was $3.98 per gallon compared with $2.06 per gallon for the 2021 second quarter. During the 2022 first six months, the inland operations consumed 24.2 million gallons of diesel fuel compared to 22.6 million gallons consumed during the 2021 first six months. The average price per gallon of diesel fuel consumed during the 2022 first six months was $3.27 per gallon compared with $1.86 per gallon for the 2021 first six months. Fuel escalation and de-escalation clauses are typically included in term contracts and are designed to rebate fuel costs when prices decline and recover additional fuel costs when fuel prices rise; however, there is generally a 30 to 90 day delay before contracts are adjusted. Spot contracts do not have escalators for fuel.</w:t>
      </w:r>
    </w:p>
    <w:p>
      <w:pPr>
        <w:spacing w:after="0" w:line="153" w:lineRule="exact"/>
        <w:rPr>
          <w:sz w:val="20"/>
          <w:szCs w:val="20"/>
          <w:color w:val="auto"/>
        </w:rPr>
      </w:pPr>
    </w:p>
    <w:p>
      <w:pPr>
        <w:jc w:val="both"/>
        <w:ind w:right="60" w:firstLine="562"/>
        <w:spacing w:after="0" w:line="243" w:lineRule="auto"/>
        <w:rPr>
          <w:sz w:val="20"/>
          <w:szCs w:val="20"/>
          <w:color w:val="auto"/>
        </w:rPr>
      </w:pPr>
      <w:r>
        <w:rPr>
          <w:rFonts w:ascii="Arial" w:cs="Arial" w:eastAsia="Arial" w:hAnsi="Arial"/>
          <w:sz w:val="18"/>
          <w:szCs w:val="18"/>
          <w:color w:val="auto"/>
        </w:rPr>
        <w:t>Selling, general and administrative expenses for the 2022 second quarter were flat compared to the 2021 second quarter and increased 3% for the 2022 first six months compared to the 2021 first six months. The increase for the 2022 first six months was primarily due to increased incentive compensation accruals and higher business activity levels. Business activity levels in the 2021 first six months were impacted by COVID-19 and the resulting economic slowdown as well as Winter Storm Uri during the 2021 first quarter.</w:t>
      </w:r>
    </w:p>
    <w:p>
      <w:pPr>
        <w:spacing w:after="0" w:line="147" w:lineRule="exact"/>
        <w:rPr>
          <w:sz w:val="20"/>
          <w:szCs w:val="20"/>
          <w:color w:val="auto"/>
        </w:rPr>
      </w:pPr>
    </w:p>
    <w:p>
      <w:pPr>
        <w:jc w:val="both"/>
        <w:ind w:right="80" w:firstLine="562"/>
        <w:spacing w:after="0" w:line="261" w:lineRule="auto"/>
        <w:rPr>
          <w:sz w:val="20"/>
          <w:szCs w:val="20"/>
          <w:color w:val="auto"/>
        </w:rPr>
      </w:pPr>
      <w:r>
        <w:rPr>
          <w:rFonts w:ascii="Arial" w:cs="Arial" w:eastAsia="Arial" w:hAnsi="Arial"/>
          <w:sz w:val="18"/>
          <w:szCs w:val="18"/>
          <w:color w:val="auto"/>
        </w:rPr>
        <w:t>Depreciation and amortization for the both the 2022 second quarter and first six months decreased 7% compared to the 2021 second quarter and first six months, primarily reflecting retirements, sales, and impairment of marine equipment during 2021 and 2022.</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185" w:lineRule="exact"/>
        <w:rPr>
          <w:sz w:val="20"/>
          <w:szCs w:val="20"/>
          <w:color w:val="auto"/>
        </w:rPr>
      </w:pPr>
    </w:p>
    <w:p>
      <w:pPr>
        <w:jc w:val="both"/>
        <w:ind w:right="60" w:firstLine="562"/>
        <w:spacing w:after="0"/>
        <w:rPr>
          <w:sz w:val="20"/>
          <w:szCs w:val="20"/>
          <w:color w:val="auto"/>
        </w:rPr>
      </w:pPr>
      <w:r>
        <w:rPr>
          <w:rFonts w:ascii="Arial" w:cs="Arial" w:eastAsia="Arial" w:hAnsi="Arial"/>
          <w:sz w:val="18"/>
          <w:szCs w:val="18"/>
          <w:color w:val="auto"/>
        </w:rPr>
        <w:t>KMT operating income for the 2022 second quarter and first six months increased 67% and 134%, respectively, compared with the 2021 second quarter and first six months. The 2022 second quarter operating margin was 7.6% compared with 5.6% for the 2021 second quarter. The 2022 first six months operating margin was 6.3% compared with 3.2% for the 2021 first six months. The increases in operating income and operating margin were primarily due to increased barge utilization and higher term and spot contract pricing in the inland and coastal markets, each as a result of improving business activity levels, partially offset by increasing fuel prices as well as the impacts of the COVID-19 Omicron variant during the 2022 first quarter. The 2021 first six months activity levels were also impacted by Winter Storm Uri.</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KDS revenues, costs and expenses, operating income, and operating margin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Distribution and services revenues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292,309</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226,737</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547,555</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422,636</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w w:val="97"/>
              </w:rPr>
              <w:t>Costs of sales and operating expenses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229,196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180,096</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425,715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329,223</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40,653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32,987</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82,575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69,475</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on income</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1,658</w:t>
            </w:r>
          </w:p>
        </w:tc>
        <w:tc>
          <w:tcPr>
            <w:tcW w:w="24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3,150</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5,840</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(29 )</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8,239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11,721</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275,572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220,581</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519,847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413,569</w:t>
            </w: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82"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16,737</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6,156</w:t>
            </w:r>
          </w:p>
        </w:tc>
        <w:tc>
          <w:tcPr>
            <w:tcW w:w="240" w:type="dxa"/>
            <w:vAlign w:val="bottom"/>
          </w:tcPr>
          <w:p>
            <w:pPr>
              <w:spacing w:after="0"/>
              <w:rPr>
                <w:sz w:val="17"/>
                <w:szCs w:val="17"/>
                <w:color w:val="auto"/>
              </w:rPr>
            </w:pP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172 %</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27,708</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9,067</w:t>
            </w:r>
          </w:p>
        </w:tc>
        <w:tc>
          <w:tcPr>
            <w:tcW w:w="240" w:type="dxa"/>
            <w:vAlign w:val="bottom"/>
          </w:tcPr>
          <w:p>
            <w:pPr>
              <w:spacing w:after="0"/>
              <w:rPr>
                <w:sz w:val="17"/>
                <w:szCs w:val="17"/>
                <w:color w:val="auto"/>
              </w:rPr>
            </w:pPr>
          </w:p>
        </w:tc>
        <w:tc>
          <w:tcPr>
            <w:tcW w:w="11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5.7 %</w:t>
            </w:r>
          </w:p>
        </w:tc>
        <w:tc>
          <w:tcPr>
            <w:tcW w:w="260" w:type="dxa"/>
            <w:vAlign w:val="bottom"/>
          </w:tcPr>
          <w:p>
            <w:pPr>
              <w:spacing w:after="0"/>
              <w:rPr>
                <w:sz w:val="15"/>
                <w:szCs w:val="15"/>
                <w:color w:val="auto"/>
              </w:rPr>
            </w:pPr>
          </w:p>
        </w:tc>
        <w:tc>
          <w:tcPr>
            <w:tcW w:w="110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2.7 %</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5.1 %</w:t>
            </w:r>
          </w:p>
        </w:tc>
        <w:tc>
          <w:tcPr>
            <w:tcW w:w="260" w:type="dxa"/>
            <w:vAlign w:val="bottom"/>
          </w:tcPr>
          <w:p>
            <w:pPr>
              <w:spacing w:after="0"/>
              <w:rPr>
                <w:sz w:val="15"/>
                <w:szCs w:val="15"/>
                <w:color w:val="auto"/>
              </w:rPr>
            </w:pPr>
          </w:p>
        </w:tc>
        <w:tc>
          <w:tcPr>
            <w:tcW w:w="112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2.1 %</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-887730</wp:posOffset>
            </wp:positionV>
            <wp:extent cx="7747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-887730</wp:posOffset>
            </wp:positionV>
            <wp:extent cx="7747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-887730</wp:posOffset>
            </wp:positionV>
            <wp:extent cx="685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-887730</wp:posOffset>
            </wp:positionV>
            <wp:extent cx="685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03" w:right="279" w:bottom="1440" w:gutter="0" w:footer="0" w:header="0"/>
        </w:sectPr>
      </w:pPr>
    </w:p>
    <w:bookmarkStart w:id="22" w:name="page23"/>
    <w:bookmarkEnd w:id="22"/>
    <w:p>
      <w:pPr>
        <w:ind w:left="5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markets serviced by KDS, the revenue distribution, and the customers for each market: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2022 Second Quarter</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2022 Six Months</w:t>
            </w:r>
          </w:p>
        </w:tc>
        <w:tc>
          <w:tcPr>
            <w:tcW w:w="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Markets Serviced</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45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Customers</w:t>
            </w: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94"/>
              </w:rPr>
              <w:t>55%</w:t>
            </w:r>
          </w:p>
        </w:tc>
        <w:tc>
          <w:tcPr>
            <w:tcW w:w="160" w:type="dxa"/>
            <w:vAlign w:val="bottom"/>
            <w:shd w:val="clear" w:color="auto" w:fill="CFF0FC"/>
          </w:tcPr>
          <w:p>
            <w:pPr>
              <w:spacing w:after="0"/>
              <w:rPr>
                <w:sz w:val="13"/>
                <w:szCs w:val="13"/>
                <w:color w:val="auto"/>
              </w:rPr>
            </w:pPr>
          </w:p>
        </w:tc>
        <w:tc>
          <w:tcPr>
            <w:tcW w:w="156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94"/>
              </w:rPr>
              <w:t>56%</w:t>
            </w:r>
          </w:p>
        </w:tc>
        <w:tc>
          <w:tcPr>
            <w:tcW w:w="160" w:type="dxa"/>
            <w:vAlign w:val="bottom"/>
            <w:shd w:val="clear" w:color="auto" w:fill="CFF0FC"/>
          </w:tcPr>
          <w:p>
            <w:pPr>
              <w:spacing w:after="0"/>
              <w:rPr>
                <w:sz w:val="13"/>
                <w:szCs w:val="13"/>
                <w:color w:val="auto"/>
              </w:rPr>
            </w:pPr>
          </w:p>
        </w:tc>
        <w:tc>
          <w:tcPr>
            <w:tcW w:w="45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4"/>
              </w:rPr>
              <w:t>Inland River Carriers — Dry and Liquid, Offshore Towing —</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5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Dry and Liquid, Offshore Oilfield Services — Drilling Rigs &amp;</w:t>
            </w: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5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7"/>
              </w:rPr>
              <w:t>Supply Boats, Harbor Towing, Dredging, Great Lakes Ore</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5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Carriers, Pleasure Crafts, On and Off-Highway</w:t>
            </w: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5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Transportation, Power Generation, Standby Power</w:t>
            </w: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45%</w:t>
            </w:r>
          </w:p>
        </w:tc>
        <w:tc>
          <w:tcPr>
            <w:tcW w:w="17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44%</w:t>
            </w:r>
          </w:p>
        </w:tc>
        <w:tc>
          <w:tcPr>
            <w:tcW w:w="1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569"/>
        <w:spacing w:after="0" w:line="239" w:lineRule="auto"/>
        <w:rPr>
          <w:sz w:val="20"/>
          <w:szCs w:val="20"/>
          <w:color w:val="auto"/>
        </w:rPr>
      </w:pPr>
      <w:r>
        <w:rPr>
          <w:rFonts w:ascii="Arial" w:cs="Arial" w:eastAsia="Arial" w:hAnsi="Arial"/>
          <w:sz w:val="18"/>
          <w:szCs w:val="18"/>
          <w:color w:val="auto"/>
        </w:rPr>
        <w:t>KDS revenues for the 2022 second quarter and first six months increased 29% and 30%, respectively, compared to the 2021 second quarter and first six months. In the commercial and industrial market, the increase for the 2022 second quarter and first six months was primarily attributable to strong economic activity across the United States which resulted in higher business levels in the marine and on-highway businesses. Increased product sales in Thermo King also contributed favorably to the 2022 second quarter and first six months results. These increases were partially offset by continuing supply chain constraints and delays. The 2021 first six months was impacted by Winter Storm Uri which caused reduced activity, especially in the Southern United States, in the commercial and industrial market. For the 2022 second quarter and first six months, the commercial and industrial market contributed 55% and 56%, respectively, of KDS revenues.</w:t>
      </w:r>
    </w:p>
    <w:p>
      <w:pPr>
        <w:spacing w:after="0" w:line="150" w:lineRule="exact"/>
        <w:rPr>
          <w:sz w:val="20"/>
          <w:szCs w:val="20"/>
          <w:color w:val="auto"/>
        </w:rPr>
      </w:pPr>
    </w:p>
    <w:p>
      <w:pPr>
        <w:jc w:val="both"/>
        <w:ind w:firstLine="562"/>
        <w:spacing w:after="0" w:line="241" w:lineRule="auto"/>
        <w:rPr>
          <w:sz w:val="20"/>
          <w:szCs w:val="20"/>
          <w:color w:val="auto"/>
        </w:rPr>
      </w:pPr>
      <w:r>
        <w:rPr>
          <w:rFonts w:ascii="Arial" w:cs="Arial" w:eastAsia="Arial" w:hAnsi="Arial"/>
          <w:sz w:val="18"/>
          <w:szCs w:val="18"/>
          <w:color w:val="auto"/>
        </w:rPr>
        <w:t>In the oil and gas market, revenues improved compared to the 2021 second quarter and first six months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second quarter and first six months, the oil and gas market contributed 45% and 44%, respectively, of KDS revenues.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171" w:lineRule="exact"/>
        <w:rPr>
          <w:sz w:val="20"/>
          <w:szCs w:val="20"/>
          <w:color w:val="auto"/>
        </w:rPr>
      </w:pPr>
    </w:p>
    <w:p>
      <w:pPr>
        <w:jc w:val="both"/>
        <w:ind w:firstLine="569"/>
        <w:spacing w:after="0" w:line="262" w:lineRule="auto"/>
        <w:rPr>
          <w:sz w:val="20"/>
          <w:szCs w:val="20"/>
          <w:color w:val="auto"/>
        </w:rPr>
      </w:pPr>
      <w:r>
        <w:rPr>
          <w:rFonts w:ascii="Arial" w:cs="Arial" w:eastAsia="Arial" w:hAnsi="Arial"/>
          <w:sz w:val="17"/>
          <w:szCs w:val="17"/>
          <w:color w:val="auto"/>
        </w:rPr>
        <w:t>Costs and expenses for the 2022 second quarter and first six months increased 25% and 26%, respectively, compared with the 2021 second quarter and first six months. Costs of sales and operating expenses for the 2022 second quarter and first six months increased 27% and 29%, respectively, compared with the 2021 second quarter and first six months, reflecting higher demand in the marine and on-highway businesses in commercial and industrial markets as well as increased demand in the oil and gas market as a result of higher oilfield activity levels.</w:t>
      </w:r>
    </w:p>
    <w:p>
      <w:pPr>
        <w:spacing w:after="0" w:line="132"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Selling, general and administrative expenses for the 2022 second quarter and first six months increased 23% and 19%, respectively, compared to the 2021 second quarter and first six months, primarily due to salaries and costs related to the acquisition of assets of an energy storage systems manufacturer in the 2021 fourth quarter, annual salary raises, severance expense, and higher warranty accruals associated with increased activity levels.</w:t>
      </w:r>
    </w:p>
    <w:p>
      <w:pPr>
        <w:spacing w:after="0" w:line="120"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Depreciation and amortization for the 2022 second quarter and first six months decreased 29% and 30%, respectively, compared to the 2021 second quarter and first six months, primarily due to sales of property and equipment and reduced capital spending during 2021.</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w:t>
      </w:r>
    </w:p>
    <w:p>
      <w:pPr>
        <w:spacing w:after="0" w:line="171" w:lineRule="exact"/>
        <w:rPr>
          <w:sz w:val="20"/>
          <w:szCs w:val="20"/>
          <w:color w:val="auto"/>
        </w:rPr>
      </w:pPr>
    </w:p>
    <w:p>
      <w:pPr>
        <w:jc w:val="both"/>
        <w:ind w:firstLine="569"/>
        <w:spacing w:after="0" w:line="243" w:lineRule="auto"/>
        <w:rPr>
          <w:sz w:val="20"/>
          <w:szCs w:val="20"/>
          <w:color w:val="auto"/>
        </w:rPr>
      </w:pPr>
      <w:r>
        <w:rPr>
          <w:rFonts w:ascii="Arial" w:cs="Arial" w:eastAsia="Arial" w:hAnsi="Arial"/>
          <w:sz w:val="18"/>
          <w:szCs w:val="18"/>
          <w:color w:val="auto"/>
        </w:rPr>
        <w:t>KDS operating income for the 2022 second quarter and first six months increased 172% and 206%, respectively, compared with the 2021 second quarter and first six months. The 2022 second quarter operating margin was 5.7% compared with 2.7% for the 2021 second quarter. The 2022 first six months operating margin was 5.1% compared to 2.1% for the 2021 first six months. The results reflect increased business levels in both the commercial and industrial and oil and gas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175"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The Company reported a net gain on disposition of assets of $2.7 million for the 2022 second quarter and $2.1 million for the 2021 second quarter. The Company reported a net gain on disposition of assets of $7.6 million for the 2022 first six months and $4.3 million for the 2021 first six months. The net gains were primarily from sales of marine transportation equipment.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Income and Expenses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other income, noncontrolling interests, and interest expense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3"/>
              </w:rPr>
              <w:t>Three Months Ended June 30,</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Six Months Ended June 30,</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Borders>
              <w:bottom w:val="single" w:sz="8" w:color="auto"/>
            </w:tcBorders>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3,740</w:t>
            </w:r>
          </w:p>
        </w:tc>
        <w:tc>
          <w:tcPr>
            <w:tcW w:w="2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2,523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99"/>
              </w:rPr>
              <w:t>48</w:t>
            </w:r>
          </w:p>
        </w:tc>
        <w:tc>
          <w:tcPr>
            <w:tcW w:w="240" w:type="dxa"/>
            <w:vAlign w:val="bottom"/>
            <w:vMerge w:val="continue"/>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8,048</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6,314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(149 )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(162 )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w w:val="96"/>
              </w:rPr>
              <w:t>(8 )% $</w:t>
            </w:r>
          </w:p>
        </w:tc>
        <w:tc>
          <w:tcPr>
            <w:tcW w:w="11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(301 )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(417 )</w:t>
            </w:r>
          </w:p>
        </w:tc>
        <w:tc>
          <w:tcPr>
            <w:tcW w:w="1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(10,640 )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(10,706 )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w w:val="96"/>
              </w:rPr>
              <w:t>(1 )% $</w:t>
            </w:r>
          </w:p>
        </w:tc>
        <w:tc>
          <w:tcPr>
            <w:tcW w:w="11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(20,843 )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(21,672 )</w:t>
            </w:r>
          </w:p>
        </w:tc>
        <w:tc>
          <w:tcPr>
            <w:tcW w:w="1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jc w:val="both"/>
        <w:ind w:right="100" w:firstLine="562"/>
        <w:spacing w:after="0" w:line="243" w:lineRule="auto"/>
        <w:rPr>
          <w:sz w:val="20"/>
          <w:szCs w:val="20"/>
          <w:color w:val="auto"/>
        </w:rPr>
      </w:pPr>
      <w:r>
        <w:rPr>
          <w:rFonts w:ascii="Arial" w:cs="Arial" w:eastAsia="Arial" w:hAnsi="Arial"/>
          <w:sz w:val="18"/>
          <w:szCs w:val="18"/>
          <w:color w:val="auto"/>
        </w:rPr>
        <w:t>Other income for the 2022 and 2021 second quarters include income of $3.5 million and $2.3 million, respectively, and the 2022 and 2021 first six months include income of $6.9 million and $4.3 million, respectively, for all components of net benefit costs except the service cost component related to the Company’s defined benefit plans. Other income for the 2022 first six months also reflects lower interest income related to the Company's federal income tax refunds as compared to the 2021 first six months.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Average debt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1,149,355</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1,330,618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1,163,759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1,373,873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Average interest rate</w:t>
            </w:r>
          </w:p>
        </w:tc>
        <w:tc>
          <w:tcPr>
            <w:tcW w:w="3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3.7 %</w:t>
            </w: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3.2 %</w:t>
            </w:r>
          </w:p>
        </w:tc>
        <w:tc>
          <w:tcPr>
            <w:tcW w:w="3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3.1 %</w:t>
            </w:r>
          </w:p>
        </w:tc>
      </w:tr>
    </w:tbl>
    <w:p>
      <w:pPr>
        <w:spacing w:after="0" w:line="133" w:lineRule="exact"/>
        <w:rPr>
          <w:sz w:val="20"/>
          <w:szCs w:val="20"/>
          <w:color w:val="auto"/>
        </w:rPr>
      </w:pPr>
    </w:p>
    <w:p>
      <w:pPr>
        <w:jc w:val="both"/>
        <w:ind w:right="100" w:firstLine="569"/>
        <w:spacing w:after="0" w:line="270" w:lineRule="auto"/>
        <w:rPr>
          <w:sz w:val="20"/>
          <w:szCs w:val="20"/>
          <w:color w:val="auto"/>
        </w:rPr>
      </w:pPr>
      <w:r>
        <w:rPr>
          <w:rFonts w:ascii="Arial" w:cs="Arial" w:eastAsia="Arial" w:hAnsi="Arial"/>
          <w:sz w:val="17"/>
          <w:szCs w:val="17"/>
          <w:color w:val="auto"/>
        </w:rPr>
        <w:t>Interest expense for the 2022 second quarter and first six months decreased 1% and 4%, respectively, compared with the 2021 second quarter and first six months, primarily due to lower average debt outstanding as a result of debt repayments during 2021 and 2022, partially offset by a higher average interest rate. There was no capitalized interest excluded from interest expense during the 2022 or 2021 first six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4"/>
                <w:szCs w:val="14"/>
                <w:color w:val="auto"/>
              </w:rPr>
            </w:pPr>
          </w:p>
        </w:tc>
        <w:tc>
          <w:tcPr>
            <w:tcW w:w="15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1,052,255</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1,003,865</w:t>
            </w:r>
          </w:p>
        </w:tc>
        <w:tc>
          <w:tcPr>
            <w:tcW w:w="1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3,652,652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3,678,515</w:t>
            </w:r>
          </w:p>
        </w:tc>
        <w:tc>
          <w:tcPr>
            <w:tcW w:w="170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159,968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167,730</w:t>
            </w:r>
          </w:p>
        </w:tc>
        <w:tc>
          <w:tcPr>
            <w:tcW w:w="1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438,748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438,748</w:t>
            </w:r>
          </w:p>
        </w:tc>
        <w:tc>
          <w:tcPr>
            <w:tcW w:w="2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55,770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60,070</w:t>
            </w:r>
          </w:p>
        </w:tc>
        <w:tc>
          <w:tcPr>
            <w:tcW w:w="1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45,763</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50,135</w:t>
            </w:r>
          </w:p>
        </w:tc>
        <w:tc>
          <w:tcPr>
            <w:tcW w:w="1700" w:type="dxa"/>
            <w:vAlign w:val="bottom"/>
            <w:tcBorders>
              <w:bottom w:val="single" w:sz="8" w:color="CFF0FC"/>
            </w:tcBorders>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5,405,156</w:t>
            </w:r>
          </w:p>
        </w:tc>
        <w:tc>
          <w:tcPr>
            <w:tcW w:w="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5,399,063</w:t>
            </w:r>
          </w:p>
        </w:tc>
        <w:tc>
          <w:tcPr>
            <w:tcW w:w="260" w:type="dxa"/>
            <w:vAlign w:val="bottom"/>
          </w:tcPr>
          <w:p>
            <w:pPr>
              <w:spacing w:after="0"/>
              <w:rPr>
                <w:sz w:val="17"/>
                <w:szCs w:val="17"/>
                <w:color w:val="auto"/>
              </w:rPr>
            </w:pPr>
          </w:p>
        </w:tc>
        <w:tc>
          <w:tcPr>
            <w:tcW w:w="15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541,372</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543,772</w:t>
            </w:r>
          </w:p>
        </w:tc>
        <w:tc>
          <w:tcPr>
            <w:tcW w:w="260" w:type="dxa"/>
            <w:vAlign w:val="bottom"/>
          </w:tcPr>
          <w:p>
            <w:pPr>
              <w:spacing w:after="0"/>
              <w:rPr>
                <w:sz w:val="17"/>
                <w:szCs w:val="17"/>
                <w:color w:val="auto"/>
              </w:rPr>
            </w:pP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Long-term debt, net – less current portion</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1,131,849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1,161,433</w:t>
            </w:r>
          </w:p>
        </w:tc>
        <w:tc>
          <w:tcPr>
            <w:tcW w:w="1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590,876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574,152</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 less current portion</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150,355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159,672</w:t>
            </w:r>
          </w:p>
        </w:tc>
        <w:tc>
          <w:tcPr>
            <w:tcW w:w="1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60,960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71,252</w:t>
            </w:r>
          </w:p>
        </w:tc>
        <w:tc>
          <w:tcPr>
            <w:tcW w:w="170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2,929,744</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2,888,782</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5,405,156</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5,399,063</w:t>
            </w:r>
          </w:p>
        </w:tc>
        <w:tc>
          <w:tcPr>
            <w:tcW w:w="260" w:type="dxa"/>
            <w:vAlign w:val="bottom"/>
          </w:tcPr>
          <w:p>
            <w:pPr>
              <w:spacing w:after="0"/>
              <w:rPr>
                <w:sz w:val="17"/>
                <w:szCs w:val="17"/>
                <w:color w:val="auto"/>
              </w:rPr>
            </w:pPr>
          </w:p>
        </w:tc>
        <w:tc>
          <w:tcPr>
            <w:tcW w:w="15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-1350645</wp:posOffset>
            </wp:positionV>
            <wp:extent cx="768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-1350645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jc w:val="both"/>
        <w:ind w:right="100" w:firstLine="562"/>
        <w:spacing w:after="0" w:line="248" w:lineRule="auto"/>
        <w:rPr>
          <w:sz w:val="20"/>
          <w:szCs w:val="20"/>
          <w:color w:val="auto"/>
        </w:rPr>
      </w:pPr>
      <w:r>
        <w:rPr>
          <w:rFonts w:ascii="Arial" w:cs="Arial" w:eastAsia="Arial" w:hAnsi="Arial"/>
          <w:sz w:val="18"/>
          <w:szCs w:val="18"/>
          <w:color w:val="auto"/>
        </w:rPr>
        <w:t>Current assets as of June 30, 2022 increased 5% compared with December 31, 2021. Trade accounts receivable increased 7%, primarily due to increased business activity levels in KMT. Other accounts receivable decreased 15%, primarily due to recoveries on the settlement of insurance claims. Inventories increased by 12% due to higher activity and the impact of supply chain delays in KDS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24" w:name="page25"/>
    <w:bookmarkEnd w:id="24"/>
    <w:p>
      <w:pPr>
        <w:jc w:val="both"/>
        <w:ind w:right="20"/>
        <w:spacing w:after="0" w:line="261" w:lineRule="auto"/>
        <w:rPr>
          <w:sz w:val="20"/>
          <w:szCs w:val="20"/>
          <w:color w:val="auto"/>
        </w:rPr>
      </w:pPr>
      <w:r>
        <w:rPr>
          <w:rFonts w:ascii="Arial" w:cs="Arial" w:eastAsia="Arial" w:hAnsi="Arial"/>
          <w:sz w:val="18"/>
          <w:szCs w:val="18"/>
          <w:color w:val="auto"/>
        </w:rPr>
        <w:t>resulting in buildup for projects that will be delivered later in 2022 and into 2023. Prepaid expenses and other current assets increased 21% primarily due to the increase in the price of diesel fuel purchased in June 2022.</w:t>
      </w:r>
    </w:p>
    <w:p>
      <w:pPr>
        <w:spacing w:after="0" w:line="144"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Property and equipment, net of accumulated depreciation, at June 30, 2022 decreased 1% compared with December 31, 2021. The decrease reflected $96.3 million of depreciation expense and $16.1 million of property disposals, partially offset by $82.7 million of capital additions (including an increase in accrued capital expenditures of $3.7 million) and an acquisition for $3.9 million during the 2022 first six months, more fully described under Cash Flows and Capital Expenditures below.</w:t>
      </w:r>
    </w:p>
    <w:p>
      <w:pPr>
        <w:spacing w:after="0" w:line="147"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Operating lease right-of-use assets as of June 30, 2022 decreased 5% compared to December 31, 2021, primarily due to lease amortization expense, partially offset by new leases acquired during the 2022 first six months.</w:t>
      </w:r>
    </w:p>
    <w:p>
      <w:pPr>
        <w:spacing w:after="0" w:line="130" w:lineRule="exact"/>
        <w:rPr>
          <w:sz w:val="20"/>
          <w:szCs w:val="20"/>
          <w:color w:val="auto"/>
        </w:rPr>
      </w:pPr>
    </w:p>
    <w:p>
      <w:pPr>
        <w:jc w:val="both"/>
        <w:ind w:right="20" w:firstLine="562"/>
        <w:spacing w:after="0" w:line="261" w:lineRule="auto"/>
        <w:rPr>
          <w:sz w:val="20"/>
          <w:szCs w:val="20"/>
          <w:color w:val="auto"/>
        </w:rPr>
      </w:pPr>
      <w:r>
        <w:rPr>
          <w:rFonts w:ascii="Arial" w:cs="Arial" w:eastAsia="Arial" w:hAnsi="Arial"/>
          <w:sz w:val="18"/>
          <w:szCs w:val="18"/>
          <w:color w:val="auto"/>
        </w:rPr>
        <w:t>Other intangibles, net, as of June 30, 2022 decreased 7% compared with December 31, 2021, primarily due to amortization during the 2022 first six months.</w:t>
      </w:r>
    </w:p>
    <w:p>
      <w:pPr>
        <w:spacing w:after="0" w:line="144" w:lineRule="exact"/>
        <w:rPr>
          <w:sz w:val="20"/>
          <w:szCs w:val="20"/>
          <w:color w:val="auto"/>
        </w:rPr>
      </w:pPr>
    </w:p>
    <w:p>
      <w:pPr>
        <w:jc w:val="both"/>
        <w:ind w:right="20" w:firstLine="562"/>
        <w:spacing w:after="0" w:line="261" w:lineRule="auto"/>
        <w:rPr>
          <w:sz w:val="20"/>
          <w:szCs w:val="20"/>
          <w:color w:val="auto"/>
        </w:rPr>
      </w:pPr>
      <w:r>
        <w:rPr>
          <w:rFonts w:ascii="Arial" w:cs="Arial" w:eastAsia="Arial" w:hAnsi="Arial"/>
          <w:sz w:val="18"/>
          <w:szCs w:val="18"/>
          <w:color w:val="auto"/>
        </w:rPr>
        <w:t>Other assets as of June 30, 2022 decreased 9% compared with December 31, 2021, primarily due to amortization of drydock expenditures, partially offset by additional deferred major maintenance drydock expenditures incurred during the 2022 first six months.</w:t>
      </w:r>
    </w:p>
    <w:p>
      <w:pPr>
        <w:spacing w:after="0" w:line="130" w:lineRule="exact"/>
        <w:rPr>
          <w:sz w:val="20"/>
          <w:szCs w:val="20"/>
          <w:color w:val="auto"/>
        </w:rPr>
      </w:pPr>
    </w:p>
    <w:p>
      <w:pPr>
        <w:jc w:val="both"/>
        <w:ind w:firstLine="569"/>
        <w:spacing w:after="0" w:line="248" w:lineRule="auto"/>
        <w:rPr>
          <w:sz w:val="20"/>
          <w:szCs w:val="20"/>
          <w:color w:val="auto"/>
        </w:rPr>
      </w:pPr>
      <w:r>
        <w:rPr>
          <w:rFonts w:ascii="Arial" w:cs="Arial" w:eastAsia="Arial" w:hAnsi="Arial"/>
          <w:sz w:val="18"/>
          <w:szCs w:val="18"/>
          <w:color w:val="auto"/>
        </w:rPr>
        <w:t>Current liabilities as of June 30, 2022 was flat compared with December 31, 2021. Accrued liabilities decreased 16% primarily due to the payment of employee incentive compensation bonuses as well as the settlement of insurance claims, offset by an increase in accounts payable of 18%, primarily due to increased activity levels in KMT and KDS.</w:t>
      </w:r>
    </w:p>
    <w:p>
      <w:pPr>
        <w:spacing w:after="0" w:line="141"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Long-term debt, net – less current portion, as of June 30, 2022 decreased 3% compared with December 31, 2021, primarily reflecting repayments of $30.0 million under the 2024 Term Loan.</w:t>
      </w:r>
    </w:p>
    <w:p>
      <w:pPr>
        <w:spacing w:after="0" w:line="144"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Deferred income taxes as of June 30, 2022 increased 3% compared with December 31, 2021, primarily reflecting the deferred tax provision of $15.3 million.</w:t>
      </w:r>
    </w:p>
    <w:p>
      <w:pPr>
        <w:spacing w:after="0" w:line="130" w:lineRule="exact"/>
        <w:rPr>
          <w:sz w:val="20"/>
          <w:szCs w:val="20"/>
          <w:color w:val="auto"/>
        </w:rPr>
      </w:pPr>
    </w:p>
    <w:p>
      <w:pPr>
        <w:jc w:val="both"/>
        <w:ind w:right="20" w:firstLine="562"/>
        <w:spacing w:after="0" w:line="261" w:lineRule="auto"/>
        <w:rPr>
          <w:sz w:val="20"/>
          <w:szCs w:val="20"/>
          <w:color w:val="auto"/>
        </w:rPr>
      </w:pPr>
      <w:r>
        <w:rPr>
          <w:rFonts w:ascii="Arial" w:cs="Arial" w:eastAsia="Arial" w:hAnsi="Arial"/>
          <w:sz w:val="18"/>
          <w:szCs w:val="18"/>
          <w:color w:val="auto"/>
        </w:rPr>
        <w:t>Operating lease liabilities – less current portion, as of June 30, 2022 decreased 6% compared to December 31, 2021, primarily due to lease payments made, partially offset by new leases acquired and liability accretion during the 2022 first six months.</w:t>
      </w:r>
    </w:p>
    <w:p>
      <w:pPr>
        <w:spacing w:after="0" w:line="130" w:lineRule="exact"/>
        <w:rPr>
          <w:sz w:val="20"/>
          <w:szCs w:val="20"/>
          <w:color w:val="auto"/>
        </w:rPr>
      </w:pPr>
    </w:p>
    <w:p>
      <w:pPr>
        <w:jc w:val="both"/>
        <w:ind w:firstLine="562"/>
        <w:spacing w:after="0" w:line="261" w:lineRule="auto"/>
        <w:rPr>
          <w:sz w:val="20"/>
          <w:szCs w:val="20"/>
          <w:color w:val="auto"/>
        </w:rPr>
      </w:pPr>
      <w:r>
        <w:rPr>
          <w:rFonts w:ascii="Arial" w:cs="Arial" w:eastAsia="Arial" w:hAnsi="Arial"/>
          <w:sz w:val="18"/>
          <w:szCs w:val="18"/>
          <w:color w:val="auto"/>
        </w:rPr>
        <w:t>Other long-term liabilities as of June 30, 2022 decreased 14% compared with December 31, 2021, primarily due to amortization of intangible liabilities and a decrease in pension liabilities.</w:t>
      </w:r>
    </w:p>
    <w:p>
      <w:pPr>
        <w:spacing w:after="0" w:line="144" w:lineRule="exact"/>
        <w:rPr>
          <w:sz w:val="20"/>
          <w:szCs w:val="20"/>
          <w:color w:val="auto"/>
        </w:rPr>
      </w:pPr>
    </w:p>
    <w:p>
      <w:pPr>
        <w:jc w:val="both"/>
        <w:ind w:firstLine="569"/>
        <w:spacing w:after="0" w:line="248" w:lineRule="auto"/>
        <w:rPr>
          <w:sz w:val="20"/>
          <w:szCs w:val="20"/>
          <w:color w:val="auto"/>
        </w:rPr>
      </w:pPr>
      <w:r>
        <w:rPr>
          <w:rFonts w:ascii="Arial" w:cs="Arial" w:eastAsia="Arial" w:hAnsi="Arial"/>
          <w:sz w:val="18"/>
          <w:szCs w:val="18"/>
          <w:color w:val="auto"/>
        </w:rPr>
        <w:t>Total equity as of June 30, 2022 increased 1% compared with December 31, 2021. The increase was primarily due to the net earnings attributable to Kirby of $45.9 million, amortization of share-based compensation of $8.6 million, and stock option exercises of $3.9 million, partially offset by treasury stock purchases of $18.1 million and tax withholdings of $3.2 million on restricted stock and RSU vestings.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Revolving Credit Facility due March 27, 2024 (a)</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due March 27, 2024 (a)</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285,000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315,000</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3.29% senior notes due February 27, 2023</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4.2% senior notes due March 1, 2028</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Credit line due June 30, 2024</w:t>
            </w:r>
          </w:p>
        </w:tc>
        <w:tc>
          <w:tcPr>
            <w:tcW w:w="26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Bank notes payable</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4,206</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1,139,206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1,166,934</w:t>
            </w:r>
          </w:p>
        </w:tc>
        <w:tc>
          <w:tcPr>
            <w:tcW w:w="100" w:type="dxa"/>
            <w:vAlign w:val="bottom"/>
          </w:tcPr>
          <w:p>
            <w:pPr>
              <w:spacing w:after="0"/>
              <w:rPr>
                <w:sz w:val="17"/>
                <w:szCs w:val="17"/>
                <w:color w:val="auto"/>
              </w:rPr>
            </w:pPr>
          </w:p>
        </w:tc>
      </w:tr>
      <w:tr>
        <w:trPr>
          <w:trHeight w:val="203"/>
        </w:trPr>
        <w:tc>
          <w:tcPr>
            <w:tcW w:w="8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Unamortized debt discounts and issuance costs (b)</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(3,151 )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(3,567 )</w:t>
            </w:r>
          </w:p>
        </w:tc>
      </w:tr>
      <w:tr>
        <w:trPr>
          <w:trHeight w:val="196"/>
        </w:trPr>
        <w:tc>
          <w:tcPr>
            <w:tcW w:w="81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1,136,055</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1,163,367</w:t>
            </w:r>
          </w:p>
        </w:tc>
        <w:tc>
          <w:tcPr>
            <w:tcW w:w="100" w:type="dxa"/>
            <w:vAlign w:val="bottom"/>
            <w:tcBorders>
              <w:top w:val="single" w:sz="8" w:color="CFF0FC"/>
            </w:tcBorders>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-424815</wp:posOffset>
            </wp:positionV>
            <wp:extent cx="7747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7747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left="940" w:hanging="37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Variable interest rate of 3.0% and 1.5% at June 30, 2022 and December 31, 2021, respectively.</w:t>
      </w:r>
    </w:p>
    <w:p>
      <w:pPr>
        <w:spacing w:after="0" w:line="11" w:lineRule="exact"/>
        <w:rPr>
          <w:rFonts w:ascii="Arial" w:cs="Arial" w:eastAsia="Arial" w:hAnsi="Arial"/>
          <w:sz w:val="18"/>
          <w:szCs w:val="18"/>
          <w:color w:val="auto"/>
        </w:rPr>
      </w:pPr>
    </w:p>
    <w:p>
      <w:pPr>
        <w:ind w:left="940" w:hanging="370"/>
        <w:spacing w:after="0" w:line="24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$1.1 million and $1.4 million attributable to the 2024 Revolving Credit Facility included in other assets at June 30, 2022 and December 31, 2021,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jc w:val="both"/>
        <w:ind w:firstLine="569"/>
        <w:spacing w:after="0"/>
        <w:rPr>
          <w:sz w:val="20"/>
          <w:szCs w:val="20"/>
          <w:color w:val="auto"/>
        </w:rPr>
      </w:pPr>
      <w:r>
        <w:rPr>
          <w:rFonts w:ascii="Arial" w:cs="Arial" w:eastAsia="Arial" w:hAnsi="Arial"/>
          <w:sz w:val="18"/>
          <w:szCs w:val="18"/>
          <w:color w:val="auto"/>
        </w:rPr>
        <w:t>At June 30, 2022, the Company had in place the 2024 Credit Agreement with a group of commercial banks, with JPMorgan Chase Bank, N.A. as the administrative agent bank, that allowed for the $850 million unsecured 2024 Revolving Credit Facility and the 2024 Term Loan with a maturity date of March 27, 2024. The 2024 Term Loan was prepayable, in whole or in part, without penalty. During the six months ended June 30, 2022, the Company repaid $30.0 million under the 2024 Term Loan. Outstanding letters of credit under the 2024 Revolving Credit Facility were $5.1 million and available borrowing capacity was $844.9 million as of June 30, 2022. Outstanding letters of credit under the $10 million credit line were $1.3 million and available borrowing capacity was $8.7 million as of June 30, 2022.</w:t>
      </w:r>
    </w:p>
    <w:p>
      <w:pPr>
        <w:spacing w:after="0" w:line="162"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6"/>
          <w:szCs w:val="16"/>
          <w:color w:val="auto"/>
        </w:rPr>
        <w:t>On July 29, 2022, the 2024 Credit Agreement was replaced with the 2027 Credit Agreement with a group of commercial banks, with JPMorgan Chase Bank, N.A. as the administrative agent bank that allows for the $500 million 2027 Revolving Credit Facility and the 2027 Term Loan with a maturity date of July 29, 2027. In conjunction with entering into the 2027 Credit Agreement, on July 29, 2022, the Company borrowed $35 million under the 2027 Revolving Credit Facility and $250 million under the 2027 Term Loan to repay borrowings under the 2024 Term Loan. The 2027 Term Loan is repayable in quarterly installments, scheduled to commence December 31, 2022, in increasing percentages of the original principal amount of the loan, with the remaining unpaid balance of approximately $43.8 million payable upon maturity, assuming no prepayment. The 2027 Term Loan is prepayable, in whole or in part, without penalty. The 2027 Revolving Credit Facility includes a $25 million commitment which may be used for standby letters of credit.</w:t>
      </w:r>
    </w:p>
    <w:p>
      <w:pPr>
        <w:spacing w:after="0" w:line="123" w:lineRule="exact"/>
        <w:rPr>
          <w:sz w:val="20"/>
          <w:szCs w:val="20"/>
          <w:color w:val="auto"/>
        </w:rPr>
      </w:pPr>
    </w:p>
    <w:p>
      <w:pPr>
        <w:jc w:val="both"/>
        <w:ind w:firstLine="562"/>
        <w:spacing w:after="0" w:line="239" w:lineRule="auto"/>
        <w:rPr>
          <w:sz w:val="20"/>
          <w:szCs w:val="20"/>
          <w:color w:val="auto"/>
        </w:rPr>
      </w:pPr>
      <w:r>
        <w:rPr>
          <w:rFonts w:ascii="Arial" w:cs="Arial" w:eastAsia="Arial" w:hAnsi="Arial"/>
          <w:sz w:val="18"/>
          <w:szCs w:val="18"/>
          <w:color w:val="auto"/>
        </w:rPr>
        <w:t>On February 3, 2022, the Company entered into a note purchase agreement for the issuance of $300 million of 2033 Notes with a group of institutional investors, consisting of $60 million of 3.46% Series A Notes and $240 million of 3.51% Series B Notes, each due January 19, 2033. The Series A Notes are scheduled to be issued on October 20, 2022, and the Series B Notes are scheduled to be issued on January 19, 2023. No principal payments will be required until maturity. Beginning in 2023, interest payments of $5.3 million will be due semi-annually on January 19 and July 19 of each year, with the exception of the first payment on January 19, 2023, which will be $0.5 million. The 2023 Notes are excluded from short term liabilities because the Company intends to use a combination of the proceeds from the issuance of the 2033 Notes and availability under the 2027 Revolving Credit Facility to repay the 2023 Notes upon maturity.</w:t>
      </w:r>
    </w:p>
    <w:p>
      <w:pPr>
        <w:spacing w:after="0" w:line="15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As of June 30, 2022, the Company was in compliance with all covenants under its debt instruments. For additional information about the Company’s debt instruments, see Note 5, Long-Term Debt, in the financial statements as well as Note 5, Long-Term Debt, in the Company’s Annual Report on Form 10-K for the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171"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7"/>
          <w:szCs w:val="17"/>
          <w:color w:val="auto"/>
        </w:rPr>
        <w:t>The Company generated positive operating cash flows during the 2022 first six months with net cash provided by operating activities of $95.6 million compared with $197.8 million for the 2021 first six months, a 52% decrease. The decrease was primarily due to a tax refund of $119.5 million, including accrued interest, for the Company’s 2019 federal tax return which was received in the 2021 first quarter. In addition, increased revenues and operating income in KMT and KDS during the 2022 first six months were offset by increased inventory purchases from higher activity levels and increased employee incentive compensation bonuses paid during the 2022 first six months. Increases in KMT revenues and operating income were driven by increased barge utilization and higher term and spot contract pricing in the inland and coastal markets during the 2022 first six months. The 2021 first six months KMT revenues and operating income were also negatively impacted by the impacts of Winter Storm Uri in February 2021. During the 2022 and 2021 second quarters and first six months, the Company generated cash of $23.3 million and $16.7 million, respectively, from proceeds from the disposition of assets, and $3.9 million and $0.5 million, respectively, from proceeds from the exercise of stock options.</w:t>
      </w:r>
    </w:p>
    <w:p>
      <w:pPr>
        <w:spacing w:after="0" w:line="143" w:lineRule="exact"/>
        <w:rPr>
          <w:sz w:val="20"/>
          <w:szCs w:val="20"/>
          <w:color w:val="auto"/>
        </w:rPr>
      </w:pPr>
    </w:p>
    <w:p>
      <w:pPr>
        <w:jc w:val="both"/>
        <w:ind w:firstLine="569"/>
        <w:spacing w:after="0" w:line="261" w:lineRule="auto"/>
        <w:rPr>
          <w:sz w:val="20"/>
          <w:szCs w:val="20"/>
          <w:color w:val="auto"/>
        </w:rPr>
      </w:pPr>
      <w:r>
        <w:rPr>
          <w:rFonts w:ascii="Arial" w:cs="Arial" w:eastAsia="Arial" w:hAnsi="Arial"/>
          <w:sz w:val="18"/>
          <w:szCs w:val="18"/>
          <w:color w:val="auto"/>
        </w:rPr>
        <w:t>For the 2022 first six months, cash generated was used for capital expenditures of $79.1 million, including $4.5 million for inland towboat construction and $74.6 million primarily for upgrading existing marine equipment and KMT and KDS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171" w:lineRule="exact"/>
        <w:rPr>
          <w:sz w:val="20"/>
          <w:szCs w:val="20"/>
          <w:color w:val="auto"/>
        </w:rPr>
      </w:pPr>
    </w:p>
    <w:p>
      <w:pPr>
        <w:jc w:val="both"/>
        <w:ind w:firstLine="569"/>
        <w:spacing w:after="0" w:line="238" w:lineRule="auto"/>
        <w:rPr>
          <w:sz w:val="20"/>
          <w:szCs w:val="20"/>
          <w:color w:val="auto"/>
        </w:rPr>
      </w:pPr>
      <w:r>
        <w:rPr>
          <w:rFonts w:ascii="Arial" w:cs="Arial" w:eastAsia="Arial" w:hAnsi="Arial"/>
          <w:sz w:val="18"/>
          <w:szCs w:val="18"/>
          <w:color w:val="auto"/>
        </w:rPr>
        <w:t>During the 2022 first six months, the Company purchased 0.3 million shares of its common stock for $18.1 million, at an average price of $58.33 per share. During August 2022, the Company has purchased an additional 0.1 million shares of its common stock for $4.6 million, at an average price of $63.33 per share. As of August 5, 2022, the Company had approximately 1.0 million shares available under its existing repurchase authorization. Historically, treasury stock purchases have been financed through operating cash flows and borrowings under the Company’s then current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ind w:right="20" w:firstLine="562"/>
        <w:spacing w:after="0" w:line="243"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August 5, 2022 the Company also had cash equivalents of $18.0 million, availability of $459.9 million under its 2027 Revolving Credit Facility, and $8.7 million available under its credit line.</w:t>
      </w:r>
    </w:p>
    <w:p>
      <w:pPr>
        <w:spacing w:after="0" w:line="147" w:lineRule="exact"/>
        <w:rPr>
          <w:sz w:val="20"/>
          <w:szCs w:val="20"/>
          <w:color w:val="auto"/>
        </w:rPr>
      </w:pPr>
    </w:p>
    <w:p>
      <w:pPr>
        <w:jc w:val="both"/>
        <w:ind w:right="20" w:firstLine="562"/>
        <w:spacing w:after="0" w:line="261"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30"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55" w:lineRule="exact"/>
        <w:rPr>
          <w:sz w:val="20"/>
          <w:szCs w:val="20"/>
          <w:color w:val="auto"/>
        </w:rPr>
      </w:pPr>
    </w:p>
    <w:p>
      <w:pPr>
        <w:jc w:val="both"/>
        <w:ind w:firstLine="562"/>
        <w:spacing w:after="0" w:line="276" w:lineRule="auto"/>
        <w:rPr>
          <w:sz w:val="20"/>
          <w:szCs w:val="20"/>
          <w:color w:val="auto"/>
        </w:rPr>
      </w:pPr>
      <w:r>
        <w:rPr>
          <w:rFonts w:ascii="Arial" w:cs="Arial" w:eastAsia="Arial" w:hAnsi="Arial"/>
          <w:sz w:val="16"/>
          <w:szCs w:val="16"/>
          <w:color w:val="auto"/>
        </w:rPr>
        <w:t>The 2027 Revolving Credit Facility's commitment is in the amount of $500 million and matures July 29, 2027. The 2023 Notes do not mature until February 27, 2023 and require no prepayments. The Company intends to use a combination of the proceeds from the issuance of the 2033 Notes and availability under the 2027 Revolving Credit Facility to repay the 2023 Notes upon maturity. The 4.2% senior unsecured notes do not mature until March 1, 2028 and require no prepayments. The 2027 Term Loan in the amount of $250 million is subject to quarterly installments, beginning December 31, 2022,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7"/>
          <w:szCs w:val="17"/>
          <w:color w:val="auto"/>
        </w:rPr>
        <w:t>There are numerous factors that may negatively impact the Company’s cash flows in 2022. For a list of significant risks and uncertainties that could impact cash flows, see Note 13, Contingencies and Commitments, in the financial statements, and Item 1A — Risk Factors and Note 14, Contingencies and Commitments, in the Company’s Annual Report on Form 10-K for the year ended December 31, 2021. Amounts available under the Company’s existing financial arrangements are subject to the Company continuing to meet the covenants of the credit facilities as described in Note 5, Long-Term Debt in the Company’s Annual Report on Form 10-K for the year ended December 31, 2021.</w:t>
      </w:r>
    </w:p>
    <w:p>
      <w:pPr>
        <w:spacing w:after="0" w:line="133"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$20.2 million at June 30, 2022, including $12.1 million in letters of credit and $8.1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7"/>
          <w:szCs w:val="17"/>
          <w:color w:val="auto"/>
        </w:rPr>
        <w:t>KMT term contracts typically contain fuel escalation clauses, or the customer pays for the fuel. However, there is generally a 30 to 90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35" w:lineRule="exact"/>
        <w:rPr>
          <w:sz w:val="20"/>
          <w:szCs w:val="20"/>
          <w:color w:val="auto"/>
        </w:rPr>
      </w:pPr>
    </w:p>
    <w:p>
      <w:pPr>
        <w:jc w:val="both"/>
        <w:ind w:firstLine="562"/>
        <w:spacing w:after="0" w:line="241" w:lineRule="auto"/>
        <w:rPr>
          <w:sz w:val="20"/>
          <w:szCs w:val="20"/>
          <w:color w:val="auto"/>
        </w:rPr>
      </w:pPr>
      <w:r>
        <w:rPr>
          <w:rFonts w:ascii="Arial" w:cs="Arial" w:eastAsia="Arial" w:hAnsi="Arial"/>
          <w:sz w:val="18"/>
          <w:szCs w:val="18"/>
          <w:color w:val="auto"/>
        </w:rPr>
        <w:t>While inflationary pressures have increased in the second half of 2021 and into 2022, 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562"/>
        <w:spacing w:after="0" w:line="262" w:lineRule="auto"/>
        <w:rPr>
          <w:sz w:val="20"/>
          <w:szCs w:val="20"/>
          <w:color w:val="auto"/>
        </w:rPr>
      </w:pPr>
      <w:r>
        <w:rPr>
          <w:rFonts w:ascii="Arial" w:cs="Arial" w:eastAsia="Arial" w:hAnsi="Arial"/>
          <w:sz w:val="17"/>
          <w:szCs w:val="17"/>
          <w:color w:val="auto"/>
        </w:rPr>
        <w:t>The Company is exposed to risk from changes in interest rates on certain of its outstanding debt. The outstanding loan balances under the Company’s current bank credit facilities bear interest at variable rates based on prevailing short-term interest rates in the United States, while the previous bank credit facilities also included Europe. A 1% increase in variable interest rates would impact the 2022 interest expense by $3.2 million based on balances outstanding at December 31, 2021, and would change the fair value of the Company’s debt by approximately 3%.</w:t>
      </w:r>
    </w:p>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5"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June 30, 2022, as required by Rule 13a-15(b) under the Exchange Act. Based on that evaluation, the Chief Executive Officer and the Chief Financial Officer concluded that, as of June 30, 2022,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36"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2022 that have materially affected, or are reasonably likely to materially affect, the Company’s internal control over financial reporting.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13, Contingencies and Commitments, of the Notes to Condensed Financial Statements (Unaudited).</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569"/>
        <w:spacing w:after="0" w:line="261"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2021.</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6"/>
              </w:rPr>
              <w:t>Average Price Paid</w:t>
            </w:r>
          </w:p>
        </w:tc>
        <w:tc>
          <w:tcPr>
            <w:tcW w:w="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9"/>
              </w:rPr>
              <w:t>Shares Purchased</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April 1 — April 30, 2022</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ind w:left="128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May 1 — May 31, 2022</w:t>
            </w: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80" w:type="dxa"/>
            <w:vAlign w:val="bottom"/>
          </w:tcPr>
          <w:p>
            <w:pPr>
              <w:ind w:left="128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June 1 — June 30, 2022</w:t>
            </w: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310,047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58.33</w:t>
            </w:r>
          </w:p>
        </w:tc>
        <w:tc>
          <w:tcPr>
            <w:tcW w:w="26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ind w:left="128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310,047</w:t>
            </w:r>
          </w:p>
        </w:tc>
        <w:tc>
          <w:tcPr>
            <w:tcW w:w="520" w:type="dxa"/>
            <w:vAlign w:val="bottom"/>
            <w:gridSpan w:val="2"/>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58.33</w:t>
            </w:r>
          </w:p>
        </w:tc>
        <w:tc>
          <w:tcPr>
            <w:tcW w:w="260" w:type="dxa"/>
            <w:vAlign w:val="bottom"/>
          </w:tcPr>
          <w:p>
            <w:pPr>
              <w:spacing w:after="0"/>
              <w:rPr>
                <w:sz w:val="17"/>
                <w:szCs w:val="17"/>
                <w:color w:val="auto"/>
              </w:rPr>
            </w:pPr>
          </w:p>
        </w:tc>
        <w:tc>
          <w:tcPr>
            <w:tcW w:w="1480" w:type="dxa"/>
            <w:vAlign w:val="bottom"/>
          </w:tcPr>
          <w:p>
            <w:pPr>
              <w:ind w:left="128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-159385</wp:posOffset>
            </wp:positionV>
            <wp:extent cx="7747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-159385</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ind w:firstLine="569"/>
        <w:spacing w:after="0" w:line="261" w:lineRule="auto"/>
        <w:rPr>
          <w:sz w:val="20"/>
          <w:szCs w:val="20"/>
          <w:color w:val="auto"/>
        </w:rPr>
      </w:pPr>
      <w:r>
        <w:rPr>
          <w:rFonts w:ascii="Arial" w:cs="Arial" w:eastAsia="Arial" w:hAnsi="Arial"/>
          <w:sz w:val="18"/>
          <w:szCs w:val="18"/>
          <w:color w:val="auto"/>
        </w:rPr>
        <w:t>Purchases of the Company's common stock in June 2022 were made in the open market pursuant to a discretionary authorization by the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9"/>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20"/>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8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80" w:type="dxa"/>
            <w:vAlign w:val="bottom"/>
            <w:tcBorders>
              <w:bottom w:val="single" w:sz="8" w:color="auto"/>
            </w:tcBorders>
            <w:gridSpan w:val="2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ind w:left="120"/>
              <w:spacing w:after="0" w:line="169" w:lineRule="exact"/>
              <w:rPr>
                <w:sz w:val="20"/>
                <w:szCs w:val="20"/>
                <w:color w:val="auto"/>
              </w:rPr>
            </w:pPr>
            <w:r>
              <w:rPr>
                <w:rFonts w:ascii="Arial" w:cs="Arial" w:eastAsia="Arial" w:hAnsi="Arial"/>
                <w:sz w:val="18"/>
                <w:szCs w:val="18"/>
                <w:color w:val="auto"/>
              </w:rPr>
              <w:t>–</w:t>
            </w:r>
          </w:p>
        </w:tc>
        <w:tc>
          <w:tcPr>
            <w:tcW w:w="9880" w:type="dxa"/>
            <w:vAlign w:val="bottom"/>
            <w:gridSpan w:val="27"/>
            <w:shd w:val="clear" w:color="auto" w:fill="CFF0FC"/>
          </w:tcPr>
          <w:p>
            <w:pPr>
              <w:spacing w:after="0" w:line="169" w:lineRule="exact"/>
              <w:rPr>
                <w:rFonts w:ascii="Arial" w:cs="Arial" w:eastAsia="Arial" w:hAnsi="Arial"/>
                <w:sz w:val="18"/>
                <w:szCs w:val="18"/>
                <w:color w:val="0000FF"/>
                <w:w w:val="98"/>
              </w:rPr>
            </w:pPr>
            <w:hyperlink r:id="rId362">
              <w:r>
                <w:rPr>
                  <w:rFonts w:ascii="Arial" w:cs="Arial" w:eastAsia="Arial" w:hAnsi="Arial"/>
                  <w:sz w:val="18"/>
                  <w:szCs w:val="18"/>
                  <w:color w:val="0000FF"/>
                  <w:w w:val="98"/>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55"/>
        </w:trPr>
        <w:tc>
          <w:tcPr>
            <w:tcW w:w="8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200" w:type="dxa"/>
            <w:vAlign w:val="bottom"/>
            <w:tcBorders>
              <w:top w:val="single" w:sz="8" w:color="0000FF"/>
            </w:tcBorders>
            <w:gridSpan w:val="16"/>
            <w:shd w:val="clear" w:color="auto" w:fill="CFF0FC"/>
          </w:tcPr>
          <w:p>
            <w:pPr>
              <w:spacing w:after="0" w:line="156" w:lineRule="exact"/>
              <w:rPr>
                <w:rFonts w:ascii="Arial" w:cs="Arial" w:eastAsia="Arial" w:hAnsi="Arial"/>
                <w:sz w:val="18"/>
                <w:szCs w:val="18"/>
                <w:color w:val="0000FF"/>
              </w:rPr>
            </w:pPr>
            <w:hyperlink r:id="rId362">
              <w:r>
                <w:rPr>
                  <w:rFonts w:ascii="Arial" w:cs="Arial" w:eastAsia="Arial" w:hAnsi="Arial"/>
                  <w:sz w:val="18"/>
                  <w:szCs w:val="18"/>
                  <w:color w:val="0000FF"/>
                </w:rPr>
                <w:t>Registrant’s Annual Report on Form 10-K for the year ended December 31, 2014).</w:t>
              </w:r>
            </w:hyperlink>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363">
              <w:r>
                <w:rPr>
                  <w:rFonts w:ascii="Arial" w:cs="Arial" w:eastAsia="Arial" w:hAnsi="Arial"/>
                  <w:sz w:val="18"/>
                  <w:szCs w:val="18"/>
                  <w:color w:val="0000FF"/>
                  <w:w w:val="92"/>
                </w:rPr>
                <w:t>Bylaws of the Company, as amended to March 17, 2020 (incorporated by reference to Exhibit 3.2 to the Registrant’s Annual Report on</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63">
              <w:r>
                <w:rPr>
                  <w:rFonts w:ascii="Arial" w:cs="Arial" w:eastAsia="Arial" w:hAnsi="Arial"/>
                  <w:sz w:val="18"/>
                  <w:szCs w:val="18"/>
                  <w:color w:val="0000FF"/>
                </w:rPr>
                <w:t>Form 10-K for the year ended December 31,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64">
              <w:r>
                <w:rPr>
                  <w:rFonts w:ascii="Arial" w:cs="Arial" w:eastAsia="Arial" w:hAnsi="Arial"/>
                  <w:sz w:val="18"/>
                  <w:szCs w:val="18"/>
                  <w:color w:val="0000FF"/>
                  <w:w w:val="93"/>
                </w:rPr>
                <w:t>Amendment to Bylaws of Kirby Corporation dated March 18, 2020 (incorporated by reference to Exhibit 3.1 to the Registrant’s Current</w:t>
              </w:r>
            </w:hyperlink>
          </w:p>
        </w:tc>
        <w:tc>
          <w:tcPr>
            <w:tcW w:w="0" w:type="dxa"/>
            <w:vAlign w:val="bottom"/>
          </w:tcPr>
          <w:p>
            <w:pPr>
              <w:spacing w:after="0"/>
              <w:rPr>
                <w:sz w:val="1"/>
                <w:szCs w:val="1"/>
                <w:color w:val="auto"/>
              </w:rPr>
            </w:pPr>
          </w:p>
        </w:tc>
      </w:tr>
      <w:tr>
        <w:trPr>
          <w:trHeight w:val="155"/>
        </w:trPr>
        <w:tc>
          <w:tcPr>
            <w:tcW w:w="8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820" w:type="dxa"/>
            <w:vAlign w:val="bottom"/>
            <w:tcBorders>
              <w:top w:val="single" w:sz="8" w:color="0000FF"/>
            </w:tcBorders>
            <w:gridSpan w:val="24"/>
            <w:shd w:val="clear" w:color="auto" w:fill="CFF0FC"/>
          </w:tcPr>
          <w:p>
            <w:pPr>
              <w:spacing w:after="0" w:line="156" w:lineRule="exact"/>
              <w:rPr>
                <w:rFonts w:ascii="Arial" w:cs="Arial" w:eastAsia="Arial" w:hAnsi="Arial"/>
                <w:sz w:val="18"/>
                <w:szCs w:val="18"/>
                <w:color w:val="0000FF"/>
              </w:rPr>
            </w:pPr>
            <w:hyperlink r:id="rId364">
              <w:r>
                <w:rPr>
                  <w:rFonts w:ascii="Arial" w:cs="Arial" w:eastAsia="Arial" w:hAnsi="Arial"/>
                  <w:sz w:val="18"/>
                  <w:szCs w:val="18"/>
                  <w:color w:val="0000FF"/>
                </w:rPr>
                <w:t>Report on Form 8-K filed with the Commission on March 19, 2020).</w:t>
              </w:r>
            </w:hyperlink>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Pr>
          <w:p>
            <w:pPr>
              <w:ind w:left="20"/>
              <w:spacing w:after="0" w:line="16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4"/>
                <w:szCs w:val="14"/>
                <w:color w:val="auto"/>
              </w:rPr>
            </w:pPr>
          </w:p>
        </w:tc>
        <w:tc>
          <w:tcPr>
            <w:tcW w:w="10240" w:type="dxa"/>
            <w:vAlign w:val="bottom"/>
            <w:gridSpan w:val="28"/>
          </w:tcPr>
          <w:p>
            <w:pPr>
              <w:ind w:left="120"/>
              <w:spacing w:after="0" w:line="162" w:lineRule="exact"/>
              <w:rPr>
                <w:sz w:val="20"/>
                <w:szCs w:val="20"/>
                <w:color w:val="auto"/>
              </w:rPr>
            </w:pPr>
            <w:r>
              <w:rPr>
                <w:rFonts w:ascii="Arial" w:cs="Arial" w:eastAsia="Arial" w:hAnsi="Arial"/>
                <w:sz w:val="18"/>
                <w:szCs w:val="18"/>
                <w:color w:val="auto"/>
                <w:w w:val="94"/>
              </w:rPr>
              <w:t>–  See Exhibits 3.1, 3.2, and 3.3 hereof for provisions of our Restated Articles of Incorporation of the Company with all amendments to</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27"/>
          </w:tcPr>
          <w:p>
            <w:pPr>
              <w:spacing w:after="0" w:line="176" w:lineRule="exact"/>
              <w:rPr>
                <w:sz w:val="20"/>
                <w:szCs w:val="20"/>
                <w:color w:val="auto"/>
              </w:rPr>
            </w:pPr>
            <w:r>
              <w:rPr>
                <w:rFonts w:ascii="Arial" w:cs="Arial" w:eastAsia="Arial" w:hAnsi="Arial"/>
                <w:sz w:val="18"/>
                <w:szCs w:val="18"/>
                <w:color w:val="auto"/>
                <w:w w:val="93"/>
              </w:rPr>
              <w:t>date, the Bylaws of the Company, as amended to March 17, 2020, and Amendment to Bylaws of the Company dated March 18, 2020</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80" w:type="dxa"/>
            <w:vAlign w:val="bottom"/>
            <w:gridSpan w:val="27"/>
          </w:tcPr>
          <w:p>
            <w:pPr>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(incorporated by reference to Exhibit </w:t>
            </w:r>
            <w:hyperlink r:id="rId362">
              <w:r>
                <w:rPr>
                  <w:rFonts w:ascii="Arial" w:cs="Arial" w:eastAsia="Arial" w:hAnsi="Arial"/>
                  <w:sz w:val="18"/>
                  <w:szCs w:val="18"/>
                  <w:color w:val="0000FF"/>
                  <w:w w:val="95"/>
                </w:rPr>
                <w:t>3.1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 xml:space="preserve">and </w:t>
            </w:r>
            <w:hyperlink r:id="rId363">
              <w:r>
                <w:rPr>
                  <w:rFonts w:ascii="Arial" w:cs="Arial" w:eastAsia="Arial" w:hAnsi="Arial"/>
                  <w:sz w:val="18"/>
                  <w:szCs w:val="18"/>
                  <w:color w:val="0000FF"/>
                  <w:w w:val="95"/>
                </w:rPr>
                <w:t>3.2</w:t>
              </w:r>
            </w:hyperlink>
            <w:r>
              <w:rPr>
                <w:rFonts w:ascii="Arial" w:cs="Arial" w:eastAsia="Arial" w:hAnsi="Arial"/>
                <w:sz w:val="18"/>
                <w:szCs w:val="18"/>
                <w:color w:val="auto"/>
                <w:w w:val="95"/>
              </w:rPr>
              <w:t>, respectively, to the Registrant's Annual Report on Form 10-K for the year ended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gridSpan w:val="27"/>
          </w:tcPr>
          <w:p>
            <w:pPr>
              <w:spacing w:after="0" w:line="156" w:lineRule="exact"/>
              <w:rPr>
                <w:rFonts w:ascii="Arial" w:cs="Arial" w:eastAsia="Arial" w:hAnsi="Arial"/>
                <w:sz w:val="18"/>
                <w:szCs w:val="18"/>
                <w:color w:val="auto"/>
                <w:w w:val="95"/>
              </w:rPr>
            </w:pPr>
            <w:r>
              <w:rPr>
                <w:rFonts w:ascii="Arial" w:cs="Arial" w:eastAsia="Arial" w:hAnsi="Arial"/>
                <w:sz w:val="18"/>
                <w:szCs w:val="18"/>
                <w:color w:val="auto"/>
                <w:w w:val="95"/>
              </w:rPr>
              <w:t xml:space="preserve">December 31, 2014 and Exhibit </w:t>
            </w:r>
            <w:hyperlink r:id="rId364">
              <w:r>
                <w:rPr>
                  <w:rFonts w:ascii="Arial" w:cs="Arial" w:eastAsia="Arial" w:hAnsi="Arial"/>
                  <w:sz w:val="18"/>
                  <w:szCs w:val="18"/>
                  <w:color w:val="0000FF"/>
                  <w:w w:val="95"/>
                </w:rPr>
                <w:t>3.1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Registrant’s Current Report on Form 8-K filed with the Commission on March 19, 2020).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365">
              <w:r>
                <w:rPr>
                  <w:rFonts w:ascii="Arial" w:cs="Arial" w:eastAsia="Arial" w:hAnsi="Arial"/>
                  <w:sz w:val="18"/>
                  <w:szCs w:val="18"/>
                  <w:color w:val="0000FF"/>
                  <w:w w:val="97"/>
                </w:rPr>
                <w:t>Change of Control Agreement by and between Kirby Corporation and David W. Grzebinski dated May 16, 2022 (incorporated by</w:t>
              </w:r>
            </w:hyperlink>
          </w:p>
        </w:tc>
        <w:tc>
          <w:tcPr>
            <w:tcW w:w="0" w:type="dxa"/>
            <w:vAlign w:val="bottom"/>
          </w:tcPr>
          <w:p>
            <w:pPr>
              <w:spacing w:after="0"/>
              <w:rPr>
                <w:sz w:val="1"/>
                <w:szCs w:val="1"/>
                <w:color w:val="auto"/>
              </w:rPr>
            </w:pPr>
          </w:p>
        </w:tc>
      </w:tr>
      <w:tr>
        <w:trPr>
          <w:trHeight w:val="156"/>
        </w:trPr>
        <w:tc>
          <w:tcPr>
            <w:tcW w:w="8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360" w:type="dxa"/>
            <w:vAlign w:val="bottom"/>
            <w:tcBorders>
              <w:top w:val="single" w:sz="8" w:color="0000FF"/>
            </w:tcBorders>
            <w:gridSpan w:val="18"/>
            <w:shd w:val="clear" w:color="auto" w:fill="CFF0FC"/>
          </w:tcPr>
          <w:p>
            <w:pPr>
              <w:spacing w:after="0" w:line="156" w:lineRule="exact"/>
              <w:rPr>
                <w:rFonts w:ascii="Arial" w:cs="Arial" w:eastAsia="Arial" w:hAnsi="Arial"/>
                <w:sz w:val="18"/>
                <w:szCs w:val="18"/>
                <w:color w:val="0000FF"/>
              </w:rPr>
            </w:pPr>
            <w:hyperlink r:id="rId365">
              <w:r>
                <w:rPr>
                  <w:rFonts w:ascii="Arial" w:cs="Arial" w:eastAsia="Arial" w:hAnsi="Arial"/>
                  <w:sz w:val="18"/>
                  <w:szCs w:val="18"/>
                  <w:color w:val="0000FF"/>
                </w:rPr>
                <w:t>reference to Exhibit 10.1 to the Registrant's Current Report on Form 8-K filed with the Commission on May 20, 2022).</w:t>
              </w:r>
            </w:hyperlink>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gridSpan w:val="2"/>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66">
              <w:r>
                <w:rPr>
                  <w:rFonts w:ascii="Arial" w:cs="Arial" w:eastAsia="Arial" w:hAnsi="Arial"/>
                  <w:sz w:val="18"/>
                  <w:szCs w:val="18"/>
                  <w:color w:val="0000FF"/>
                  <w:w w:val="95"/>
                </w:rPr>
                <w:t>Change of Control Agreement by and between Kirby Corporation and Raj Kumar dated May 16, 2022 (incorporated by reference to</w:t>
              </w:r>
            </w:hyperlink>
          </w:p>
        </w:tc>
        <w:tc>
          <w:tcPr>
            <w:tcW w:w="0" w:type="dxa"/>
            <w:vAlign w:val="bottom"/>
          </w:tcPr>
          <w:p>
            <w:pPr>
              <w:spacing w:after="0"/>
              <w:rPr>
                <w:sz w:val="1"/>
                <w:szCs w:val="1"/>
                <w:color w:val="auto"/>
              </w:rPr>
            </w:pPr>
          </w:p>
        </w:tc>
      </w:tr>
      <w:tr>
        <w:trPr>
          <w:trHeight w:val="163"/>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366">
              <w:r>
                <w:rPr>
                  <w:rFonts w:ascii="Arial" w:cs="Arial" w:eastAsia="Arial" w:hAnsi="Arial"/>
                  <w:sz w:val="18"/>
                  <w:szCs w:val="18"/>
                  <w:color w:val="0000FF"/>
                  <w:w w:val="92"/>
                </w:rPr>
                <w:t>Exhibit 10.2 to the Registrant's Current Report on Form 8-K filed with the Commission on May 20, 2022).</w:t>
              </w:r>
            </w:hyperlink>
          </w:p>
        </w:tc>
        <w:tc>
          <w:tcPr>
            <w:tcW w:w="1880" w:type="dxa"/>
            <w:vAlign w:val="bottom"/>
            <w:tcBorders>
              <w:top w:val="single" w:sz="8" w:color="0000FF"/>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367">
              <w:r>
                <w:rPr>
                  <w:rFonts w:ascii="Arial" w:cs="Arial" w:eastAsia="Arial" w:hAnsi="Arial"/>
                  <w:sz w:val="18"/>
                  <w:szCs w:val="18"/>
                  <w:color w:val="0000FF"/>
                  <w:w w:val="98"/>
                </w:rPr>
                <w:t>Change of Control Agreement by and between Kirby Corporation and Christian G. O'Neil dated May 16, 2022 (incorporated by</w:t>
              </w:r>
            </w:hyperlink>
          </w:p>
        </w:tc>
        <w:tc>
          <w:tcPr>
            <w:tcW w:w="0" w:type="dxa"/>
            <w:vAlign w:val="bottom"/>
          </w:tcPr>
          <w:p>
            <w:pPr>
              <w:spacing w:after="0"/>
              <w:rPr>
                <w:sz w:val="1"/>
                <w:szCs w:val="1"/>
                <w:color w:val="auto"/>
              </w:rPr>
            </w:pPr>
          </w:p>
        </w:tc>
      </w:tr>
      <w:tr>
        <w:trPr>
          <w:trHeight w:val="156"/>
        </w:trPr>
        <w:tc>
          <w:tcPr>
            <w:tcW w:w="8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240" w:type="dxa"/>
            <w:vAlign w:val="bottom"/>
            <w:tcBorders>
              <w:top w:val="single" w:sz="8" w:color="0000FF"/>
            </w:tcBorders>
            <w:gridSpan w:val="17"/>
            <w:shd w:val="clear" w:color="auto" w:fill="CFF0FC"/>
          </w:tcPr>
          <w:p>
            <w:pPr>
              <w:spacing w:after="0" w:line="156" w:lineRule="exact"/>
              <w:rPr>
                <w:rFonts w:ascii="Arial" w:cs="Arial" w:eastAsia="Arial" w:hAnsi="Arial"/>
                <w:sz w:val="18"/>
                <w:szCs w:val="18"/>
                <w:color w:val="0000FF"/>
                <w:w w:val="98"/>
              </w:rPr>
            </w:pPr>
            <w:hyperlink r:id="rId367">
              <w:r>
                <w:rPr>
                  <w:rFonts w:ascii="Arial" w:cs="Arial" w:eastAsia="Arial" w:hAnsi="Arial"/>
                  <w:sz w:val="18"/>
                  <w:szCs w:val="18"/>
                  <w:color w:val="0000FF"/>
                  <w:w w:val="98"/>
                </w:rPr>
                <w:t>reference to Exhibit 10.3 to the Registrant's Current Report on Form 8-K filed with the Commission on May 20, 2022).</w:t>
              </w:r>
            </w:hyperlink>
          </w:p>
        </w:tc>
        <w:tc>
          <w:tcPr>
            <w:tcW w:w="300" w:type="dxa"/>
            <w:vAlign w:val="bottom"/>
            <w:tcBorders>
              <w:top w:val="single" w:sz="8" w:color="CFF0FC"/>
            </w:tcBorders>
            <w:gridSpan w:val="2"/>
            <w:shd w:val="clear" w:color="auto" w:fill="CFF0FC"/>
          </w:tcPr>
          <w:p>
            <w:pPr>
              <w:spacing w:after="0"/>
              <w:rPr>
                <w:sz w:val="13"/>
                <w:szCs w:val="13"/>
                <w:color w:val="auto"/>
              </w:rPr>
            </w:pPr>
          </w:p>
        </w:tc>
        <w:tc>
          <w:tcPr>
            <w:tcW w:w="220" w:type="dxa"/>
            <w:vAlign w:val="bottom"/>
            <w:tcBorders>
              <w:top w:val="single" w:sz="8" w:color="CFF0FC"/>
            </w:tcBorders>
            <w:gridSpan w:val="3"/>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368">
              <w:r>
                <w:rPr>
                  <w:rFonts w:ascii="Arial" w:cs="Arial" w:eastAsia="Arial" w:hAnsi="Arial"/>
                  <w:sz w:val="18"/>
                  <w:szCs w:val="18"/>
                  <w:color w:val="0000FF"/>
                  <w:w w:val="92"/>
                </w:rPr>
                <w:t>Change of Control Agreement by and between Kirby Corporation and Amy D. Husted dated May 16, 2022 (incorporated by reference to</w:t>
              </w:r>
            </w:hyperlink>
          </w:p>
        </w:tc>
        <w:tc>
          <w:tcPr>
            <w:tcW w:w="0" w:type="dxa"/>
            <w:vAlign w:val="bottom"/>
          </w:tcPr>
          <w:p>
            <w:pPr>
              <w:spacing w:after="0"/>
              <w:rPr>
                <w:sz w:val="1"/>
                <w:szCs w:val="1"/>
                <w:color w:val="auto"/>
              </w:rPr>
            </w:pPr>
          </w:p>
        </w:tc>
      </w:tr>
      <w:tr>
        <w:trPr>
          <w:trHeight w:val="163"/>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368">
              <w:r>
                <w:rPr>
                  <w:rFonts w:ascii="Arial" w:cs="Arial" w:eastAsia="Arial" w:hAnsi="Arial"/>
                  <w:sz w:val="18"/>
                  <w:szCs w:val="18"/>
                  <w:color w:val="0000FF"/>
                  <w:w w:val="92"/>
                </w:rPr>
                <w:t>Exhibit 10.4 to the Registrant's Current Report on Form 8-K filed with the Commission on May 20, 2022).</w:t>
              </w:r>
            </w:hyperlink>
          </w:p>
        </w:tc>
        <w:tc>
          <w:tcPr>
            <w:tcW w:w="21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69">
              <w:r>
                <w:rPr>
                  <w:rFonts w:ascii="Arial" w:cs="Arial" w:eastAsia="Arial" w:hAnsi="Arial"/>
                  <w:sz w:val="18"/>
                  <w:szCs w:val="18"/>
                  <w:color w:val="0000FF"/>
                  <w:w w:val="93"/>
                </w:rPr>
                <w:t>Letter Agreement dated June 5, 2022 between the Company and Joseph H. Reniers (incorporated by reference to Exhibit 10.1 to the</w:t>
              </w:r>
            </w:hyperlink>
          </w:p>
        </w:tc>
        <w:tc>
          <w:tcPr>
            <w:tcW w:w="0" w:type="dxa"/>
            <w:vAlign w:val="bottom"/>
          </w:tcPr>
          <w:p>
            <w:pPr>
              <w:spacing w:after="0"/>
              <w:rPr>
                <w:sz w:val="1"/>
                <w:szCs w:val="1"/>
                <w:color w:val="auto"/>
              </w:rPr>
            </w:pPr>
          </w:p>
        </w:tc>
      </w:tr>
      <w:tr>
        <w:trPr>
          <w:trHeight w:val="163"/>
        </w:trPr>
        <w:tc>
          <w:tcPr>
            <w:tcW w:w="8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6380" w:type="dxa"/>
            <w:vAlign w:val="bottom"/>
            <w:tcBorders>
              <w:top w:val="single" w:sz="8" w:color="0000FF"/>
              <w:bottom w:val="single" w:sz="8" w:color="0000FF"/>
            </w:tcBorders>
            <w:gridSpan w:val="12"/>
            <w:shd w:val="clear" w:color="auto" w:fill="CFF0FC"/>
          </w:tcPr>
          <w:p>
            <w:pPr>
              <w:spacing w:after="0" w:line="156" w:lineRule="exact"/>
              <w:rPr>
                <w:rFonts w:ascii="Arial" w:cs="Arial" w:eastAsia="Arial" w:hAnsi="Arial"/>
                <w:sz w:val="18"/>
                <w:szCs w:val="18"/>
                <w:color w:val="0000FF"/>
                <w:w w:val="91"/>
              </w:rPr>
            </w:pPr>
            <w:hyperlink r:id="rId369">
              <w:r>
                <w:rPr>
                  <w:rFonts w:ascii="Arial" w:cs="Arial" w:eastAsia="Arial" w:hAnsi="Arial"/>
                  <w:sz w:val="18"/>
                  <w:szCs w:val="18"/>
                  <w:color w:val="0000FF"/>
                  <w:w w:val="91"/>
                </w:rPr>
                <w:t>Registrant's Current Report on Form 8-K/A filed with the Commission on June 9, 2022).</w:t>
              </w:r>
            </w:hyperlink>
          </w:p>
        </w:tc>
        <w:tc>
          <w:tcPr>
            <w:tcW w:w="3160" w:type="dxa"/>
            <w:vAlign w:val="bottom"/>
            <w:tcBorders>
              <w:top w:val="single" w:sz="8" w:color="0000FF"/>
              <w:bottom w:val="single" w:sz="8" w:color="CFF0FC"/>
            </w:tcBorders>
            <w:gridSpan w:val="7"/>
            <w:shd w:val="clear" w:color="auto" w:fill="CFF0FC"/>
          </w:tcPr>
          <w:p>
            <w:pPr>
              <w:spacing w:after="0"/>
              <w:rPr>
                <w:sz w:val="14"/>
                <w:szCs w:val="14"/>
                <w:color w:val="auto"/>
              </w:rPr>
            </w:pPr>
          </w:p>
        </w:tc>
        <w:tc>
          <w:tcPr>
            <w:tcW w:w="220" w:type="dxa"/>
            <w:vAlign w:val="bottom"/>
            <w:tcBorders>
              <w:top w:val="single" w:sz="8" w:color="CFF0FC"/>
              <w:bottom w:val="single" w:sz="8" w:color="CFF0FC"/>
            </w:tcBorders>
            <w:gridSpan w:val="3"/>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4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w w:val="90"/>
              </w:rPr>
            </w:pPr>
            <w:r>
              <w:rPr>
                <w:rFonts w:ascii="Arial" w:cs="Arial" w:eastAsia="Arial" w:hAnsi="Arial"/>
                <w:sz w:val="18"/>
                <w:szCs w:val="18"/>
                <w:color w:val="auto"/>
                <w:w w:val="90"/>
              </w:rPr>
              <w:t xml:space="preserve">–  </w:t>
            </w:r>
            <w:hyperlink r:id="rId370">
              <w:r>
                <w:rPr>
                  <w:rFonts w:ascii="Arial" w:cs="Arial" w:eastAsia="Arial" w:hAnsi="Arial"/>
                  <w:sz w:val="18"/>
                  <w:szCs w:val="18"/>
                  <w:color w:val="0000FF"/>
                  <w:w w:val="90"/>
                </w:rPr>
                <w:t>Enhanced Transition Assistance Agreement dated June 5, 2022 between the Company and Joseph H. Reniers (incorporated by reference</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70">
              <w:r>
                <w:rPr>
                  <w:rFonts w:ascii="Arial" w:cs="Arial" w:eastAsia="Arial" w:hAnsi="Arial"/>
                  <w:sz w:val="18"/>
                  <w:szCs w:val="18"/>
                  <w:color w:val="0000FF"/>
                </w:rPr>
                <w:t>to Exhibit 10.2 to the Registrant's Current Report on Form 8-K/A filed with the Commission on June 9, 2022).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371">
              <w:r>
                <w:rPr>
                  <w:rFonts w:ascii="Arial" w:cs="Arial" w:eastAsia="Arial" w:hAnsi="Arial"/>
                  <w:sz w:val="18"/>
                  <w:szCs w:val="18"/>
                  <w:color w:val="0000FF"/>
                  <w:w w:val="92"/>
                </w:rPr>
                <w:t>Credit Agreement dated July 29, 2022 among Kirby Corporation, JPMorgan Chase Bank, N.A., as Administrative Agent, and the banks</w:t>
              </w:r>
            </w:hyperlink>
          </w:p>
        </w:tc>
        <w:tc>
          <w:tcPr>
            <w:tcW w:w="0" w:type="dxa"/>
            <w:vAlign w:val="bottom"/>
          </w:tcPr>
          <w:p>
            <w:pPr>
              <w:spacing w:after="0"/>
              <w:rPr>
                <w:sz w:val="1"/>
                <w:szCs w:val="1"/>
                <w:color w:val="auto"/>
              </w:rPr>
            </w:pPr>
          </w:p>
        </w:tc>
      </w:tr>
      <w:tr>
        <w:trPr>
          <w:trHeight w:val="156"/>
        </w:trPr>
        <w:tc>
          <w:tcPr>
            <w:tcW w:w="8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right w:val="single" w:sz="8" w:color="CFF0FC"/>
            </w:tcBorders>
            <w:shd w:val="clear" w:color="auto" w:fill="CFF0FC"/>
          </w:tcPr>
          <w:p>
            <w:pPr>
              <w:spacing w:after="0"/>
              <w:rPr>
                <w:sz w:val="13"/>
                <w:szCs w:val="13"/>
                <w:color w:val="auto"/>
              </w:rPr>
            </w:pPr>
          </w:p>
        </w:tc>
        <w:tc>
          <w:tcPr>
            <w:tcW w:w="9800" w:type="dxa"/>
            <w:vAlign w:val="bottom"/>
            <w:tcBorders>
              <w:top w:val="single" w:sz="8" w:color="0000FF"/>
            </w:tcBorders>
            <w:gridSpan w:val="23"/>
            <w:shd w:val="clear" w:color="auto" w:fill="CFF0FC"/>
          </w:tcPr>
          <w:p>
            <w:pPr>
              <w:spacing w:after="0" w:line="156" w:lineRule="exact"/>
              <w:rPr>
                <w:rFonts w:ascii="Arial" w:cs="Arial" w:eastAsia="Arial" w:hAnsi="Arial"/>
                <w:sz w:val="18"/>
                <w:szCs w:val="18"/>
                <w:color w:val="0000FF"/>
                <w:w w:val="92"/>
              </w:rPr>
            </w:pPr>
            <w:hyperlink r:id="rId371">
              <w:r>
                <w:rPr>
                  <w:rFonts w:ascii="Arial" w:cs="Arial" w:eastAsia="Arial" w:hAnsi="Arial"/>
                  <w:sz w:val="18"/>
                  <w:szCs w:val="18"/>
                  <w:color w:val="0000FF"/>
                  <w:w w:val="92"/>
                </w:rPr>
                <w:t>named therein (incorporated by reference to Exhibit 10.1 to the Registrant's Current Report on Form 8-K filed with the Commission on</w:t>
              </w:r>
            </w:hyperlink>
          </w:p>
        </w:tc>
        <w:tc>
          <w:tcPr>
            <w:tcW w:w="80" w:type="dxa"/>
            <w:vAlign w:val="bottom"/>
            <w:tcBorders>
              <w:top w:val="single" w:sz="8" w:color="CFF0FC"/>
            </w:tcBorders>
            <w:gridSpan w:val="4"/>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1080" w:type="dxa"/>
            <w:vAlign w:val="bottom"/>
            <w:tcBorders>
              <w:top w:val="single" w:sz="8" w:color="0000FF"/>
              <w:bottom w:val="single" w:sz="8" w:color="0000FF"/>
            </w:tcBorders>
            <w:shd w:val="clear" w:color="auto" w:fill="CFF0FC"/>
          </w:tcPr>
          <w:p>
            <w:pPr>
              <w:spacing w:after="0" w:line="156" w:lineRule="exact"/>
              <w:rPr>
                <w:rFonts w:ascii="Arial" w:cs="Arial" w:eastAsia="Arial" w:hAnsi="Arial"/>
                <w:sz w:val="18"/>
                <w:szCs w:val="18"/>
                <w:color w:val="0000FF"/>
                <w:w w:val="89"/>
              </w:rPr>
            </w:pPr>
            <w:hyperlink r:id="rId371">
              <w:r>
                <w:rPr>
                  <w:rFonts w:ascii="Arial" w:cs="Arial" w:eastAsia="Arial" w:hAnsi="Arial"/>
                  <w:sz w:val="18"/>
                  <w:szCs w:val="18"/>
                  <w:color w:val="0000FF"/>
                  <w:w w:val="89"/>
                </w:rPr>
                <w:t>July 29, 2022).</w:t>
              </w:r>
            </w:hyperlink>
          </w:p>
        </w:tc>
        <w:tc>
          <w:tcPr>
            <w:tcW w:w="8680" w:type="dxa"/>
            <w:vAlign w:val="bottom"/>
            <w:tcBorders>
              <w:top w:val="single" w:sz="8" w:color="0000FF"/>
              <w:bottom w:val="single" w:sz="8" w:color="CFF0FC"/>
            </w:tcBorders>
            <w:gridSpan w:val="21"/>
            <w:shd w:val="clear" w:color="auto" w:fill="CFF0FC"/>
          </w:tcPr>
          <w:p>
            <w:pPr>
              <w:spacing w:after="0"/>
              <w:rPr>
                <w:sz w:val="14"/>
                <w:szCs w:val="14"/>
                <w:color w:val="auto"/>
              </w:rPr>
            </w:pPr>
          </w:p>
        </w:tc>
        <w:tc>
          <w:tcPr>
            <w:tcW w:w="120" w:type="dxa"/>
            <w:vAlign w:val="bottom"/>
            <w:tcBorders>
              <w:top w:val="single" w:sz="8" w:color="CFF0FC"/>
              <w:bottom w:val="single" w:sz="8" w:color="CFF0FC"/>
            </w:tcBorders>
            <w:gridSpan w:val="5"/>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1">
              <w:r>
                <w:rPr>
                  <w:rFonts w:ascii="Arial" w:cs="Arial" w:eastAsia="Arial" w:hAnsi="Arial"/>
                  <w:sz w:val="18"/>
                  <w:szCs w:val="18"/>
                  <w:color w:val="0000FF"/>
                </w:rPr>
                <w:t>Certification of Chief Executive Officer Pursuant to Rule 13a-14(a)</w:t>
              </w:r>
            </w:hyperlink>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5"/>
                <w:szCs w:val="15"/>
                <w:color w:val="auto"/>
              </w:rPr>
            </w:pPr>
          </w:p>
        </w:tc>
        <w:tc>
          <w:tcPr>
            <w:tcW w:w="10240" w:type="dxa"/>
            <w:vAlign w:val="bottom"/>
            <w:gridSpan w:val="28"/>
            <w:shd w:val="clear" w:color="auto" w:fill="CFF0FC"/>
          </w:tcPr>
          <w:p>
            <w:pPr>
              <w:ind w:left="1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2">
              <w:r>
                <w:rPr>
                  <w:rFonts w:ascii="Arial" w:cs="Arial" w:eastAsia="Arial" w:hAnsi="Arial"/>
                  <w:sz w:val="18"/>
                  <w:szCs w:val="18"/>
                  <w:color w:val="0000FF"/>
                </w:rPr>
                <w:t>Certification of Chief Financial Officer Pursuant to Rule 13a-14(a)</w:t>
              </w:r>
            </w:hyperlink>
          </w:p>
        </w:tc>
        <w:tc>
          <w:tcPr>
            <w:tcW w:w="0" w:type="dxa"/>
            <w:vAlign w:val="bottom"/>
          </w:tcPr>
          <w:p>
            <w:pPr>
              <w:spacing w:after="0"/>
              <w:rPr>
                <w:sz w:val="1"/>
                <w:szCs w:val="1"/>
                <w:color w:val="auto"/>
              </w:rPr>
            </w:pPr>
          </w:p>
        </w:tc>
      </w:tr>
      <w:tr>
        <w:trPr>
          <w:trHeight w:val="27"/>
        </w:trPr>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60" w:type="dxa"/>
            <w:vAlign w:val="bottom"/>
            <w:tcBorders>
              <w:right w:val="single" w:sz="8" w:color="CFF0FC"/>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c>
          <w:tcPr>
            <w:tcW w:w="10240" w:type="dxa"/>
            <w:vAlign w:val="bottom"/>
            <w:gridSpan w:val="28"/>
          </w:tcPr>
          <w:p>
            <w:pPr>
              <w:ind w:left="1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3">
              <w:r>
                <w:rPr>
                  <w:rFonts w:ascii="Arial" w:cs="Arial" w:eastAsia="Arial" w:hAnsi="Arial"/>
                  <w:sz w:val="18"/>
                  <w:szCs w:val="18"/>
                  <w:color w:val="0000FF"/>
                </w:rPr>
                <w:t>Certification Pursuant to 18 U.S.C. Section 1350</w:t>
              </w:r>
            </w:hyperlink>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101.INS*</w:t>
            </w:r>
          </w:p>
        </w:tc>
        <w:tc>
          <w:tcPr>
            <w:tcW w:w="220" w:type="dxa"/>
            <w:vAlign w:val="bottom"/>
            <w:shd w:val="clear" w:color="auto" w:fill="CFF0FC"/>
          </w:tcPr>
          <w:p>
            <w:pPr>
              <w:spacing w:after="0"/>
              <w:rPr>
                <w:sz w:val="14"/>
                <w:szCs w:val="14"/>
                <w:color w:val="auto"/>
              </w:rPr>
            </w:pPr>
          </w:p>
        </w:tc>
        <w:tc>
          <w:tcPr>
            <w:tcW w:w="10240" w:type="dxa"/>
            <w:vAlign w:val="bottom"/>
            <w:gridSpan w:val="28"/>
            <w:shd w:val="clear" w:color="auto" w:fill="CFF0FC"/>
          </w:tcPr>
          <w:p>
            <w:pPr>
              <w:ind w:left="120"/>
              <w:spacing w:after="0" w:line="162" w:lineRule="exact"/>
              <w:rPr>
                <w:sz w:val="20"/>
                <w:szCs w:val="20"/>
                <w:color w:val="auto"/>
              </w:rPr>
            </w:pPr>
            <w:r>
              <w:rPr>
                <w:rFonts w:ascii="Arial" w:cs="Arial" w:eastAsia="Arial" w:hAnsi="Arial"/>
                <w:sz w:val="18"/>
                <w:szCs w:val="18"/>
                <w:color w:val="auto"/>
                <w:w w:val="96"/>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9880" w:type="dxa"/>
            <w:vAlign w:val="bottom"/>
            <w:gridSpan w:val="27"/>
            <w:shd w:val="clear" w:color="auto" w:fill="CFF0FC"/>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w w:val="94"/>
              </w:rPr>
              <w:t>101.SCH*</w:t>
            </w:r>
          </w:p>
        </w:tc>
        <w:tc>
          <w:tcPr>
            <w:tcW w:w="220" w:type="dxa"/>
            <w:vAlign w:val="bottom"/>
          </w:tcPr>
          <w:p>
            <w:pPr>
              <w:spacing w:after="0"/>
              <w:rPr>
                <w:sz w:val="17"/>
                <w:szCs w:val="17"/>
                <w:color w:val="auto"/>
              </w:rPr>
            </w:pPr>
          </w:p>
        </w:tc>
        <w:tc>
          <w:tcPr>
            <w:tcW w:w="10240" w:type="dxa"/>
            <w:vAlign w:val="bottom"/>
            <w:gridSpan w:val="28"/>
          </w:tcPr>
          <w:p>
            <w:pPr>
              <w:ind w:left="120"/>
              <w:spacing w:after="0" w:line="202" w:lineRule="exact"/>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203"/>
        </w:trPr>
        <w:tc>
          <w:tcPr>
            <w:tcW w:w="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8"/>
              </w:rPr>
              <w:t>101.CAL*</w:t>
            </w:r>
          </w:p>
        </w:tc>
        <w:tc>
          <w:tcPr>
            <w:tcW w:w="220" w:type="dxa"/>
            <w:vAlign w:val="bottom"/>
            <w:shd w:val="clear" w:color="auto" w:fill="CFF0FC"/>
          </w:tcPr>
          <w:p>
            <w:pPr>
              <w:spacing w:after="0"/>
              <w:rPr>
                <w:sz w:val="17"/>
                <w:szCs w:val="17"/>
                <w:color w:val="auto"/>
              </w:rPr>
            </w:pPr>
          </w:p>
        </w:tc>
        <w:tc>
          <w:tcPr>
            <w:tcW w:w="10240" w:type="dxa"/>
            <w:vAlign w:val="bottom"/>
            <w:gridSpan w:val="28"/>
            <w:shd w:val="clear" w:color="auto" w:fill="CFF0FC"/>
          </w:tcPr>
          <w:p>
            <w:pPr>
              <w:ind w:left="120"/>
              <w:spacing w:after="0" w:line="202" w:lineRule="exact"/>
              <w:rPr>
                <w:sz w:val="20"/>
                <w:szCs w:val="20"/>
                <w:color w:val="auto"/>
              </w:rPr>
            </w:pPr>
            <w:r>
              <w:rPr>
                <w:rFonts w:ascii="Arial" w:cs="Arial" w:eastAsia="Arial" w:hAnsi="Arial"/>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w w:val="97"/>
              </w:rPr>
              <w:t>101.DEF*</w:t>
            </w:r>
          </w:p>
        </w:tc>
        <w:tc>
          <w:tcPr>
            <w:tcW w:w="220" w:type="dxa"/>
            <w:vAlign w:val="bottom"/>
          </w:tcPr>
          <w:p>
            <w:pPr>
              <w:spacing w:after="0"/>
              <w:rPr>
                <w:sz w:val="17"/>
                <w:szCs w:val="17"/>
                <w:color w:val="auto"/>
              </w:rPr>
            </w:pPr>
          </w:p>
        </w:tc>
        <w:tc>
          <w:tcPr>
            <w:tcW w:w="10240" w:type="dxa"/>
            <w:vAlign w:val="bottom"/>
            <w:gridSpan w:val="28"/>
          </w:tcPr>
          <w:p>
            <w:pPr>
              <w:ind w:left="120"/>
              <w:spacing w:after="0" w:line="202" w:lineRule="exact"/>
              <w:rPr>
                <w:sz w:val="20"/>
                <w:szCs w:val="20"/>
                <w:color w:val="auto"/>
              </w:rPr>
            </w:pPr>
            <w:r>
              <w:rPr>
                <w:rFonts w:ascii="Arial" w:cs="Arial" w:eastAsia="Arial" w:hAnsi="Arial"/>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203"/>
        </w:trPr>
        <w:tc>
          <w:tcPr>
            <w:tcW w:w="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101.LAB*</w:t>
            </w:r>
          </w:p>
        </w:tc>
        <w:tc>
          <w:tcPr>
            <w:tcW w:w="220" w:type="dxa"/>
            <w:vAlign w:val="bottom"/>
            <w:shd w:val="clear" w:color="auto" w:fill="CFF0FC"/>
          </w:tcPr>
          <w:p>
            <w:pPr>
              <w:spacing w:after="0"/>
              <w:rPr>
                <w:sz w:val="17"/>
                <w:szCs w:val="17"/>
                <w:color w:val="auto"/>
              </w:rPr>
            </w:pPr>
          </w:p>
        </w:tc>
        <w:tc>
          <w:tcPr>
            <w:tcW w:w="10240" w:type="dxa"/>
            <w:vAlign w:val="bottom"/>
            <w:gridSpan w:val="28"/>
            <w:shd w:val="clear" w:color="auto" w:fill="CFF0FC"/>
          </w:tcPr>
          <w:p>
            <w:pPr>
              <w:ind w:left="120"/>
              <w:spacing w:after="0" w:line="202" w:lineRule="exact"/>
              <w:rPr>
                <w:sz w:val="20"/>
                <w:szCs w:val="20"/>
                <w:color w:val="auto"/>
              </w:rPr>
            </w:pPr>
            <w:r>
              <w:rPr>
                <w:rFonts w:ascii="Arial" w:cs="Arial" w:eastAsia="Arial" w:hAnsi="Arial"/>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w w:val="96"/>
              </w:rPr>
              <w:t>101.PRE*</w:t>
            </w:r>
          </w:p>
        </w:tc>
        <w:tc>
          <w:tcPr>
            <w:tcW w:w="220" w:type="dxa"/>
            <w:vAlign w:val="bottom"/>
          </w:tcPr>
          <w:p>
            <w:pPr>
              <w:spacing w:after="0"/>
              <w:rPr>
                <w:sz w:val="17"/>
                <w:szCs w:val="17"/>
                <w:color w:val="auto"/>
              </w:rPr>
            </w:pPr>
          </w:p>
        </w:tc>
        <w:tc>
          <w:tcPr>
            <w:tcW w:w="10240" w:type="dxa"/>
            <w:vAlign w:val="bottom"/>
            <w:gridSpan w:val="28"/>
          </w:tcPr>
          <w:p>
            <w:pPr>
              <w:ind w:left="120"/>
              <w:spacing w:after="0" w:line="202" w:lineRule="exact"/>
              <w:rPr>
                <w:sz w:val="20"/>
                <w:szCs w:val="20"/>
                <w:color w:val="auto"/>
              </w:rPr>
            </w:pPr>
            <w:r>
              <w:rPr>
                <w:rFonts w:ascii="Arial" w:cs="Arial" w:eastAsia="Arial" w:hAnsi="Arial"/>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203"/>
        </w:trPr>
        <w:tc>
          <w:tcPr>
            <w:tcW w:w="80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104*</w:t>
            </w:r>
          </w:p>
        </w:tc>
        <w:tc>
          <w:tcPr>
            <w:tcW w:w="220" w:type="dxa"/>
            <w:vAlign w:val="bottom"/>
            <w:tcBorders>
              <w:bottom w:val="single" w:sz="8" w:color="auto"/>
            </w:tcBorders>
            <w:shd w:val="clear" w:color="auto" w:fill="CFF0FC"/>
          </w:tcPr>
          <w:p>
            <w:pPr>
              <w:spacing w:after="0"/>
              <w:rPr>
                <w:sz w:val="17"/>
                <w:szCs w:val="17"/>
                <w:color w:val="auto"/>
              </w:rPr>
            </w:pPr>
          </w:p>
        </w:tc>
        <w:tc>
          <w:tcPr>
            <w:tcW w:w="10240" w:type="dxa"/>
            <w:vAlign w:val="bottom"/>
            <w:tcBorders>
              <w:bottom w:val="single" w:sz="8" w:color="auto"/>
            </w:tcBorders>
            <w:gridSpan w:val="28"/>
            <w:shd w:val="clear" w:color="auto" w:fill="CFF0FC"/>
          </w:tcPr>
          <w:p>
            <w:pPr>
              <w:ind w:left="120"/>
              <w:spacing w:after="0" w:line="202" w:lineRule="exact"/>
              <w:rPr>
                <w:sz w:val="20"/>
                <w:szCs w:val="20"/>
                <w:color w:val="auto"/>
              </w:rPr>
            </w:pPr>
            <w:r>
              <w:rPr>
                <w:rFonts w:ascii="Arial" w:cs="Arial" w:eastAsia="Arial" w:hAnsi="Arial"/>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56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KIRBY CORPORATION</w:t>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182" w:lineRule="exact"/>
        <w:rPr>
          <w:sz w:val="20"/>
          <w:szCs w:val="20"/>
          <w:color w:val="auto"/>
        </w:rPr>
      </w:pPr>
    </w:p>
    <w:p>
      <w:pPr>
        <w:ind w:left="566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Raj Kumar</w:t>
      </w:r>
    </w:p>
    <w:p>
      <w:pPr>
        <w:jc w:val="center"/>
        <w:ind w:left="618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2022</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82" w:lineRule="exact"/>
        <w:rPr>
          <w:sz w:val="20"/>
          <w:szCs w:val="20"/>
          <w:color w:val="auto"/>
        </w:rPr>
      </w:pPr>
    </w:p>
    <w:p>
      <w:pPr>
        <w:ind w:left="380" w:right="200"/>
        <w:spacing w:after="0" w:line="261"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2022 by Kirby Corporation, David W. Grzebinski certifies that:</w:t>
      </w:r>
    </w:p>
    <w:p>
      <w:pPr>
        <w:spacing w:after="0" w:line="63"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03"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80" w:right="20" w:hanging="372"/>
        <w:spacing w:after="0" w:line="24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40" w:hanging="378"/>
        <w:spacing w:after="0" w:line="324" w:lineRule="auto"/>
        <w:tabs>
          <w:tab w:leader="none" w:pos="7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80" w:right="280" w:hanging="372"/>
        <w:spacing w:after="0" w:line="291"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color w:val="auto"/>
        </w:rPr>
        <w:t>David W. Grzebinski</w:t>
      </w: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82" w:lineRule="exact"/>
        <w:rPr>
          <w:sz w:val="20"/>
          <w:szCs w:val="20"/>
          <w:color w:val="auto"/>
        </w:rPr>
      </w:pPr>
    </w:p>
    <w:p>
      <w:pPr>
        <w:ind w:left="380" w:right="300"/>
        <w:spacing w:after="0" w:line="261"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2022 by Kirby Corporation, Raj Kumar certifies that:</w:t>
      </w:r>
    </w:p>
    <w:p>
      <w:pPr>
        <w:spacing w:after="0" w:line="6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03"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80" w:right="20" w:hanging="372"/>
        <w:spacing w:after="0" w:line="24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40" w:hanging="378"/>
        <w:spacing w:after="0" w:line="324" w:lineRule="auto"/>
        <w:tabs>
          <w:tab w:leader="none" w:pos="7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80" w:right="280" w:hanging="372"/>
        <w:spacing w:after="0" w:line="291"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color w:val="auto"/>
        </w:rPr>
        <w:t>Raj Kumar</w:t>
      </w:r>
    </w:p>
    <w:p>
      <w:pPr>
        <w:jc w:val="center"/>
        <w:ind w:left="560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182" w:lineRule="exact"/>
        <w:rPr>
          <w:sz w:val="20"/>
          <w:szCs w:val="20"/>
          <w:color w:val="auto"/>
        </w:rPr>
      </w:pPr>
    </w:p>
    <w:p>
      <w:pPr>
        <w:ind w:right="400" w:firstLine="374"/>
        <w:spacing w:after="0" w:line="261"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2022 (the “Report”) by Kirby Corporation (the “Company”), each of the undersigned hereby certifies that:</w:t>
      </w:r>
    </w:p>
    <w:p>
      <w:pPr>
        <w:spacing w:after="0" w:line="63"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color w:val="auto"/>
        </w:rPr>
        <w:t>David W. Grzebinski</w:t>
      </w: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color w:val="auto"/>
        </w:rPr>
        <w:t>Raj Kumar</w:t>
      </w:r>
    </w:p>
    <w:p>
      <w:pPr>
        <w:jc w:val="center"/>
        <w:ind w:left="560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62" Type="http://schemas.openxmlformats.org/officeDocument/2006/relationships/hyperlink" Target="https://www.sec.gov/Archives/edgar/data/56047/000114036115008395/ex3_1.htm" TargetMode="External"/><Relationship Id="rId363" Type="http://schemas.openxmlformats.org/officeDocument/2006/relationships/hyperlink" Target="https://www.sec.gov/Archives/edgar/data/56047/000114036115008395/ex3_2.htm" TargetMode="External"/><Relationship Id="rId364" Type="http://schemas.openxmlformats.org/officeDocument/2006/relationships/hyperlink" Target="https://www.sec.gov/Archives/edgar/data/56047/000114036120006365/ex3_1.htm" TargetMode="External"/><Relationship Id="rId365" Type="http://schemas.openxmlformats.org/officeDocument/2006/relationships/hyperlink" Target="https://www.sec.gov/Archives/edgar/data/56047/000095017022010397/kex-ex10_1.htm" TargetMode="External"/><Relationship Id="rId366" Type="http://schemas.openxmlformats.org/officeDocument/2006/relationships/hyperlink" Target="https://www.sec.gov/Archives/edgar/data/56047/000095017022010397/kex-ex10_2.htm" TargetMode="External"/><Relationship Id="rId367" Type="http://schemas.openxmlformats.org/officeDocument/2006/relationships/hyperlink" Target="https://www.sec.gov/Archives/edgar/data/56047/000095017022010397/kex-ex10_3.htm" TargetMode="External"/><Relationship Id="rId368" Type="http://schemas.openxmlformats.org/officeDocument/2006/relationships/hyperlink" Target="https://www.sec.gov/Archives/edgar/data/56047/000095017022010397/kex-ex10_4.htm" TargetMode="External"/><Relationship Id="rId369" Type="http://schemas.openxmlformats.org/officeDocument/2006/relationships/hyperlink" Target="https://www.sec.gov/Archives/edgar/data/56047/000095017022011392/kex-ex10_1.htm" TargetMode="External"/><Relationship Id="rId370" Type="http://schemas.openxmlformats.org/officeDocument/2006/relationships/hyperlink" Target="https://www.sec.gov/Archives/edgar/data/56047/000095017022011392/kex-ex10_2.htm" TargetMode="External"/><Relationship Id="rId371" Type="http://schemas.openxmlformats.org/officeDocument/2006/relationships/hyperlink" Target="https://www.sec.gov/Archives/edgar/data/56047/000095017022013502/ke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2022-08-09T02:20:04Z</dcterms:created>
  <dcterms:modified xsi:type="dcterms:W3CDTF">2022-08-09T02:20:04Z</dcterms:modified>
</cp:coreProperties>
</file>