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auto"/>
        <w:framePr w:w="220" w:h="150" w:wrap="auto" w:vAnchor="page" w:hAnchor="page" w:x="3000" w:y="9791"/>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51" w:lineRule="auto"/>
        <w:framePr w:w="1160" w:h="144" w:wrap="auto" w:vAnchor="page" w:hAnchor="page" w:x="6880" w:y="9797"/>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filer</w:t>
      </w:r>
    </w:p>
    <w:p>
      <w:pPr>
        <w:spacing w:after="0" w:line="-151" w:lineRule="auto"/>
        <w:framePr w:w="220" w:h="150" w:wrap="auto" w:vAnchor="page" w:hAnchor="page" w:x="10860" w:y="9791"/>
        <w:rPr>
          <w:rFonts w:ascii="MS PGothic" w:cs="MS PGothic" w:eastAsia="MS PGothic" w:hAnsi="MS PGothic"/>
          <w:sz w:val="14"/>
          <w:szCs w:val="14"/>
          <w:color w:val="auto"/>
        </w:rPr>
      </w:pPr>
      <w:r>
        <w:rPr>
          <w:rFonts w:ascii="MS PGothic" w:cs="MS PGothic" w:eastAsia="MS PGothic" w:hAnsi="MS PGothic"/>
          <w:sz w:val="14"/>
          <w:szCs w:val="14"/>
          <w:color w:val="auto"/>
        </w:rPr>
        <w:t>☐</w:t>
      </w:r>
    </w:p>
    <w:p>
      <w:pPr>
        <w:spacing w:after="0" w:line="-151" w:lineRule="auto"/>
        <w:framePr w:w="220" w:h="150" w:wrap="auto" w:vAnchor="page" w:hAnchor="page" w:x="3000" w:y="9993"/>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151" w:lineRule="auto"/>
        <w:framePr w:w="1840" w:h="144" w:wrap="auto" w:vAnchor="page" w:hAnchor="page" w:x="6880" w:y="9999"/>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Smaller reporting company</w:t>
      </w:r>
    </w:p>
    <w:p>
      <w:pPr>
        <w:spacing w:after="0" w:line="-151" w:lineRule="auto"/>
        <w:framePr w:w="220" w:h="150" w:wrap="auto" w:vAnchor="page" w:hAnchor="page" w:x="10860" w:y="9993"/>
        <w:rPr>
          <w:rFonts w:ascii="MS PGothic" w:cs="MS PGothic" w:eastAsia="MS PGothic" w:hAnsi="MS PGothic"/>
          <w:sz w:val="14"/>
          <w:szCs w:val="14"/>
          <w:color w:val="auto"/>
        </w:rPr>
      </w:pPr>
      <w:r>
        <w:rPr>
          <w:rFonts w:ascii="MS PGothic" w:cs="MS PGothic" w:eastAsia="MS PGothic" w:hAnsi="MS PGothic"/>
          <w:sz w:val="14"/>
          <w:szCs w:val="14"/>
          <w:color w:val="auto"/>
        </w:rPr>
        <w:t>☐</w:t>
      </w:r>
    </w:p>
    <w:p>
      <w:pPr>
        <w:spacing w:after="0" w:line="-145" w:lineRule="auto"/>
        <w:framePr w:w="1840" w:h="144" w:wrap="auto" w:vAnchor="page" w:hAnchor="page" w:x="6880" w:y="10202"/>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growth company</w:t>
      </w:r>
    </w:p>
    <w:p>
      <w:pPr>
        <w:spacing w:after="0" w:line="-145" w:lineRule="auto"/>
        <w:framePr w:w="220" w:h="150" w:wrap="auto" w:vAnchor="page" w:hAnchor="page" w:x="10860" w:y="10196"/>
        <w:rPr>
          <w:rFonts w:ascii="MS PGothic" w:cs="MS PGothic" w:eastAsia="MS PGothic" w:hAnsi="MS PGothic"/>
          <w:sz w:val="14"/>
          <w:szCs w:val="14"/>
          <w:color w:val="auto"/>
        </w:rPr>
      </w:pPr>
      <w:r>
        <w:rPr>
          <w:rFonts w:ascii="MS PGothic" w:cs="MS PGothic" w:eastAsia="MS PGothic" w:hAnsi="MS PGothic"/>
          <w:sz w:val="14"/>
          <w:szCs w:val="14"/>
          <w:color w:val="auto"/>
        </w:rPr>
        <w:t>☐</w:t>
      </w:r>
    </w:p>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rFonts w:ascii="MS PGothic" w:cs="MS PGothic" w:eastAsia="MS PGothic" w:hAnsi="MS PGothic"/>
          <w:sz w:val="14"/>
          <w:szCs w:val="14"/>
          <w:color w:val="auto"/>
        </w:rPr>
      </w:pPr>
      <w:r>
        <w:rPr>
          <w:rFonts w:ascii="MS PGothic" w:cs="MS PGothic" w:eastAsia="MS PGothic" w:hAnsi="MS PGothic"/>
          <w:sz w:val="14"/>
          <w:szCs w:val="14"/>
          <w:color w:val="auto"/>
        </w:rPr>
        <w:drawing>
          <wp:anchor simplePos="0" relativeHeight="251657728" behindDoc="1" locked="0" layoutInCell="0" allowOverlap="1">
            <wp:simplePos x="0" y="0"/>
            <wp:positionH relativeFrom="column">
              <wp:posOffset>2473960</wp:posOffset>
            </wp:positionH>
            <wp:positionV relativeFrom="paragraph">
              <wp:posOffset>38735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8"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1" w:lineRule="exact"/>
        <w:rPr>
          <w:rFonts w:ascii="MS PGothic" w:cs="MS PGothic" w:eastAsia="MS PGothic" w:hAnsi="MS PGothic"/>
          <w:sz w:val="14"/>
          <w:szCs w:val="1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3" w:lineRule="exact"/>
        <w:rPr>
          <w:rFonts w:ascii="MS PGothic" w:cs="MS PGothic" w:eastAsia="MS PGothic" w:hAnsi="MS PGothic"/>
          <w:sz w:val="14"/>
          <w:szCs w:val="14"/>
          <w:color w:val="auto"/>
        </w:rPr>
      </w:pPr>
    </w:p>
    <w:p>
      <w:pPr>
        <w:ind w:right="2700" w:firstLine="21"/>
        <w:spacing w:after="0" w:line="310" w:lineRule="auto"/>
        <w:tabs>
          <w:tab w:leader="none" w:pos="607"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9" w:lineRule="exact"/>
        <w:rPr>
          <w:rFonts w:ascii="MS PGothic" w:cs="MS PGothic" w:eastAsia="MS PGothic" w:hAnsi="MS PGothic"/>
          <w:sz w:val="14"/>
          <w:szCs w:val="14"/>
          <w:color w:val="auto"/>
        </w:rPr>
      </w:pPr>
    </w:p>
    <w:p>
      <w:pPr>
        <w:ind w:right="2380" w:firstLine="21"/>
        <w:spacing w:after="0" w:line="325" w:lineRule="auto"/>
        <w:tabs>
          <w:tab w:leader="none" w:pos="60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1-07615</w:t>
      </w:r>
    </w:p>
    <w:p>
      <w:pPr>
        <w:spacing w:after="0" w:line="20" w:lineRule="exact"/>
        <w:rPr>
          <w:rFonts w:ascii="MS PGothic" w:cs="MS PGothic" w:eastAsia="MS PGothic" w:hAnsi="MS PGothic"/>
          <w:sz w:val="14"/>
          <w:szCs w:val="14"/>
          <w:color w:val="auto"/>
        </w:rPr>
      </w:pPr>
      <w:r>
        <w:rPr>
          <w:rFonts w:ascii="MS PGothic" w:cs="MS PGothic" w:eastAsia="MS PGothic" w:hAnsi="MS PGothic"/>
          <w:sz w:val="14"/>
          <w:szCs w:val="14"/>
          <w:color w:val="auto"/>
        </w:rPr>
        <w:drawing>
          <wp:anchor simplePos="0" relativeHeight="251657728" behindDoc="1" locked="0" layoutInCell="0" allowOverlap="1">
            <wp:simplePos x="0" y="0"/>
            <wp:positionH relativeFrom="column">
              <wp:posOffset>2473960</wp:posOffset>
            </wp:positionH>
            <wp:positionV relativeFrom="paragraph">
              <wp:posOffset>64770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84"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61"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 w:lineRule="exact"/>
        <w:rPr>
          <w:rFonts w:ascii="MS PGothic" w:cs="MS PGothic" w:eastAsia="MS PGothic" w:hAnsi="MS PGothic"/>
          <w:sz w:val="14"/>
          <w:szCs w:val="14"/>
          <w:color w:val="auto"/>
        </w:rPr>
      </w:pPr>
    </w:p>
    <w:tbl>
      <w:tblPr>
        <w:tblLayout w:type="fixed"/>
        <w:tblInd w:w="720" w:type="dxa"/>
        <w:tblCellMar>
          <w:top w:w="0" w:type="dxa"/>
          <w:left w:w="0" w:type="dxa"/>
          <w:bottom w:w="0" w:type="dxa"/>
          <w:right w:w="0" w:type="dxa"/>
        </w:tblCellMar>
      </w:tblPr>
      <w:tr>
        <w:trPr>
          <w:trHeight w:val="203"/>
        </w:trPr>
        <w:tc>
          <w:tcPr>
            <w:tcW w:w="532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64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74-1884980</w:t>
            </w:r>
          </w:p>
        </w:tc>
      </w:tr>
      <w:tr>
        <w:trPr>
          <w:trHeight w:val="203"/>
        </w:trPr>
        <w:tc>
          <w:tcPr>
            <w:tcW w:w="5320" w:type="dxa"/>
            <w:vAlign w:val="bottom"/>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64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03"/>
        </w:trPr>
        <w:tc>
          <w:tcPr>
            <w:tcW w:w="532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55 Waugh Drive, Suite 1000</w:t>
            </w:r>
          </w:p>
        </w:tc>
        <w:tc>
          <w:tcPr>
            <w:tcW w:w="3640" w:type="dxa"/>
            <w:vAlign w:val="bottom"/>
          </w:tcPr>
          <w:p>
            <w:pPr>
              <w:spacing w:after="0"/>
              <w:rPr>
                <w:sz w:val="17"/>
                <w:szCs w:val="17"/>
                <w:color w:val="auto"/>
              </w:rPr>
            </w:pPr>
          </w:p>
        </w:tc>
      </w:tr>
      <w:tr>
        <w:trPr>
          <w:trHeight w:val="203"/>
        </w:trPr>
        <w:tc>
          <w:tcPr>
            <w:tcW w:w="532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Houston, Texas</w:t>
            </w:r>
          </w:p>
        </w:tc>
        <w:tc>
          <w:tcPr>
            <w:tcW w:w="364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77007</w:t>
            </w:r>
          </w:p>
        </w:tc>
      </w:tr>
      <w:tr>
        <w:trPr>
          <w:trHeight w:val="212"/>
        </w:trPr>
        <w:tc>
          <w:tcPr>
            <w:tcW w:w="532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640" w:type="dxa"/>
            <w:vAlign w:val="bottom"/>
          </w:tcPr>
          <w:p>
            <w:pPr>
              <w:jc w:val="center"/>
              <w:ind w:left="105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24"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14"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9" w:lineRule="exact"/>
        <w:rPr>
          <w:rFonts w:ascii="MS PGothic" w:cs="MS PGothic" w:eastAsia="MS PGothic" w:hAnsi="MS PGothic"/>
          <w:sz w:val="14"/>
          <w:szCs w:val="14"/>
          <w:color w:val="auto"/>
        </w:rPr>
      </w:pPr>
    </w:p>
    <w:tbl>
      <w:tblPr>
        <w:tblLayout w:type="fixed"/>
        <w:tblInd w:w="10" w:type="dxa"/>
        <w:tblCellMar>
          <w:top w:w="0" w:type="dxa"/>
          <w:left w:w="0" w:type="dxa"/>
          <w:bottom w:w="0" w:type="dxa"/>
          <w:right w:w="0" w:type="dxa"/>
        </w:tblCellMar>
      </w:tblPr>
      <w:tr>
        <w:trPr>
          <w:trHeight w:val="250"/>
        </w:trPr>
        <w:tc>
          <w:tcPr>
            <w:tcW w:w="3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1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312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KEX</w:t>
            </w:r>
          </w:p>
        </w:tc>
        <w:tc>
          <w:tcPr>
            <w:tcW w:w="49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5"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rFonts w:ascii="MS PGothic" w:cs="MS PGothic" w:eastAsia="MS PGothic" w:hAnsi="MS PGothic"/>
          <w:sz w:val="14"/>
          <w:szCs w:val="1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rFonts w:ascii="MS PGothic" w:cs="MS PGothic" w:eastAsia="MS PGothic" w:hAnsi="MS PGothic"/>
          <w:sz w:val="14"/>
          <w:szCs w:val="14"/>
          <w:color w:val="auto"/>
        </w:rPr>
      </w:pPr>
      <w:r>
        <w:rPr>
          <w:rFonts w:ascii="MS PGothic" w:cs="MS PGothic" w:eastAsia="MS PGothic" w:hAnsi="MS PGothic"/>
          <w:sz w:val="14"/>
          <w:szCs w:val="14"/>
          <w:color w:val="auto"/>
        </w:rPr>
        <w:drawing>
          <wp:anchor simplePos="0" relativeHeight="251657728" behindDoc="1" locked="0" layoutInCell="0" allowOverlap="1">
            <wp:simplePos x="0" y="0"/>
            <wp:positionH relativeFrom="column">
              <wp:posOffset>2473960</wp:posOffset>
            </wp:positionH>
            <wp:positionV relativeFrom="paragraph">
              <wp:posOffset>58420</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76" w:lineRule="exact"/>
        <w:rPr>
          <w:rFonts w:ascii="MS PGothic" w:cs="MS PGothic" w:eastAsia="MS PGothic" w:hAnsi="MS PGothic"/>
          <w:sz w:val="14"/>
          <w:szCs w:val="14"/>
          <w:color w:val="auto"/>
        </w:rPr>
      </w:pPr>
    </w:p>
    <w:p>
      <w:pPr>
        <w:ind w:left="380" w:right="2040"/>
        <w:spacing w:after="0" w:line="25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rFonts w:ascii="MS PGothic" w:cs="MS PGothic" w:eastAsia="MS PGothic" w:hAnsi="MS PGothic"/>
          <w:sz w:val="14"/>
          <w:szCs w:val="14"/>
          <w:color w:val="auto"/>
        </w:rPr>
      </w:pPr>
    </w:p>
    <w:p>
      <w:pPr>
        <w:jc w:val="both"/>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rFonts w:ascii="MS PGothic" w:cs="MS PGothic" w:eastAsia="MS PGothic" w:hAnsi="MS PGothic"/>
          <w:sz w:val="14"/>
          <w:szCs w:val="1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374"/>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 w:lineRule="exact"/>
        <w:rPr>
          <w:rFonts w:ascii="MS PGothic" w:cs="MS PGothic" w:eastAsia="MS PGothic" w:hAnsi="MS PGothic"/>
          <w:sz w:val="14"/>
          <w:szCs w:val="14"/>
          <w:color w:val="auto"/>
        </w:rPr>
      </w:pPr>
    </w:p>
    <w:p>
      <w:pPr>
        <w:ind w:left="20" w:right="9760"/>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191" w:lineRule="exact"/>
        <w:rPr>
          <w:rFonts w:ascii="MS PGothic" w:cs="MS PGothic" w:eastAsia="MS PGothic" w:hAnsi="MS PGothic"/>
          <w:sz w:val="14"/>
          <w:szCs w:val="1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rFonts w:ascii="MS PGothic" w:cs="MS PGothic" w:eastAsia="MS PGothic" w:hAnsi="MS PGothic"/>
          <w:sz w:val="14"/>
          <w:szCs w:val="1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rFonts w:ascii="MS PGothic" w:cs="MS PGothic" w:eastAsia="MS PGothic" w:hAnsi="MS PGothic"/>
          <w:sz w:val="14"/>
          <w:szCs w:val="14"/>
          <w:color w:val="auto"/>
        </w:rPr>
      </w:pPr>
    </w:p>
    <w:p>
      <w:pPr>
        <w:jc w:val="both"/>
        <w:ind w:right="2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ind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rFonts w:ascii="MS PGothic" w:cs="MS PGothic" w:eastAsia="MS PGothic" w:hAnsi="MS PGothic"/>
          <w:sz w:val="14"/>
          <w:szCs w:val="1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6" w:lineRule="exact"/>
        <w:rPr>
          <w:rFonts w:ascii="MS PGothic" w:cs="MS PGothic" w:eastAsia="MS PGothic" w:hAnsi="MS PGothic"/>
          <w:sz w:val="14"/>
          <w:szCs w:val="14"/>
          <w:color w:val="auto"/>
        </w:rPr>
      </w:pPr>
    </w:p>
    <w:p>
      <w:pPr>
        <w:jc w:val="both"/>
        <w:ind w:firstLine="374"/>
        <w:spacing w:after="0" w:line="275"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as of June 30, 2024, based on the closing sales price of such stock on the New York Stock Exchange on June 30, 2024, was $6.9 billion.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2" w:lineRule="exact"/>
        <w:rPr>
          <w:rFonts w:ascii="MS PGothic" w:cs="MS PGothic" w:eastAsia="MS PGothic" w:hAnsi="MS PGothic"/>
          <w:sz w:val="14"/>
          <w:szCs w:val="14"/>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February 17, 2025, 57,126,000 shares of common stock were outstanding.</w:t>
      </w:r>
    </w:p>
    <w:p>
      <w:pPr>
        <w:spacing w:after="0" w:line="20" w:lineRule="exact"/>
        <w:rPr>
          <w:rFonts w:ascii="MS PGothic" w:cs="MS PGothic" w:eastAsia="MS PGothic" w:hAnsi="MS PGothic"/>
          <w:sz w:val="14"/>
          <w:szCs w:val="14"/>
          <w:color w:val="auto"/>
        </w:rPr>
      </w:pPr>
      <w:r>
        <w:rPr>
          <w:rFonts w:ascii="MS PGothic" w:cs="MS PGothic" w:eastAsia="MS PGothic" w:hAnsi="MS PGothic"/>
          <w:sz w:val="14"/>
          <w:szCs w:val="14"/>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1" w:name="page2"/>
    <w:bookmarkEnd w:id="1"/>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Portions of the Company’s definitive proxy statement in connection with the Annual Meeting of Stockholders to be held April 29, 2025, to be filed with the Commission pursuant to Regulation 14A, and the related annual report for the fiscal year ended December 31, 2024, to be provided to the Company's stockholders pursuant to Rule 14a-3(b) are incorporated by reference into Parts II and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gridSpan w:val="5"/>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KIRBY CORPORATION</w:t>
            </w:r>
          </w:p>
        </w:tc>
        <w:tc>
          <w:tcPr>
            <w:tcW w:w="4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gridSpan w:val="5"/>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2024 FORM 10-K</w:t>
            </w:r>
          </w:p>
        </w:tc>
        <w:tc>
          <w:tcPr>
            <w:tcW w:w="4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5"/>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0"/>
                <w:szCs w:val="20"/>
                <w:color w:val="auto"/>
              </w:rPr>
            </w:pPr>
          </w:p>
        </w:tc>
      </w:tr>
      <w:tr>
        <w:trPr>
          <w:trHeight w:val="382"/>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9"/>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shd w:val="clear" w:color="auto" w:fill="CFF0FC"/>
          </w:tcPr>
          <w:p>
            <w:pPr>
              <w:spacing w:after="0"/>
              <w:rPr>
                <w:sz w:val="18"/>
                <w:szCs w:val="18"/>
                <w:color w:val="auto"/>
              </w:rPr>
            </w:pPr>
          </w:p>
        </w:tc>
      </w:tr>
      <w:tr>
        <w:trPr>
          <w:trHeight w:val="176"/>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1. Business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40" w:type="dxa"/>
            <w:vAlign w:val="bottom"/>
            <w:gridSpan w:val="4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THE COMPANY</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ind w:left="120"/>
              <w:spacing w:after="0" w:line="176" w:lineRule="exact"/>
              <w:rPr>
                <w:sz w:val="20"/>
                <w:szCs w:val="20"/>
                <w:color w:val="auto"/>
              </w:rPr>
            </w:pPr>
            <w:r>
              <w:rPr>
                <w:rFonts w:ascii="Times New Roman" w:cs="Times New Roman" w:eastAsia="Times New Roman" w:hAnsi="Times New Roman"/>
                <w:sz w:val="18"/>
                <w:szCs w:val="18"/>
                <w:color w:val="0000FF"/>
              </w:rPr>
              <w:t>Documents and Information Available on Website</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40" w:type="dxa"/>
            <w:vAlign w:val="bottom"/>
            <w:gridSpan w:val="4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BUSINESS AND PROPERTY</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FF"/>
              </w:rPr>
              <w:t>MARINE TRANSPORTATION</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120" w:type="dxa"/>
            <w:vAlign w:val="bottom"/>
            <w:gridSpan w:val="4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Marine Transportation Industry Fundamentals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320" w:type="dxa"/>
            <w:vAlign w:val="bottom"/>
            <w:tcBorders>
              <w:top w:val="single" w:sz="8" w:color="0000FF"/>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FF"/>
              </w:rPr>
              <w:t>Inland Tank Barge Industry</w:t>
            </w:r>
          </w:p>
        </w:tc>
        <w:tc>
          <w:tcPr>
            <w:tcW w:w="6800" w:type="dxa"/>
            <w:vAlign w:val="bottom"/>
            <w:tcBorders>
              <w:top w:val="single" w:sz="8" w:color="CFF0FC"/>
            </w:tcBorders>
            <w:gridSpan w:val="10"/>
          </w:tcPr>
          <w:p>
            <w:pPr>
              <w:spacing w:after="0"/>
              <w:rPr>
                <w:sz w:val="15"/>
                <w:szCs w:val="15"/>
                <w:color w:val="auto"/>
              </w:rPr>
            </w:pPr>
          </w:p>
        </w:tc>
        <w:tc>
          <w:tcPr>
            <w:tcW w:w="480" w:type="dxa"/>
            <w:vAlign w:val="bottom"/>
            <w:tcBorders>
              <w:top w:val="single" w:sz="8" w:color="CFF0FC"/>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0000FF"/>
            </w:tcBorders>
            <w:gridSpan w:val="1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Coastal Tank Barge Industry</w:t>
            </w:r>
          </w:p>
        </w:tc>
        <w:tc>
          <w:tcPr>
            <w:tcW w:w="8040" w:type="dxa"/>
            <w:vAlign w:val="bottom"/>
            <w:tcBorders>
              <w:bottom w:val="single" w:sz="8" w:color="CFF0FC"/>
            </w:tcBorders>
            <w:gridSpan w:val="22"/>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ind w:left="120"/>
              <w:spacing w:after="0" w:line="176" w:lineRule="exact"/>
              <w:rPr>
                <w:sz w:val="20"/>
                <w:szCs w:val="20"/>
                <w:color w:val="auto"/>
              </w:rPr>
            </w:pPr>
            <w:r>
              <w:rPr>
                <w:rFonts w:ascii="Times New Roman" w:cs="Times New Roman" w:eastAsia="Times New Roman" w:hAnsi="Times New Roman"/>
                <w:sz w:val="18"/>
                <w:szCs w:val="18"/>
                <w:color w:val="0000FF"/>
              </w:rPr>
              <w:t>Competition in the Tank Barge Industry</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120" w:type="dxa"/>
            <w:vAlign w:val="bottom"/>
            <w:gridSpan w:val="4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Products Transported</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FF"/>
              </w:rPr>
              <w:t>Demand Drivers in the Tank Barge Industry</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120" w:type="dxa"/>
            <w:vAlign w:val="bottom"/>
            <w:gridSpan w:val="4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Marine Transportation Operations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60" w:type="dxa"/>
            <w:vAlign w:val="bottom"/>
            <w:tcBorders>
              <w:top w:val="single" w:sz="8" w:color="0000FF"/>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Contracts and Customers</w:t>
            </w:r>
          </w:p>
        </w:tc>
        <w:tc>
          <w:tcPr>
            <w:tcW w:w="7660" w:type="dxa"/>
            <w:vAlign w:val="bottom"/>
            <w:tcBorders>
              <w:top w:val="single" w:sz="8" w:color="CFF0FC"/>
            </w:tcBorders>
            <w:gridSpan w:val="17"/>
          </w:tcPr>
          <w:p>
            <w:pPr>
              <w:spacing w:after="0"/>
              <w:rPr>
                <w:sz w:val="15"/>
                <w:szCs w:val="15"/>
                <w:color w:val="auto"/>
              </w:rPr>
            </w:pPr>
          </w:p>
        </w:tc>
        <w:tc>
          <w:tcPr>
            <w:tcW w:w="480" w:type="dxa"/>
            <w:vAlign w:val="bottom"/>
            <w:tcBorders>
              <w:top w:val="single" w:sz="8" w:color="CFF0FC"/>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40" w:type="dxa"/>
            <w:vAlign w:val="bottom"/>
            <w:gridSpan w:val="4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DISTRIBUTION AND SERVICES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ind w:left="120"/>
              <w:spacing w:after="0" w:line="176" w:lineRule="exact"/>
              <w:rPr>
                <w:sz w:val="20"/>
                <w:szCs w:val="20"/>
                <w:color w:val="auto"/>
              </w:rPr>
            </w:pPr>
            <w:r>
              <w:rPr>
                <w:rFonts w:ascii="Times New Roman" w:cs="Times New Roman" w:eastAsia="Times New Roman" w:hAnsi="Times New Roman"/>
                <w:sz w:val="18"/>
                <w:szCs w:val="18"/>
                <w:color w:val="0000FF"/>
              </w:rPr>
              <w:t>Commercial and Industrial Operations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120" w:type="dxa"/>
            <w:vAlign w:val="bottom"/>
            <w:gridSpan w:val="4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Commercial and Industrial Customers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40"/>
          </w:tcPr>
          <w:p>
            <w:pPr>
              <w:spacing w:after="0" w:line="176" w:lineRule="exact"/>
              <w:rPr>
                <w:sz w:val="20"/>
                <w:szCs w:val="20"/>
                <w:color w:val="auto"/>
              </w:rPr>
            </w:pPr>
            <w:r>
              <w:rPr>
                <w:rFonts w:ascii="Times New Roman" w:cs="Times New Roman" w:eastAsia="Times New Roman" w:hAnsi="Times New Roman"/>
                <w:sz w:val="18"/>
                <w:szCs w:val="18"/>
                <w:color w:val="0000FF"/>
              </w:rPr>
              <w:t>Commercial and Industrial Competitive Conditions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120" w:type="dxa"/>
            <w:vAlign w:val="bottom"/>
            <w:gridSpan w:val="4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Power Generation Operations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3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140" w:type="dxa"/>
            <w:vAlign w:val="bottom"/>
            <w:tcBorders>
              <w:top w:val="single" w:sz="8" w:color="0000FF"/>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FF"/>
                <w:w w:val="99"/>
              </w:rPr>
              <w:t>Power Generation Customers</w:t>
            </w:r>
          </w:p>
        </w:tc>
        <w:tc>
          <w:tcPr>
            <w:tcW w:w="7980" w:type="dxa"/>
            <w:vAlign w:val="bottom"/>
            <w:tcBorders>
              <w:top w:val="single" w:sz="8" w:color="CFF0FC"/>
            </w:tcBorders>
            <w:gridSpan w:val="20"/>
          </w:tcPr>
          <w:p>
            <w:pPr>
              <w:spacing w:after="0"/>
              <w:rPr>
                <w:sz w:val="15"/>
                <w:szCs w:val="15"/>
                <w:color w:val="auto"/>
              </w:rPr>
            </w:pPr>
          </w:p>
        </w:tc>
        <w:tc>
          <w:tcPr>
            <w:tcW w:w="480" w:type="dxa"/>
            <w:vAlign w:val="bottom"/>
            <w:tcBorders>
              <w:top w:val="single" w:sz="8" w:color="CFF0FC"/>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80" w:type="dxa"/>
            <w:vAlign w:val="bottom"/>
            <w:tcBorders>
              <w:bottom w:val="single" w:sz="8" w:color="0000FF"/>
            </w:tcBorders>
            <w:gridSpan w:val="2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Power Generation Competitive Conditions</w:t>
            </w:r>
          </w:p>
        </w:tc>
        <w:tc>
          <w:tcPr>
            <w:tcW w:w="7040" w:type="dxa"/>
            <w:vAlign w:val="bottom"/>
            <w:tcBorders>
              <w:bottom w:val="single" w:sz="8" w:color="CFF0FC"/>
            </w:tcBorders>
            <w:gridSpan w:val="12"/>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ind w:left="120"/>
              <w:spacing w:after="0" w:line="176" w:lineRule="exact"/>
              <w:rPr>
                <w:sz w:val="20"/>
                <w:szCs w:val="20"/>
                <w:color w:val="auto"/>
              </w:rPr>
            </w:pPr>
            <w:r>
              <w:rPr>
                <w:rFonts w:ascii="Times New Roman" w:cs="Times New Roman" w:eastAsia="Times New Roman" w:hAnsi="Times New Roman"/>
                <w:sz w:val="18"/>
                <w:szCs w:val="18"/>
                <w:color w:val="0000FF"/>
              </w:rPr>
              <w:t>Oil and Gas Operations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0000FF"/>
            </w:tcBorders>
            <w:gridSpan w:val="1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Oil and Gas Customers</w:t>
            </w:r>
          </w:p>
        </w:tc>
        <w:tc>
          <w:tcPr>
            <w:tcW w:w="8440" w:type="dxa"/>
            <w:vAlign w:val="bottom"/>
            <w:tcBorders>
              <w:bottom w:val="single" w:sz="8" w:color="CFF0FC"/>
            </w:tcBorders>
            <w:gridSpan w:val="29"/>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ind w:left="120"/>
              <w:spacing w:after="0" w:line="176" w:lineRule="exact"/>
              <w:rPr>
                <w:sz w:val="20"/>
                <w:szCs w:val="20"/>
                <w:color w:val="auto"/>
              </w:rPr>
            </w:pPr>
            <w:r>
              <w:rPr>
                <w:rFonts w:ascii="Times New Roman" w:cs="Times New Roman" w:eastAsia="Times New Roman" w:hAnsi="Times New Roman"/>
                <w:sz w:val="18"/>
                <w:szCs w:val="18"/>
                <w:color w:val="0000FF"/>
              </w:rPr>
              <w:t>Oil and Gas Competitive Conditions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40" w:type="dxa"/>
            <w:vAlign w:val="bottom"/>
            <w:gridSpan w:val="4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Governmental Regulations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FF"/>
              </w:rPr>
              <w:t>Environmental Regulations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40" w:type="dxa"/>
            <w:vAlign w:val="bottom"/>
            <w:gridSpan w:val="41"/>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Human Capital</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41"/>
          </w:tcPr>
          <w:p>
            <w:pPr>
              <w:spacing w:after="0" w:line="176" w:lineRule="exact"/>
              <w:rPr>
                <w:sz w:val="20"/>
                <w:szCs w:val="20"/>
                <w:color w:val="auto"/>
              </w:rPr>
            </w:pPr>
            <w:r>
              <w:rPr>
                <w:rFonts w:ascii="Times New Roman" w:cs="Times New Roman" w:eastAsia="Times New Roman" w:hAnsi="Times New Roman"/>
                <w:sz w:val="18"/>
                <w:szCs w:val="18"/>
                <w:color w:val="0000FF"/>
              </w:rPr>
              <w:t>Information about the Company’s Executive Officers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1A. Risk Factors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1C. Cybersecurity</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2. Properties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3. Legal Proceedings</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6"/>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80" w:type="dxa"/>
            <w:vAlign w:val="bottom"/>
            <w:shd w:val="clear" w:color="auto" w:fill="CFF0FC"/>
          </w:tcPr>
          <w:p>
            <w:pPr>
              <w:spacing w:after="0"/>
              <w:rPr>
                <w:sz w:val="18"/>
                <w:szCs w:val="18"/>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6. Reserved</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6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960" w:type="dxa"/>
            <w:vAlign w:val="bottom"/>
            <w:tcBorders>
              <w:top w:val="single" w:sz="8" w:color="0000FF"/>
            </w:tcBorders>
            <w:shd w:val="clear" w:color="auto" w:fill="CFF0FC"/>
          </w:tcPr>
          <w:p>
            <w:pPr>
              <w:spacing w:after="0" w:line="20" w:lineRule="exact"/>
              <w:rPr>
                <w:sz w:val="1"/>
                <w:szCs w:val="1"/>
                <w:color w:val="auto"/>
              </w:rPr>
            </w:pPr>
          </w:p>
        </w:tc>
        <w:tc>
          <w:tcPr>
            <w:tcW w:w="580" w:type="dxa"/>
            <w:vAlign w:val="bottom"/>
            <w:tcBorders>
              <w:top w:val="single" w:sz="8" w:color="0000FF"/>
            </w:tcBorders>
            <w:shd w:val="clear" w:color="auto" w:fill="CFF0FC"/>
          </w:tcPr>
          <w:p>
            <w:pPr>
              <w:spacing w:after="0" w:line="20" w:lineRule="exact"/>
              <w:rPr>
                <w:sz w:val="1"/>
                <w:szCs w:val="1"/>
                <w:color w:val="auto"/>
              </w:rPr>
            </w:pPr>
          </w:p>
        </w:tc>
        <w:tc>
          <w:tcPr>
            <w:tcW w:w="1440" w:type="dxa"/>
            <w:vAlign w:val="bottom"/>
            <w:tcBorders>
              <w:top w:val="single" w:sz="8" w:color="0000FF"/>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9B. Other Information</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8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6"/>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0" w:type="dxa"/>
            <w:vAlign w:val="bottom"/>
            <w:shd w:val="clear" w:color="auto" w:fill="CFF0FC"/>
          </w:tcPr>
          <w:p>
            <w:pPr>
              <w:spacing w:after="0"/>
              <w:rPr>
                <w:sz w:val="18"/>
                <w:szCs w:val="18"/>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Items 10 Through 14</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6"/>
        </w:trPr>
        <w:tc>
          <w:tcPr>
            <w:tcW w:w="10760" w:type="dxa"/>
            <w:vAlign w:val="bottom"/>
            <w:gridSpan w:val="4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80" w:type="dxa"/>
            <w:vAlign w:val="bottom"/>
            <w:shd w:val="clear" w:color="auto" w:fill="CFF0FC"/>
          </w:tcPr>
          <w:p>
            <w:pPr>
              <w:spacing w:after="0"/>
              <w:rPr>
                <w:sz w:val="18"/>
                <w:szCs w:val="18"/>
                <w:color w:val="auto"/>
              </w:rPr>
            </w:pPr>
          </w:p>
        </w:tc>
      </w:tr>
      <w:tr>
        <w:trPr>
          <w:trHeight w:val="175"/>
        </w:trPr>
        <w:tc>
          <w:tcPr>
            <w:tcW w:w="10760" w:type="dxa"/>
            <w:vAlign w:val="bottom"/>
            <w:gridSpan w:val="43"/>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1"/>
        </w:trPr>
        <w:tc>
          <w:tcPr>
            <w:tcW w:w="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760" w:type="dxa"/>
            <w:vAlign w:val="bottom"/>
            <w:gridSpan w:val="43"/>
            <w:shd w:val="clear" w:color="auto" w:fill="CFF0FC"/>
          </w:tcPr>
          <w:p>
            <w:pPr>
              <w:ind w:left="320"/>
              <w:spacing w:after="0" w:line="176" w:lineRule="exact"/>
              <w:rPr>
                <w:sz w:val="20"/>
                <w:szCs w:val="20"/>
                <w:color w:val="auto"/>
              </w:rPr>
            </w:pPr>
            <w:r>
              <w:rPr>
                <w:rFonts w:ascii="Times New Roman" w:cs="Times New Roman" w:eastAsia="Times New Roman" w:hAnsi="Times New Roman"/>
                <w:sz w:val="18"/>
                <w:szCs w:val="18"/>
                <w:color w:val="0000FF"/>
              </w:rPr>
              <w:t>Item 16. Form 10-K Summary</w:t>
            </w:r>
          </w:p>
        </w:tc>
        <w:tc>
          <w:tcPr>
            <w:tcW w:w="480" w:type="dxa"/>
            <w:vAlign w:val="bottom"/>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608"/>
        </w:trPr>
        <w:tc>
          <w:tcPr>
            <w:tcW w:w="320" w:type="dxa"/>
            <w:vAlign w:val="bottom"/>
            <w:tcBorders>
              <w:top w:val="single" w:sz="8" w:color="CFF0FC"/>
            </w:tcBorders>
          </w:tcPr>
          <w:p>
            <w:pPr>
              <w:spacing w:after="0"/>
              <w:rPr>
                <w:sz w:val="24"/>
                <w:szCs w:val="24"/>
                <w:color w:val="auto"/>
              </w:rPr>
            </w:pPr>
          </w:p>
        </w:tc>
        <w:tc>
          <w:tcPr>
            <w:tcW w:w="2200" w:type="dxa"/>
            <w:vAlign w:val="bottom"/>
            <w:tcBorders>
              <w:top w:val="single" w:sz="8" w:color="0000FF"/>
            </w:tcBorders>
            <w:gridSpan w:val="18"/>
          </w:tcPr>
          <w:p>
            <w:pPr>
              <w:spacing w:after="0"/>
              <w:rPr>
                <w:sz w:val="24"/>
                <w:szCs w:val="24"/>
                <w:color w:val="auto"/>
              </w:rPr>
            </w:pPr>
          </w:p>
        </w:tc>
        <w:tc>
          <w:tcPr>
            <w:tcW w:w="3380" w:type="dxa"/>
            <w:vAlign w:val="bottom"/>
            <w:tcBorders>
              <w:top w:val="single" w:sz="8" w:color="CFF0FC"/>
            </w:tcBorders>
            <w:gridSpan w:val="21"/>
          </w:tcPr>
          <w:p>
            <w:pPr>
              <w:jc w:val="center"/>
              <w:ind w:left="2730"/>
              <w:spacing w:after="0"/>
              <w:rPr>
                <w:sz w:val="20"/>
                <w:szCs w:val="20"/>
                <w:color w:val="auto"/>
              </w:rPr>
            </w:pPr>
            <w:r>
              <w:rPr>
                <w:rFonts w:ascii="Times New Roman" w:cs="Times New Roman" w:eastAsia="Times New Roman" w:hAnsi="Times New Roman"/>
                <w:sz w:val="18"/>
                <w:szCs w:val="18"/>
                <w:color w:val="auto"/>
                <w:w w:val="88"/>
              </w:rPr>
              <w:t>3</w:t>
            </w:r>
          </w:p>
        </w:tc>
        <w:tc>
          <w:tcPr>
            <w:tcW w:w="144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spacing w:after="0"/>
              <w:rPr>
                <w:sz w:val="24"/>
                <w:szCs w:val="24"/>
                <w:color w:val="auto"/>
              </w:rPr>
            </w:pPr>
          </w:p>
        </w:tc>
        <w:tc>
          <w:tcPr>
            <w:tcW w:w="180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r>
      <w:tr>
        <w:trPr>
          <w:trHeight w:val="763"/>
        </w:trPr>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Kirby Corporation (the “Company”) is the nation’s largest domestic tank barge operator, transporting bulk liquid products throughout the Mississippi River System, on the Gulf Intracoastal Waterway, and coastwise along all three United States coasts. The Company, through its marine transportation segment (“KMT”), transports petrochemicals, black oil, refined petroleum products, and agricultural chemicals by tank barge. In addition, the Company participates in the transportation of dry-bulk commodities in United States coastwise trade. Through its distribution and services segment (“KDS”), the Company provides after-market services and genuine replacement parts for engines, transmissions, reduction gears and related equipment used in oilfield services, marine, power generation, on-highway, and other industrial applications. The Company also rents equipment including generators, industrial compressors, high 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the Company include the Company and its subsidiaries. The Company’s principal executive office is located at 55 Waugh Drive, Suite 1000, Houston, Texas 77007, and its telephone number is 713-435-1000. The Company’s mailing address is P.O. Box 1745, Houston, Texas 77251-1745. Kirby Corporation is a Nevada corporation and was incorporated in 1969 although the history of the Company goes back to 1921.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and Information Available on Website</w:t>
      </w:r>
    </w:p>
    <w:p>
      <w:pPr>
        <w:spacing w:after="0" w:line="20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Internet address of the Company’s website is http://www.kirbycorp.com. The Company makes available free of charge through its website, all of its filings with the Securities and Exchange Commission (“SEC”), including its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as soon as reasonably practicable after they are electronically filed with or furnished to the SEC. The SEC maintains an internet site at http://www.sec.gov that contains reports, proxy and information statements, and other information regarding issuers that file electronically with the SEC.</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are available on the Company’s website in the Investor Relations section under Governance Documents:</w:t>
      </w:r>
    </w:p>
    <w:p>
      <w:pPr>
        <w:spacing w:after="0" w:line="1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 Committee Charter</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Corporate Governance Guidelines</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Committee Charter</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Clawback Policy</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ESG and Nominating Committee Charter</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Insider Trading Policy</w:t>
            </w:r>
          </w:p>
        </w:tc>
      </w:tr>
    </w:tbl>
    <w:p>
      <w:pPr>
        <w:ind w:left="760" w:hanging="340"/>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Ethics Guidelines</w:t>
      </w:r>
    </w:p>
    <w:p>
      <w:pPr>
        <w:spacing w:after="0" w:line="16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website in the Investor Relations section under Corporate Governance.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AND PROPERTY</w:t>
      </w:r>
    </w:p>
    <w:p>
      <w:pPr>
        <w:spacing w:after="0" w:line="1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Company, through its subsidiaries, conducts operations in two reportable business segments: marine transportation and distribution and services.</w:t>
      </w:r>
    </w:p>
    <w:p>
      <w:pPr>
        <w:spacing w:after="0" w:line="18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through KMT, is a provider of marine transportation services, operating tank barges and towing vessels transporting bulk liquid products throughout the Mississippi River System, on the Gulf Intracoastal Waterway, and coastwise along all three United States coasts.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16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through KDS, provides after-market services and genuine replacement parts for engines, transmissions, reduction gears and related equipment used in oilfield services, marine, power generation, on-highway, and other industrial applications. The Company also rents equipment including generators, industrial compressors, high 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approximately 5,414 employees, the large majority of whom are in the United States.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KMT is primarily a provider of transportation services by tank barge for the inland and coastal markets. As of December 31, 2024, the equipment owned or operated by KMT consisted of 1,094 inland tank barges with 24.2 million barrels of capacity, and an average of 281 inland towboats during the fourth quarter of 2024, as well as 28 coastal tank barges with 2.9 million barrels of capacity, 24 coastal tugboats, four offshore dry-bulk cargo barges, three offshore tugboats and one docking tugboat with the following specifications and capacities: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equipment</w:t>
            </w:r>
          </w:p>
        </w:tc>
        <w:tc>
          <w:tcPr>
            <w:tcW w:w="120" w:type="dxa"/>
            <w:vAlign w:val="bottom"/>
          </w:tcPr>
          <w:p>
            <w:pPr>
              <w:spacing w:after="0"/>
              <w:rPr>
                <w:sz w:val="13"/>
                <w:szCs w:val="13"/>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in</w:t>
            </w:r>
          </w:p>
        </w:tc>
        <w:tc>
          <w:tcPr>
            <w:tcW w:w="220" w:type="dxa"/>
            <w:vAlign w:val="bottom"/>
          </w:tcPr>
          <w:p>
            <w:pPr>
              <w:spacing w:after="0"/>
              <w:rPr>
                <w:sz w:val="13"/>
                <w:szCs w:val="13"/>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Average age</w:t>
            </w:r>
          </w:p>
        </w:tc>
        <w:tc>
          <w:tcPr>
            <w:tcW w:w="22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0" w:type="dxa"/>
            <w:vAlign w:val="bottom"/>
          </w:tcPr>
          <w:p>
            <w:pPr>
              <w:spacing w:after="0"/>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Pr>
          <w:p>
            <w:pPr>
              <w:spacing w:after="0"/>
              <w:rPr>
                <w:sz w:val="15"/>
                <w:szCs w:val="15"/>
                <w:color w:val="auto"/>
              </w:rPr>
            </w:pPr>
          </w:p>
        </w:tc>
        <w:tc>
          <w:tcPr>
            <w:tcW w:w="13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capacities</w:t>
            </w: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 (owned and leased):</w:t>
            </w:r>
          </w:p>
        </w:tc>
        <w:tc>
          <w:tcPr>
            <w:tcW w:w="12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double hull: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20,000 barrels and under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 20,000 barrels</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inland tank barges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24,223,000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towboats (owned and chartered):</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800 to 1300 horsepower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1400 to 1900 horsepower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2000 to 2400 horsepower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2500 to 3200 horsepower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3300 to 4800 horsepower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than 5000 horsepower</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inland towboats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Coastal tank barges (owned):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30,000 barrels and under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50,000 to 70,000 barrels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80,000 to 90,000 barrels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100,000 to 110,000 barrels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120,000 to 150,000 barrels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Over 150,000 barrels</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coastal tank barges</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2,917,000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Coastal tugboats (owned and chartered):</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3000 to 3900 horsepower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4000 to 4900 horsepower</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5000 to 6900 horsepower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than 7000 horsepower</w:t>
            </w:r>
          </w:p>
        </w:tc>
        <w:tc>
          <w:tcPr>
            <w:tcW w:w="1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coastal tugboats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Deadweight</w:t>
            </w:r>
          </w:p>
        </w:tc>
        <w:tc>
          <w:tcPr>
            <w:tcW w:w="0" w:type="dxa"/>
            <w:vAlign w:val="bottom"/>
          </w:tcPr>
          <w:p>
            <w:pPr>
              <w:spacing w:after="0" w:line="20" w:lineRule="exact"/>
              <w:rPr>
                <w:sz w:val="1"/>
                <w:szCs w:val="1"/>
                <w:color w:val="auto"/>
              </w:rPr>
            </w:pPr>
          </w:p>
        </w:tc>
      </w:tr>
      <w:tr>
        <w:trPr>
          <w:trHeight w:val="320"/>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Tonnage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-4354195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-4337050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-4354195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-4337050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-4354195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-3230880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-3230880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-1816735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-1799590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-1816735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-1799590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-1799590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-967740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-967740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-325120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-307975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-325120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-307975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-325120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281 inland towboats, 24 coastal tugboats, three offshore tugboats and one docking tugboat provide the power source and the 1,094 inland tank barges, 28 coastal tank barges and four offshore dry-bulk cargo barges provide the freight capacity for KMT. When the power source and freight capacity are combined, the unit is called a tow. The Company’s inland tows generally consist of one towboat and from one to up to 25 tank barges, depending upon the horsepower of the towboat, the waterway infrastructure capacity and conditions, and customer requirements. The Company’s coastal and offshore tows primarily consist of one tugboat and one tank barge or dry-bulk cargo barge.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Marine Transportation Industry Fundamentals</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one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14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whereas black oil, including crude oil and natural gas condensate, is distributed regionally from refineries and terminals along the United States coast to refineries, power plants and distribution terminals.</w:t>
      </w:r>
    </w:p>
    <w:p>
      <w:pPr>
        <w:spacing w:after="0" w:line="148"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color w:val="auto"/>
        </w:rPr>
        <w:t>Based on cost, safety, and level of emissions, barge transportation is often the most efficient and safest means of surface transportation of bulk commodities when compared to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24.2 million barrels equates to approximately 40,500 railroad tank cars or approximately 127,000 tractor-trailer tank trucks. Furthermore, barging is much more energy efficient. One ton of bulk product can be carried 675 miles by inland barge on one gallon of fuel on a typical tow, compared to 472 miles by railcar or 151 miles by truck for typical transits. From an emissions perspective, transport by rail and tractor-trailer tank trucks emit approximately 40% and 800%, respectively, more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ton mile of cargo transported than by inland tank barge. In the coastal trade, the carrying capacity of a 100,000 barrel tank barge is the equivalent of approximately 165 railroad tank cars or approximately 525 tractor-trailer tank trucks. The Company’s coastal tank barge fleet capacity of 2.9 million barrels equates to approximately 4,800 railroad tank cars or approximately 15,300 tractor-trailer tank trucks. Marine transportation generally involves less urban exposure than railroad or truck transportation and operates on a system with few crossing junctures and often in areas relatively remote from population centers. These factors generally help to reduce the number of waterway incidents.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Inland Tank Barge Industry</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operates within the United States inland tank barge industry, a diverse and independent mixture of approximately 25 large integrated transportation companies and small operators, as well as captive fleets owned by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1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number of tank barges that operate on the inland waterways of the United States increased from 2,750 in 2006 to approximately 4,000 by the end of 2019. The increase from 2,750 tank barges in 2006 to approximately 4,000 by the end of 2019 primarily resulted from increased barge construction and deferred retirements due to strong demand and resulting capacity shortages. The number of industry tank barges has remained relatively constant from 2019 through the end of 2024. The Company’s 1,094 inland tank barges represent approximately 27% of the industry’s approximately 4,003 inland tank barges.</w:t>
      </w:r>
    </w:p>
    <w:p>
      <w:pPr>
        <w:spacing w:after="0" w:line="15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2023, the Company estimates that industry-wide 27 new tank barges were placed in service and 48 tank barges were retired. For 2024, the Company estimates that industry-wide 34 new tank barges were placed in service and 38 tank barges were retired. During 2023, the Company’s inland barge utilization averaged in the low 90% range as improved activity levels were offset by lock closures and several refinery outages. During 2024, the Company’s inland barge utilization remained in the low 90% range as strong activity levels were offset by an increase in delay days as compared to 2023. The Company estimates that approximately 45 to 50 new tank barges have currently been ordered for delivery in 2025. Generally, the risk of an oversupply of tank barges may be mitigated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increased petrochemical, black oil and refined petroleum products volumes from increased production from current facilities, plant expansions, the opening of new facilities, and the fact that the inland tank barge industry has approximately 600 tank barges that are 30 years old or older and approximately 350 of those are 40 years old or older, which could lead to retirement of these older tank barges. The average age of the nation’s inland tank barge fleet is approximately 18 years.</w:t>
      </w:r>
    </w:p>
    <w:p>
      <w:pPr>
        <w:spacing w:after="0" w:line="153"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 Company’s inland division of KMT also owns a shifting operation and fleeting facility for dry cargo barges and tank barges on the Houston Ship Channel, in Freeport and Port Arthur, Texas, and Lake Charles, Louisiana, and a shipyard for building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Coastal Tank Barge Industry</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also operates in the United States coastal tank barge industry, operating tank barges in the 195,000 barrels or less category. This market is composed of approximately 20 large integrated transportation companies and small operators. The 195,000 barrels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number of coastal tank barges that operate in the 195,000 barrels or less category is approximately 260, of which the Company operates 28 or approximately 11%. The average age of the nation’s coastal tank barge fleet is approximately 15 years. The Company is aware of no specialized coastal articulated tank barge and tugboat units (“ATB”) that were delivered in 2024 and no further ATBs currently under construction. The coastal tank barge fleet has approximately 20 tank barges that are over 25 years old industry-wide. The number of older tank barges, coupled with ballast water treatment regulations, could lead to further retirements of these older tank barges in the next few years.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Tank Barge Industry</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tank barge industry is very competitive. Competition in this business is based on price and reliability, with many of the industry’s customers emphasizing enhanced vetting requirements, an increased emphasis on safety, the environment, and high-quality service consistent with the customer’s operational standards. Customers also require that their supplier of tank barge services have the ability to handle a variety of requirements, including distribution capabilities throughout the inland waterway system and coastal markets, high levels of flexibility, and an emphasis on safety, environmental and financial responsibility, as well as appropriate insurance coverage.</w:t>
      </w:r>
    </w:p>
    <w:p>
      <w:pPr>
        <w:spacing w:after="0" w:line="15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inland markets, the Company’s direct competitors are primarily noncaptive inland tank barge operators. “Captive” fleets are owned by refining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1,094 tank barges as of December 31, 2024, or approximately 27% of the estimated total number of domestic inland tank barges.</w:t>
      </w:r>
    </w:p>
    <w:p>
      <w:pPr>
        <w:spacing w:after="0" w:line="14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coastal markets, the Company’s direct competitors are the operators of United States tank barges in the 195,000 barrels or less category. Coastal tank barges in the 195,000 barrels or less category have the ability to enter the majority of coastal ports. Ocean-going tank barges and United States product tankers in the 300,000 barrels plus category, excluding the fleet of large tankers dedicated to Alaska crude oil transportation, occasionally compete in the 195,000 barrels or less market to move large volumes of refined petroleum products within the Gulf of America with occasional movements from the Gulf Coast to the East Coast, along the West Coast and from Texas and Louisiana to Florida. However, access to United States ports of approximately 45 of these product tankers is limited by terminal size and draft restrictions.</w:t>
      </w:r>
    </w:p>
    <w:p>
      <w:pPr>
        <w:spacing w:after="0" w:line="14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on a barrel per mile basis.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 Transported</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transports petrochemicals, black oil, refined petroleum products, and agricultural chemicals by tank barge throughout the Mississippi River System, on the Gulf Intracoastal Waterway, and coastwise along all three United States coasts. During 2024, the Company’s inland marine transportation operation moved over 55 million tons of liquid cargo on the United States inland waterway system.</w:t>
      </w:r>
    </w:p>
    <w:p>
      <w:pPr>
        <w:spacing w:after="0" w:line="13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Petrochemicals. </w:t>
      </w:r>
      <w:r>
        <w:rPr>
          <w:rFonts w:ascii="Times New Roman" w:cs="Times New Roman" w:eastAsia="Times New Roman" w:hAnsi="Times New Roman"/>
          <w:sz w:val="18"/>
          <w:szCs w:val="18"/>
          <w:color w:val="auto"/>
        </w:rPr>
        <w:t>Bulk liquid petrochemicals transported include such products as benzene, styrene, methanol, acrylonitrile, xylene, naphtha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caustic soda. These products are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51% of the segment’s 2024 revenues. Customers shipping these products are petrochemical and refining companies.</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Black Oil. </w:t>
      </w:r>
      <w:r>
        <w:rPr>
          <w:rFonts w:ascii="Times New Roman" w:cs="Times New Roman" w:eastAsia="Times New Roman" w:hAnsi="Times New Roman"/>
          <w:sz w:val="18"/>
          <w:szCs w:val="18"/>
          <w:color w:val="auto"/>
        </w:rPr>
        <w:t>Black oil transported includes such products as residual fuel oil, No. 6 fuel oil, coker feedstock, vacuum gas oil, asphalt, carbon black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feedstock, crude oil, natural gas condensate and ship bunkers (engine fuel). Such products represented 25% of the segment’s 2024 revenues. Black oil customers are refining companies, marketers, and end users that require the transportation of black oil between refineries and storage terminals, to other refineries and to power plants. Ship bunker customers are oil companies and oil traders in the bunkering business.</w:t>
      </w:r>
    </w:p>
    <w:p>
      <w:pPr>
        <w:spacing w:after="0" w:line="15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Refined Petroleum Products. </w:t>
      </w:r>
      <w:r>
        <w:rPr>
          <w:rFonts w:ascii="Times New Roman" w:cs="Times New Roman" w:eastAsia="Times New Roman" w:hAnsi="Times New Roman"/>
          <w:sz w:val="18"/>
          <w:szCs w:val="18"/>
          <w:color w:val="auto"/>
        </w:rPr>
        <w:t>Refined petroleum products transported include the various blends of finished gasoline, gasoline blendstocks, jet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 oil, heating oil and diesel fuel, and represented 21% of the segment’s 2024 revenues. The Company also classifies ethanol in the refined petroleum products category. Customers are oil and refining companies, marketers and ethanol producers.</w:t>
      </w:r>
    </w:p>
    <w:p>
      <w:pPr>
        <w:spacing w:after="0" w:line="13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Agricultural Chemicals. </w:t>
      </w:r>
      <w:r>
        <w:rPr>
          <w:rFonts w:ascii="Times New Roman" w:cs="Times New Roman" w:eastAsia="Times New Roman" w:hAnsi="Times New Roman"/>
          <w:sz w:val="18"/>
          <w:szCs w:val="18"/>
          <w:color w:val="auto"/>
        </w:rPr>
        <w:t>Agricultural chemicals transported represented 3% of the segment’s 2024 revenues. Agricultural chemicals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anhydrous ammonia and nitrogen-based liquid fertilizer, as well as industrial ammonia. Agricultural chemical customers consist mainly of domestic and foreign producers of such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Drivers in the Tank Barge Industry</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volumes of the bulk liquid commodities.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black oil markets as needed.</w:t>
      </w:r>
    </w:p>
    <w:p>
      <w:pPr>
        <w:spacing w:after="0" w:line="13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Petrochemical products are used in both consumer non-durable and durable goods. Bulk petrochemical volumes have historically tracked the general domestic economy and correlate to the United States Gross Domestic Product. During 2022, the Company’s inland barge utilization averaged in the high 80% range reflecting increased activity levels as a result of higher refinery and petrochemical plant utilization. During 2023, the Company’s inland barge utilization improved to the low 90% range as improved activity levels were partially offset by lock closures and several refinery outages. During 2024, the Company’s inland barge utilization remained in the low 90% range as strong activity levels were offset by an increase in delay days as compared to 2023. Coastal tank barge utilization for the transportation of petrochemicals increased from the mid-80% range in 2023 to the mid to high 80% range during 2024 due to improved economic conditions.</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demand for black oil, including ship bunkers, varies by type of product transported. Demand for transportation of residual oil, a heavy by-product of refining operations, varies with refinery utilization and usage of feedstocks. During 2022 through 2024, the Company continued to transport crude oil and natural gas condensate produced from the Eagle Ford and Permian Basin shale formations in Texas, both along the Gulf Intracoastal Waterway with inland vessels and in the Gulf of America with coastal equipment, and continued to transport Utica crude oil and natural gas condensate downriver from the Mid-Atlantic to the Gulf Coast, albeit, at reduced levels as some of the product was transported by newly constructed pipelines. Inland black oil tank barge utilization averaged in the high 90% range in the last nine months of 2022. During both 2023 and 2024, inland black oil tank barge utilization averaged in the high 90% range. Coastal black oil tank barge utilization averaged in the high 90% range in both 2023 and 2024 as utilization was supported by a high percentage of term contracts. Inland and coastal asphalt shipments are generally seasonal, with higher volumes shipped during April through November, months when weather allows for efficient road construction.</w:t>
      </w:r>
    </w:p>
    <w:p>
      <w:pPr>
        <w:spacing w:after="0" w:line="16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Refined petroleum product volumes are driven by United States gasoline and diesel fuel consumption, principally vehicle usage, air travel, and weather conditions. Volumes can also be affected by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the Gulf Coast. In the coastal trade, tank barges are frequently used regionally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to transport refined petroleum products from a coastal refinery or terminals served by pipelines to the end markets. Many coastal areas rely upon access to refined petroleum products by using marine transportation in the distribution chain. During 2023 and 2024, coastal refined petroleum products tank barge utilization averaged in the high 90% range as activity levels continued to improve.</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 Operations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KMT operated a fleet of 1,094 inland tank barges and an average of 281 inland towboats during the 2024 fourth quarter, as well as 28 coastal tank barges and 24 coastal tugboats. The segment also operated four offshore dry-bulk cargo barges, three offshore tugboats and one docking tugboat transporting dry-bulk commodities in United States coastal trade.</w:t>
      </w:r>
    </w:p>
    <w:p>
      <w:pPr>
        <w:spacing w:after="0" w:line="147"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Inland Operations. </w:t>
      </w:r>
      <w:r>
        <w:rPr>
          <w:rFonts w:ascii="Times New Roman" w:cs="Times New Roman" w:eastAsia="Times New Roman" w:hAnsi="Times New Roman"/>
          <w:sz w:val="18"/>
          <w:szCs w:val="18"/>
          <w:color w:val="auto"/>
        </w:rPr>
        <w:t>The segment’s inland operations are conducted through a wholly owned subsidiary, Kirby Inland Marine, LP (“Kirby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Marine”). Kirby Inland Marine’s operations consist of the Canal, Linehaul and River fleets, as well as barge fleeting services.</w:t>
      </w:r>
    </w:p>
    <w:p>
      <w:pPr>
        <w:spacing w:after="0" w:line="12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Louisiana to waterfront terminals and plants on the Mississippi, Illinois and Ohio Rivers, and along the Gulf Intracoastal Waterway, on regularly scheduled linehaul tows. Tank barges are dropped off and picked up going up and down river.</w:t>
      </w:r>
    </w:p>
    <w:p>
      <w:pPr>
        <w:spacing w:after="0" w:line="1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1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1,094 inland tank barges currently operated, 839 are petrochemical and refined petroleum products barges, 160 are black oil barges, 85 are pressure barges and 10 are refrigerated anhydrous ammonia barges. Of the 1,094 inland tank barges, 1,062 are owned by the Company and 32 are leased.</w:t>
      </w:r>
    </w:p>
    <w:p>
      <w:pPr>
        <w:spacing w:after="0" w:line="15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fleet of 281 inland towboats for the 2024 fourth quarter ranges from 800 to 6,100 horsepower. Of the 281 inland towboats, 216 are owned by the Company and 65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14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Marine transportation services for inland movements are conducted under term contracts, which have contract terms of 12 months or longer, or spot contracts, which have contract terms of less than 12 months, with customers with whom the Company has traditionally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had long-standing relationships. Typically, term contracts range from one to five years, some of which have renewal options. During 2022 and 2023, approximately 60% of inland marine transportation revenues were under term contracts and 40% were under spot contracts. During 2024, approximately 65% of inland marine transportation revenues were under term contracts and 35% were under spot contracts.</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of the Company’s inland tank barges used in the transportation of bulk liquid products are of double hull construction and are capable of controlling vapor emissions during loading and discharging operations in compliance with occupational safety and health regulations and air quality regulations.</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has the ability to offer its customers optimized distribution capabilities throughout the Mississippi River System and the Gulf Intracoastal Waterway. Such capabilities offer economies of scale from matching tank barges, towboats, products, and destinations efficiently to meet its customers’ requirements.</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Through the Company’s proprietary vessel management computer system, the Company’s barge and towboat fleet is dispatched from a centralized dispatch group. The towboats are equipped with cellular and satellite positioning and communication systems that automatically transmit the location of the towboat to the Company’s customer service department. Electronic orders are communicated to vessel personnel with reports of towing activities fed back electronically to the customer service department. The electronic interface between the customer service department and the vessel enables matching of customer needs to barge capabilities, thereby promoting efficient utilization of the tank barge and towboat fleet. The Company’s customers are able to access information concerning the movement of their cargoes, including barge locations, through the Company’s proprietary electronic customer service portal.</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Kirby Inland Marine operates the largest commercial tank barge fleeting service (barge storage facilities) in the United States, operating in numerous ports including Houston, Corpus Christi, Freeport and Orange, Texas, Baton Rouge, Lake Charles and New Orleans, Louisiana, Mobile, Alabama, and Greenville, Mississippi. Included in the fleeting service is a shifting operation and fleeting service for dry cargo barges and tank barges on the Houston Ship Channel, in Freeport and Port Arthur, Texas, and Lake Charles, Louisiana. Kirby Inland Marine provides shifting and fleeting service for its own barges, as well as for customers and third party carriers, transferring barges within the areas noted.</w:t>
      </w:r>
    </w:p>
    <w:p>
      <w:pPr>
        <w:spacing w:after="0" w:line="14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Kirby Inland Marine also provides shore-based barge tankermen to the Company and third parties in the Gulf Coast, mid-Mississippi Valley, and the Ohio River Valley.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San Jac Marine, LLC (“San Jac”), a subsidiary of Kirby Inland Marine, owns and operates a shipyard in Channelview, Texas which builds marine vessels for both inland and coastal applications, and provide maintenance and repair services. Kirby Inland Marine also builds inland towboats and performs routine maintenance and repairs at the San Jac shipyard.</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owns a two-thirds interest in Osprey, which transports project cargoes and cargo containers by barge on the United States inland waterway system.</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Coastal Operations. </w:t>
      </w:r>
      <w:r>
        <w:rPr>
          <w:rFonts w:ascii="Times New Roman" w:cs="Times New Roman" w:eastAsia="Times New Roman" w:hAnsi="Times New Roman"/>
          <w:sz w:val="18"/>
          <w:szCs w:val="18"/>
          <w:color w:val="auto"/>
        </w:rPr>
        <w:t>The segment’s coastal operations are conducted through wholly owned subsidiaries, Kirby Offshore Marine, LLC (“Kirby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Offshore Marine”) and Kirby Ocean Transport Company (“Kirby Ocean Transport”).</w:t>
      </w:r>
    </w:p>
    <w:p>
      <w:pPr>
        <w:spacing w:after="0" w:line="12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Kirby Offshore Marine provides marine transportation of refined petroleum products, petrochemicals and black oil in coastal regions of the United States. The coastal operations are conducted along the eastern seaboard, western seaboard and the Gulf Coast. The Company also operates equipment, to a lesser extent, in the Eastern Canadian Provinces. The tank barges are in the 10,000 to 195,000 barrel capacity range and coastal tugboats in the 3,000 to 10,000 horsepower range. Kirby Offshore Marine’s vessels call on various coastal ports from Maine to Texas, servicing refineries, storage terminals and power plants. The Company also services refineries and storage terminals from Southern California to Washington State.</w:t>
      </w:r>
    </w:p>
    <w:p>
      <w:pPr>
        <w:spacing w:after="0" w:line="15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coastal transportation of refined petroleum products and black oil is impacted by seasonality and is partially dependent on the area of operations. Operations along the West Coast of the United States have been subject to more seasonal variations in demand than the operations along the East Coast and Gulf Coast regions of the United States. Movements of refined petroleum products such as various blends of gasoline are strongest during the summer driving season while heating oil generally increases during the winter months.</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coastal fleet consists of 28 tank barges with 2.9 million barrels of capacity, primarily transporting refined petroleum products, black oil and petrochemicals. The Company owns all 28 of the coastal tank barges. Of the 28 coastal tank barges, 20 are refined petroleum products and petrochemical barges and 8 are black oil barges. The Company operates 24 coastal tugboats ranging from 3,000 to 11,000 horsepower, of which 23 are owned by the Company and one is chartered.</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Coastal marine transportation services are typically conducted under term contracts, some of which have renewal options, for customers with which the Company has traditionally had long-standing relationships. During 2022, approximately 75% of the coastal marine transportation revenues were under term contracts and 25% were under spot contracts. During 2023, approximately 85% of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coastal marine transportation revenues were under term contracts and 15% were under spot contracts. During 2024, approximately 99% of the coastal marine transportation revenues were under term contracts and 1% were under spot contracts.</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Kirby Offshore Marine also operates a fleet of two offshore dry-bulk barge and a tugboat unit involved in the transportation of sugar and other dry products between Florida and East Coast ports. These vessels have typically operated under term contracts of affreightment of a year or longer.</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Kirby Ocean Transport owns and operates a fleet of two offshore dry-bulk barges, two offshore tugboats and one docking tugboat. Kirby Ocean Transport operates primarily under term contracts of affreightment.</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Kirby Ocean Transport is also engaged in the transportation of coal, fertilizer, sugar and other bulk cargoes on a spot basis between domestic ports and occasionally the transportation of grain from domestic ports to ports primarily in the Caribbean Basin.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and Customers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Marine transportation inland and coastal services are conducted under term or spot contracts for customers with whom the Company has traditionally had long-standing relationships. Typically, term contracts range from one to five years, some of which have renewal options. The majority of the marine transportation contracts with its customers, by revenue, are for terms of one year. Most have been customers of KMT for many years and management anticipates continued relationships; however, there is no assurance that any individual contract will be renewed.</w:t>
      </w:r>
    </w:p>
    <w:p>
      <w:pPr>
        <w:spacing w:after="0" w:line="13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its customers to transport cargo from a designated origin to a designated destination at a set rate (affreightment) or at a daily rate (time charter). The rate may or may not include escalation provisions to recover changes in specific costs such as fuel. Time charter or contracts of affreightment of one year or greater are considered term contract revenues and agreements of less than a year are included in spot contract revenues. Time charters, which insulate the Company from revenue fluctuations caused by weather and navigational delays and temporary market declines, represented approximately 61% of the marine transportation’s inland revenues under term contracts during 2024, 63% during 2023, and 58% during 2022. Spot contracts typically involve an agreement with a customer to move cargo from a specific origin to a designated destination for a rate negotiated at the time the cargo movement takes place. Spot contract rates are at the current “market” rate and are subject to market volatility.</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typically maintains a higher mix of term contracts to spot contracts to provide the Company with a reasonably predictable revenue stream while maintaining spot market exposure to take advantage of new business opportunities and customers’ peak demands. During both 2022 and 2023, approximately 60% of inland marine transportation revenues were under term contracts and 40% were under spot contracts. During 2024, approximately 65% of inland marine transportation revenues were under term contracts and 35% were under spot contracts. Coastal time charters represented approximately 90% of the marine transportation’s coastal revenues under term contracts in 2022 and 2023 and approximately 98% of coastal revenues under term contracts in 2024.</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single customer of KMT accounted for 10% or more of the Company’s revenues in 2024, 2023, or 2022.</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through its wholly owned subsidiary Kirby Distribution &amp; Services, Inc. and its wholly owned subsidiaries Kirby Engine Systems LLC, (“Kirby Engine Systems”), Stewart &amp; Stevenson LLC (“S&amp;S”), United Holdings LLC (“United”), and Diesel Dash LLC and through Kirby Engine Systems’ wholly owned subsidiaries Marine Systems, Inc. (“Marine Systems”) and Engine Systems, Inc. (“Engine Systems”), serves three markets, commercial and industrial, power generation, and oil and gas. The Company sells genuine replacement parts, provides service mechanics to overhaul and repair engines, transmissions, reduction gears and related oilfield service equipment, rebuilds component parts or entire diesel engines, transmissions and reduction gears, electrical motors, drives, and controls, specialized electrical distribution and control systems, and related equipment used in oilfield services, marine, power generation, on-highway, and other commercial and industrial applications. Customers are served through a network of 61 branch locations across 16 states and Colombia, South America, as well as a proprietary on-line marketplace, www.dieseldash.com. The Company manufactures and remanufactures power generation equipment, railcar moving equipment, and oilfield service equipment, including pressure pumping units, for North American as well as for international oilfield service companies, and oil and gas operator and producer markets. The Company also sells engines, transmissions, power generation systems, and rents equipment including generators, industrial compressors, high capacity lift trucks, construction equipment and refrigeration trailers for use in a variety of commercial and industrial applications.</w:t>
      </w:r>
    </w:p>
    <w:p>
      <w:pPr>
        <w:spacing w:after="0" w:line="14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Effective January 1, 2024, the power generation revenue source within the distribution and services segment has been broken out from the commercial and industrial and oil and gas revenue sources due to the significance of the power generation market to the Company’s growth. This change had no net impact on overall Company or segment revenues and has been reflected retrospectively for all periods presented.</w:t>
      </w:r>
    </w:p>
    <w:p>
      <w:pPr>
        <w:spacing w:after="0" w:line="14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commercial and industrial market, the Company sells Original Equipment Manufacturers (“OEM”) replacement parts and new diesel engines, provides service mechanics and maintains facilities to overhaul and repair diesel engines and ancillary products for marine and on-highway transportation companies, and industrial companies. The Company rents equipment including generators, industrial compressors, high capacity lift trucks, construction equipment and refrigeration trailers for use in a variety of industrial markets.</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power generation market, the Company provides engineered products and field services, OEM replacement parts and safety-related products to power generation operators and to the nuclear industry, manufactures engine generator and pump packages for power generation operators and municipalities, offers customized power generation systems for specific commercial and industrial applications, and rents equipment including generators.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oil and gas market, the Company sells OEM replacement parts, sells and services diesel engines, pumps and transmissions, manufactures and remanufactures pressure pumping units, manufactures cementing and pumping equipment, as well as coil tubing and well intervention equipment, electric power generation equipment, and specialized electrical distribution and control equipment. Customers include oilfield service companies, and oil and gas operators and producers.</w:t>
      </w:r>
    </w:p>
    <w:p>
      <w:pPr>
        <w:spacing w:after="0" w:line="15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 single customer of KDS accounted for 10% or more of the Company’s revenues in 2024, 2023, or 2022. KDS also provides service to KMT, which accounted for approximately 2% of KDS’s 2024 revenues, and 3% of the segment’s 2023 and 2022 revenues. Such revenues are eliminated in consolidation and not included in the table below.</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revenues for KDS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and parts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1,081,725</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1,071,297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962,187</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271,101</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298,406</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205,600</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1,352,826</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Operations</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 serves the marine, on-highway, power generation, and other commercial and industrial markets primarily in the United States. The commercial and industrial operations represented approximately 46% of the segment’s 2024 revenues.</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oilfield service industry, marine equipment used in the offshore commercial fishing industry, harbor docking vessels, commercial ferries, vessels owned by the United States government and large pleasure crafts.</w:t>
      </w:r>
    </w:p>
    <w:p>
      <w:pPr>
        <w:spacing w:after="0" w:line="15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has marine repair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Louisiana, Chesapeake, Virginia, Paducah, Kentucky, Seattle, Washington, and Tampa, Florida, serving as the authorized distributor for EMD Power Products (“EMD”) throughout the United States.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Louisiana operation concentrates on the inland and offshore barge and oilfield services industries. The Tampa, Florida operation concentrates on Gulf of America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1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high-speed marine operations are located in Houston, Texas, Houma, Baton Rouge, Belle Chasse and New Iberia, Louisiana, Paducah, Kentucky, Mobile, Alabama, Lodi and Thorofare, New Jersey, and several locations in Florida. The Company serves as a factory-authorized marine dealer for Caterpillar diesel engines in multiple states. The Company also operates factory-authorized full service marine distributorships/dealerships for Cummins, Detroit Diesel, John Deere, MTU, and Volvo Penta, and Kohler diesel engines, as well as Falk, Lufkin and Twin Disc marine gears. High-speed diesel engines provide the main propulsion for a significant amount of the United States flagged commercial vessels and large pleasure craft vessels, other marine applications, including engines for power generators and barge pumps.</w:t>
      </w:r>
    </w:p>
    <w:p>
      <w:pPr>
        <w:spacing w:after="0" w:line="14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and haul trucks, as well as equipment rental.</w:t>
      </w:r>
    </w:p>
    <w:p>
      <w:pPr>
        <w:spacing w:after="0" w:line="160"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8"/>
          <w:szCs w:val="18"/>
          <w:color w:val="auto"/>
        </w:rPr>
        <w:t>The Company also is engaged in the rental of industrial compressors, high capacity lift trucks, construction equipment and refrigeration trailers. In addition, the Company provides accessory products such as cables, hoses, fuel cells, air dryers, air compressor boosters and ground heaters. Lastly, the Company is a dealer for Thermo King refrigeration systems for trucks, railroad cars and other land transportation markets in Texas and Colorado.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Industrial Customers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results of the distribution and services industry are largely tied to the industrial markets it serves and, therefore, are influenced by the cycles of such markets. The Company’s major marine customers include inland and offshore barge operators, oilfield service companies, offshore fishing companies, other marine transportation entities, the United States government and large pleasure crafts. The marine business is linked to the relative health of the inland towboat, offshore and coastal tugboat, harbor docking tugboat, offshore oilfield service, oil and gas drilling, offshore commercial fishing industries, Great Lakes ore vessels, dredging vessels, coastal ferries, United States government vessels and the pleasure craft industry.</w:t>
      </w:r>
    </w:p>
    <w:p>
      <w:pPr>
        <w:spacing w:after="0" w:line="15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rental customers are primarily commercial and industrial companies with short-term rental requirements.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Commercial and Industrial Competitive Conditions</w:t>
      </w:r>
    </w:p>
    <w:p>
      <w:pPr>
        <w:spacing w:after="0" w:line="20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one source of support and service for all of their requirements at pre-negotiated prices.</w:t>
      </w:r>
    </w:p>
    <w:p>
      <w:pPr>
        <w:spacing w:after="0" w:line="14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is one of a limited number of authorized resellers of EMD, Caterpillar, Cummins, Detroit Diesel, John Deere, MTU and Volvo Penta parts. The Company is also the marine distributor for Falk and Lufkin reduction gears throughout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Generation Operations</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is engaged in the manufacturing, installation and servicing of new power generation units, and also provides standby and rental backup power generation units. The power generation operations represented approximately 36% of the segment’s 2024 revenues. The Company is engaged in the overhaul and repair of diesel engines and generators, and related parts sales for power generation customers. The Company is also engaged in the sale and distribution of engine parts, engine modifications, generator modifications, controls, governors and generator packages to the nuclear industry. The Company services users of engines that provide emergency standby, peak and base load power generation. The Company services dual fuel, natural gas, and diesel engines. The Company also sells power generation systems that are customized for specific applications and the rental of power generation systems.</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Cooper Machinery Services (“Cooper”)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also a non-exclusive distributor of Ingersoll Rand air start equipment to the nuclear industry worldwide.</w:t>
      </w:r>
    </w:p>
    <w:p>
      <w:pPr>
        <w:spacing w:after="0" w:line="15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sells pre-packaged and fabricated power generation systems for emergency, standby and auxiliary power applications. The Company also offers rental generator systems from 50 to 2,000 kilowatts of power to a broad range of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Generation Customers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power generation customers are domestic utilities and the worldwide nuclear power industry, municipalities, universities, medical facilities, data centers, petrochemical plants, manufacturing facilities, shopping malls, office complexes, residential, oil and gas operators, prime power, and other industrial users.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Generation Competitive Conditions</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primary power generation competitors are other independent power generation and prime power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noted above, the Company is the exclusive worldwide distributor of EMD, Cooper,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Operations</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is engaged in the distribution and service of high-speed diesel engines, pumps and transmissions, and the manufacture and remanufacture of oilfield service equipment. The oil and gas operations represented approximately 18% of the segment’s 2024 revenues. The Company offers custom fabricated oilfield service equipment that is fully tested and field ready. The Company manufactures and remanufactures oilfield service equipment, including pressure pumping units, nitrogen pumping units, cementers, hydration equipment, mud pumps and blenders, coil tubing, and well intervention equipment. The Company sells OEM replacement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parts, and sells and services diesel engines, electric drives, motors and controls, pumps and transmissions, and offers in-house and in-field service capabilities. The Company is the largest off-highway distributor for Allison Transmission and a major distributor for MTU in North America.</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manufacturing and remanufacturing facilities and service facilities are based in Houston, Texas and Oklahoma City, Oklahoma, both key oil and gas producing regions.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Customers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industrial markets it serves and, therefore, are influenced by the cycles of such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 Competitive Conditions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primary competitors in the oil and gas market are other oilfield equipment manufacturers and remanufacturers, and equipment service companies. While price is a major determinant in the competitive process, equipment availability, reputation, consistent quality, expeditious service, experienced personnel, access to parts inventories and market presence are also significant factors. A substantial portion of the Company’s business is obtained by competitive bids.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00"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Company’s operations, products, and services are subject to various government regulations, which vary based upon its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and within its business segments.</w:t>
      </w:r>
    </w:p>
    <w:p>
      <w:pPr>
        <w:spacing w:after="0" w:line="12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KMT, the Company’s marine transportation operations are subject to regulation by the United States Coast Guard (“USCG”), federal laws, state laws, the laws of other countries when operating in their waters, and certain international conventions. The agencies establish safety requirements and standards and are authorized to investigate incidents.</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Most of the Company’s tank barges are inspected by the USCG and carry certificates of inspection. The Company’s inland and coastal towing vessels and coastal dry-bulk barges are also subject to USCG regulations. The USCG has enacted safety regulations governing the inspection, standards, and safety management systems of towing vessels. The regulations also create many new requirements for design, construction, equipment, and operation of towing vessels. The USCG regulations supersede the jurisdiction of the United States Occupational Safety and Health Administration (“OSHA”) and any state regulations on vessel design, construction, alteration, repair, maintenance, operation, equipping, personnel qualifications and manning. The regulations requiring towing vessels to obtain a certificate of inspection became effective for existing towing vessels on July 20, 2018. Other portions of the regulations were phased in following the July 20, 2018 effective date through July 19, 2022, by which time the Company was in full compliance.</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of the Company’s coastal tugboats and coastal tank and dry-bulk barges are built to American Bureau of Shipping (“ABS”) classification standards and/or statutory requirements issued by the USCG, and are inspected periodically by ABS and/or the USCG to maintain the vessels in class and compliant with all U.S. statutory requirements, as applicable to the vessel. The crews employed by the Company aboard inland and coastal vessels, including captains, pilots, engineers, tankermen and ordinary seamen, are licensed by the USCG.</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is required by various governmental agencies to obtain licenses, certificates and permits for its vessels depending upon such factors as the cargo transported, the waters in which the vessels operate and other factors. The Company believes that its vessels have obtained and can maintain all required licenses, certificates and permits required by such governmental agencies for the foreseeable future. The Company’s failure to maintain these authorizations could adversely impact its operations.</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believes that additional security and environmental related regulations relating to contingency planning requirements could be imposed on the marine industry. Generally, the Company endorses the anticipated additional regulations and believes it is currently operating to standards at least equal to anticipated additional regulations.</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When the Company does operate in foreign jurisdictions, it is subject to the legal and regulatory requirements of those jurisdictions in addition to those generally applicable to the Company's domestic operations. This is primarily applicable to the coastal business of the KMT segment and Colombia branches in the KDS segment. Further, to the extent the Company does business with foreign counterparties, it is subject to additional rules and regulations, in particular, with regard to import and export compliance and the Foreign Corrupt Practices Act (“FCPA”), or similar local applicable anti-bribery laws. The Company provides anti-corruption training to all of its employees.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5" w:name="page16"/>
    <w:bookmarkEnd w:id="15"/>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Jones Act. </w:t>
      </w:r>
      <w:r>
        <w:rPr>
          <w:rFonts w:ascii="Times New Roman" w:cs="Times New Roman" w:eastAsia="Times New Roman" w:hAnsi="Times New Roman"/>
          <w:sz w:val="18"/>
          <w:szCs w:val="18"/>
          <w:color w:val="auto"/>
        </w:rPr>
        <w:t>The Jones Act is a federal cabotage law that restricts domestic marine transportation in the United States to vessels built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manned, owned and operated by United States citizens. For a corporation to qualify as a United States citizen for the purpose of domestic trade, it has to be 75% owned and controlled by United States citizens within the meaning of the Jones Act. The Company monitors its citizenship status and meets the requirements of the Jones Act for its owned and operated vessels.</w:t>
      </w:r>
    </w:p>
    <w:p>
      <w:pPr>
        <w:spacing w:after="0" w:line="15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Compliance with United States ownership requirements of the Jones Act is important to the operations of the Company, and a violation of the Jones Act could have a material negative effect on the Company and its vessels’ ability to operate. The Company monitors the citizenship of its employees and stockholders and complies with United States build requirements.</w:t>
      </w:r>
    </w:p>
    <w:p>
      <w:pPr>
        <w:spacing w:after="0" w:line="13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User Taxes. </w:t>
      </w:r>
      <w:r>
        <w:rPr>
          <w:rFonts w:ascii="Times New Roman" w:cs="Times New Roman" w:eastAsia="Times New Roman" w:hAnsi="Times New Roman"/>
          <w:sz w:val="18"/>
          <w:szCs w:val="18"/>
          <w:color w:val="auto"/>
        </w:rPr>
        <w:t>Federal legislation requires that inland marine transportation companies pay a user tax based on propulsion fuel used by vessels engaged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14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presently pays a federal fuel user tax of 29.1 cents per gallon consisting of a 0.1 cent per gallon leaking underground storage tank tax and 29 cents per gallon waterways user tax.</w:t>
      </w:r>
    </w:p>
    <w:p>
      <w:pPr>
        <w:spacing w:after="0" w:line="13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Security Requirements. </w:t>
      </w:r>
      <w:r>
        <w:rPr>
          <w:rFonts w:ascii="Times New Roman" w:cs="Times New Roman" w:eastAsia="Times New Roman" w:hAnsi="Times New Roman"/>
          <w:sz w:val="18"/>
          <w:szCs w:val="18"/>
          <w:color w:val="auto"/>
        </w:rPr>
        <w:t>The Maritime Transportation Security Act of 2002 requires, among other things, submission to and approval by the USCG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 and waterfront facility security plans (“VSP” and “FSP”, respectively). The Company maintains approved VSP and FSP and is operating in compliance with the plans for all of its vessels and facilities that are subject to the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or the Company operates in such jurisdictions. Government regulations require the Company to obtain permits, licenses and certificates for the operation of its vessels and its facilities in both KMT and KDS. Failure to maintain necessary permits or approvals could require the Company to incur costs or temporarily suspend operation of one or more of its vessels or other facilities. Violations of applicable federal, state or local laws may result in civil and criminal penalties, fines, or other sanctions.</w:t>
      </w:r>
    </w:p>
    <w:p>
      <w:pPr>
        <w:spacing w:after="0" w:line="15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Pollution Regulations. </w:t>
      </w:r>
      <w:r>
        <w:rPr>
          <w:rFonts w:ascii="Times New Roman" w:cs="Times New Roman" w:eastAsia="Times New Roman" w:hAnsi="Times New Roman"/>
          <w:sz w:val="18"/>
          <w:szCs w:val="18"/>
          <w:color w:val="auto"/>
        </w:rPr>
        <w:t>The Federal Water Pollution Control Act of 1972, as amended by the Clean Water Act of 1977 (“Clean Water 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Environmental Response, Compensation and Liability Act of 1981 (“CERCLA”) and the Oil Pollution Act of 1990 (“OPA”) impose strict prohibitions against the discharge of oil and its derivatives or hazardous substances into the navigable waters of the United States or to the environment.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14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4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Clean Water Act. </w:t>
      </w:r>
      <w:r>
        <w:rPr>
          <w:rFonts w:ascii="Times New Roman" w:cs="Times New Roman" w:eastAsia="Times New Roman" w:hAnsi="Times New Roman"/>
          <w:sz w:val="18"/>
          <w:szCs w:val="18"/>
          <w:color w:val="auto"/>
        </w:rPr>
        <w:t>The Clean Water Act establishes the National Pollutant Discharge Elimination System (“NPDES”) permitting program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discharges into navigable waters of the United States. The United States Environmental Protection Agency (“EPA”) regulates the discharge of ballast water and other substances in United States waters under the Clean Water Act. Pursuant to the NPDES program, effective February 6, 2009, the EPA issued regulations requiring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Incidental Discharge Act (“VIDA”), signed into law on December 4, 2018, established a new framework for the regulation of vessel incidental discharges under the Clean Water Act. VIDA requires the EPA to develop national performance standards for those discharges within two years of enactment and requires the USCG to develop implementation, compliance, and enforcement regulations within two years of the EPA’s promulgation of standards. Under VIDA, all provisions of the Vessel General Permit which became effective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19, 2013, remain in force and effect until the USCG regulations are finalized. The Company maintains Vessel General Permits and has established recordkeeping and reporting procedures in compliance with the EPA’s interim requirements.</w:t>
      </w:r>
    </w:p>
    <w:p>
      <w:pPr>
        <w:spacing w:after="0" w:line="13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a BWMS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has required and continues to require significant capital expenditures in accordance with the compliance schedule established by the USCG in 33 CFR 151 to complete the installation of the approved system on those existing vessels that require a system in order to comply with the BWMS regulations. During 2024, the Company completed installation of an approved BWMS on the last such barge currently in its fleet.</w:t>
      </w:r>
    </w:p>
    <w:p>
      <w:pPr>
        <w:spacing w:after="0" w:line="15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Responsibility Requirement. </w:t>
      </w:r>
      <w:r>
        <w:rPr>
          <w:rFonts w:ascii="Times New Roman" w:cs="Times New Roman" w:eastAsia="Times New Roman" w:hAnsi="Times New Roman"/>
          <w:sz w:val="18"/>
          <w:szCs w:val="18"/>
          <w:color w:val="auto"/>
        </w:rPr>
        <w:t>Commencing with the Federal Water Pollution Control Act of 1972, as amended, vessels over 300 gross tons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States of Alaska, California, and Washington have implemented state financial responsibility requirements, and each of them now require a COFR, but the requirement for Washington is satisfied through the Company’s insurance program. The Company does not foresee any current or future difficulty in maintaining the COFR certificates or meeting financial responsibility requirements under current federal or state rules.</w:t>
      </w:r>
    </w:p>
    <w:p>
      <w:pPr>
        <w:spacing w:after="0" w:line="14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Clean Air Regulations. </w:t>
      </w:r>
      <w:r>
        <w:rPr>
          <w:rFonts w:ascii="Times New Roman" w:cs="Times New Roman" w:eastAsia="Times New Roman" w:hAnsi="Times New Roman"/>
          <w:sz w:val="18"/>
          <w:szCs w:val="18"/>
          <w:color w:val="auto"/>
        </w:rPr>
        <w:t>The Federal Clean Air Act of 1979 (“CAA”) requires states to draft State Implementation Plans (“SIPs”) under the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Ambient Air Quality Standards designed to reduce atmospheric pollution for six common air pollutants to levels mandated by this act. The EPA designates areas in the United States as meeting or not meeting the standards. Several SIPs implement the regulation of barge loading and discharging emissions at waterfront facilities as a measure to meet the CAA standard. The implementation of these regulations requires a reduction of hydrocarbon emissions released into the atmosphere during the loading of most petroleum products and the degassing and cleaning of barges for maintenance or change of cargo. These regulations require vessel operators that operate in states with areas of nonattainment of air quality standards under the CAA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KDS, particularly in its oil and gas equipment service and manufacturing and the power generation businesses, must closely adhere to federal regulatory requirements relating to emissions for stationary and non-road engines.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the Company is subject to environmental laws and regulations that establish engine emission standards under the CAA that allow California to establish new engine emission standards and requirements for commercial harbor crafts operating in the state. The California Air Resources Board (“CARB”) has enacted amendments to its Commercial Harbor Craft rules which were approved in early 2025 by the EPA. To the extent that these rules survive legal challenges and become effective, and the Company is unable to obtain an extension on applicable vessels that are utilized in California waters now or in the future, the Company may not be permitted to utilize those vessels in California waters. At this time, the Company does not believe such impact will be material to its business, but to the extent such rules may apply to other vessels in the Company’s fleet or other states adopt similar measures, it could result in increased compliance costs, additional operating restrictions or changes in demand for the Company’s services, which could have a material adverse effect on the Company’s business, financial condition and results of operations.</w:t>
      </w:r>
    </w:p>
    <w:p>
      <w:pPr>
        <w:spacing w:after="0" w:line="14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Contingency Plan Requirement. </w:t>
      </w:r>
      <w:r>
        <w:rPr>
          <w:rFonts w:ascii="Times New Roman" w:cs="Times New Roman" w:eastAsia="Times New Roman" w:hAnsi="Times New Roman"/>
          <w:sz w:val="18"/>
          <w:szCs w:val="18"/>
          <w:color w:val="auto"/>
        </w:rPr>
        <w:t>The OPA and several state statutes of similar intent require the majority of the vessels and terminals operated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Occupational Health Regulations. </w:t>
      </w:r>
      <w:r>
        <w:rPr>
          <w:rFonts w:ascii="Times New Roman" w:cs="Times New Roman" w:eastAsia="Times New Roman" w:hAnsi="Times New Roman"/>
          <w:sz w:val="18"/>
          <w:szCs w:val="18"/>
          <w:color w:val="auto"/>
        </w:rPr>
        <w:t>The Company’s inspected vessel operations are primarily regulated by the USCG for occupational health standards.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Uninspected vessel operations, the Company’s shore-based personnel, and employees in the Company’s KDS segment are subject to OSHA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it is in compliance with the provisions of the regulations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14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Company’s marine transportation operations are subject to the hazards associated with operating vessels carrying large volumes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bulk cargo in a marine environment. These hazards include the risk of loss of or damage to the Company’s vessels, damage to third parties as a result of collision, fire or explosion, adverse weather conditions, loss or contamination of cargo, personal injury of employees and third parties, and pollution and other environmental damages. The Company maintains hull, liability, general liability, workers compensation and pollution liability insurance coverage against these hazards. The Company also maintains insurance to address liabilities arising from KDS operating activities. For shipyard operations, the Company has ship repairer’s liability and builder’s risk insurance. The Company uses a Texas domiciled wholly owned insurance subsidiary, Adaptive KRM, LLC, to provide cost effective risk transfer options to insure certain exposures of the Company and certain of its subsidiaries in KMT and KDS.</w:t>
      </w:r>
    </w:p>
    <w:p>
      <w:pPr>
        <w:spacing w:after="0" w:line="142"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Environmental Protection. </w:t>
      </w:r>
      <w:r>
        <w:rPr>
          <w:rFonts w:ascii="Times New Roman" w:cs="Times New Roman" w:eastAsia="Times New Roman" w:hAnsi="Times New Roman"/>
          <w:sz w:val="18"/>
          <w:szCs w:val="18"/>
          <w:color w:val="auto"/>
        </w:rPr>
        <w:t>The Company utilizes several programs to further its commitment to environmental responsibility in its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compliance audits, performed with internal and external resources, are performed regularly on the Company's operations. Additionally, the Company employs third party expertise to conduct safety performance, safety management system, and environmental audits on its barge cleaning and shipyard vendors. The Company participates in the American Waterways Operators Responsible Carrier program, which drives continuous improvement towards reducing the barge industry’s impact on the environment. It is also a member of the Blue Sky Maritime Coalition and other organizations focused on reducing greenhouse gas emissions.</w:t>
      </w:r>
    </w:p>
    <w:p>
      <w:pPr>
        <w:spacing w:after="0" w:line="142"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The Company manages its exposure to the hazards associated with its business through safety, training and preventive maintenance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emphasizes its safety commitment through programs oriented toward extensive monitoring of safety performance for the purpose of identifying trends and initiating corrective action, and for continuously improving employee safety behavior and performance.</w:t>
      </w:r>
    </w:p>
    <w:p>
      <w:pPr>
        <w:spacing w:after="0" w:line="14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The Company believes that among the major elements of a successful and productive workforce are effective training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also believes that training in the proper performance of a job enhances both the safety and quality of the service provided. New technology, regulatory compliance, personnel safety, quality and environmental concerns create additional demands for training. Refer to Human Capital below for further discussion regarding training programs the Company has developed and instituted.</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Quality. </w:t>
      </w:r>
      <w:r>
        <w:rPr>
          <w:rFonts w:ascii="Times New Roman" w:cs="Times New Roman" w:eastAsia="Times New Roman" w:hAnsi="Times New Roman"/>
          <w:sz w:val="18"/>
          <w:szCs w:val="18"/>
          <w:color w:val="auto"/>
        </w:rPr>
        <w:t>Kirby Inland Marine has made a substantial commitment to the implementation, maintenance, and improvement of quality assurance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Employment. </w:t>
      </w:r>
      <w:r>
        <w:rPr>
          <w:rFonts w:ascii="Times New Roman" w:cs="Times New Roman" w:eastAsia="Times New Roman" w:hAnsi="Times New Roman"/>
          <w:sz w:val="18"/>
          <w:szCs w:val="18"/>
          <w:color w:val="auto"/>
        </w:rPr>
        <w:t>The Company has approximately 5,414 employees, the large majority of whom are in the United States. The large majority of non-vessel employees work full-time. Vessel employees work varying schedules according to their assignments. The Company has approximately 105 general corporate employees. The Company supports its employees by providing competitive pay and benefits, training, and a respectful and inclusive culture.</w:t>
      </w:r>
    </w:p>
    <w:p>
      <w:pPr>
        <w:spacing w:after="0" w:line="13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KMT has approximately 3,119 employees, of which approximately 2,380 are vessel crew members. None of the segment’s inland operations are subject to collective bargaining agreements. The segment’s coastal operations include approximately 413 vessel employees, some of which are subject to collective bargaining agreements in certain geographic areas. Approximately 204 Kirby Offshore Marine vessel crew members are subject to a collective bargaining agreement with the Richmond Terrace Bargaining Unit in effect through August 31, 2026. In addition, approximately 113 vessel crew members of Penn Maritime Inc., a wholly owned subsidiary of Kirby Offshore Marine, are represented by the Seafarers International Union under a collective bargaining agreement in effect through April 30, 2027.</w:t>
      </w:r>
    </w:p>
    <w:p>
      <w:pPr>
        <w:spacing w:after="0" w:line="14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KDS has approximately 2,190 employees. None of the United Holdings and Kirby Engine Systems operations are subject to collective bargaining agreements. Approximately 49 S&amp;S employees in New Jersey are subject to a collective bargaining agreement with the Local 15C, International Union of Operating Engineers, AFL-CIO that expires in October 2028. The remaining S&amp;S employees are not subject to collective bargaining agreements.</w:t>
      </w:r>
    </w:p>
    <w:p>
      <w:pPr>
        <w:spacing w:after="0" w:line="14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Training and Development. </w:t>
      </w:r>
      <w:r>
        <w:rPr>
          <w:rFonts w:ascii="Times New Roman" w:cs="Times New Roman" w:eastAsia="Times New Roman" w:hAnsi="Times New Roman"/>
          <w:sz w:val="18"/>
          <w:szCs w:val="18"/>
          <w:color w:val="auto"/>
        </w:rPr>
        <w:t>The Company strives to provide its employees with a rewarding work environment, including the opportunity for success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 opportunity for personal and professional development. The development of its people is a key factor in the Company’s employee retention and satisfaction. Its technical and skill training has always been a differentiator and has facilitated the recruitment of new trainees.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the marine business, the Company’s training facility includes state-of-the-art equipment and instruction aids, including a full bridge wheelhouse simulator, a working towboat, two tank barges, and a tank barge simulator for tankermen training. During 2024, approximately 1,663 certificates were issued for the completion of courses at the training facility, of which approximately 883 were USCG approved classes and the balance were employee development and Company required classes, including leadership, communication, and navigation courses. The Company uses the Seaman’s Church Institute as an additional training resource for its wheelhouse crewmembers. The marine segment provides a clear career progression for vessel personnel from entry level deckhand to captain and regularly reviews promotions from one level to another.</w:t>
      </w:r>
    </w:p>
    <w:p>
      <w:pPr>
        <w:spacing w:after="0" w:line="16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KDS, the Company operates regional training centers providing instructor-led, skill-based training classes to certify its technicians to work on diesel engines, transmissions, and power generation equipment. KDS has multiple career progressions within its numerous businesses. In 2022, KDS launched an apprentice program at various locations. The Company continues to recruit and train apprentices for technical roles.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leadership and managerial training includes an online training curriculum that is available to both supervisory employees and those employees that aspire to move into such roles in the future. It includes a series of classes focused on management essentials which provide in-depth education in specific subjects such as leadership, strategic thinking, coaching and people development, decision making, problem solving, and communication.</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the Company facilitates many training courses that cover a range of topics that enhance specific skill sets, increase productivity, and educate employees about safety and team morale across both business segments. Training classes include environmental, health, and safety classes, compliance, leadership, and general business skills related courses. Compliance topics include anti-corruption and human rights training, cybersecurity awareness, business ethics, compliance, and promoting a respectful culture.</w:t>
      </w:r>
    </w:p>
    <w:p>
      <w:pPr>
        <w:spacing w:after="0" w:line="1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Core Values. </w:t>
      </w:r>
      <w:r>
        <w:rPr>
          <w:rFonts w:ascii="Times New Roman" w:cs="Times New Roman" w:eastAsia="Times New Roman" w:hAnsi="Times New Roman"/>
          <w:sz w:val="18"/>
          <w:szCs w:val="18"/>
          <w:color w:val="auto"/>
        </w:rPr>
        <w:t>Through its core values, the Company promotes a culture of respect, knowledge and teamwork which contributes to a strong workforce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meets its customer’s expectations and business objectives. The Company works diligently to attract the best talent from a broad range of resources to meet the current and future demands of its business. The Company has established relationships with high schools, trade schools, world-class universities, professional associations and industry groups to proactively attract talent.</w:t>
      </w:r>
    </w:p>
    <w:p>
      <w:pPr>
        <w:spacing w:after="0" w:line="13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Succession planning is a key responsibility of the CEO and the Chief Human Resources Officer and is a critical annual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Company’s senior management and its Board. Senior management reviews their succession plans regularly throughout the year and provides the Board an in-depth review on an annual basis. This process looks at qualifications, performance, time in role, readiness to advance, and required development. The Board engages with many of these individuals through presentations on a variety of projects and subjects. The development initiatives for those identified in the succession plan may comprise post graduate work, targeted development around strengthening a needed competency, or additional industry exposure.</w:t>
      </w:r>
    </w:p>
    <w:p>
      <w:pPr>
        <w:spacing w:after="0" w:line="14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Culture, Engagement, and Social Responsibility. </w:t>
      </w:r>
      <w:r>
        <w:rPr>
          <w:rFonts w:ascii="Times New Roman" w:cs="Times New Roman" w:eastAsia="Times New Roman" w:hAnsi="Times New Roman"/>
          <w:sz w:val="18"/>
          <w:szCs w:val="18"/>
          <w:color w:val="auto"/>
        </w:rPr>
        <w:t>The Company recognizes the importance of employee engagement and has implemented a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of surveying its employees to obtain their feedback on both what is working well and areas of improvement. One of the main take-aways from the 2023 survey was 90% of employees surveyed agree that Kirby is committed to Employee Safety. In addition, employees believe the Company operates with strong values, has a strong safety culture, and would recommend working for the Company to others.</w:t>
      </w:r>
    </w:p>
    <w:p>
      <w:pPr>
        <w:spacing w:after="0" w:line="15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provides its employees with a rewarding work environment, which includes access to resources for personal and professional development. The Company often participates in community organizations, service projects and matches employee charitable contributions. Through the Kirby Disaster Relief Fund, the Company supports employees in need following natural disasters and other qualified hardships. The Company provides employees with tuition reimbursement and college scholarships for the children of non-executive employees. In addition to standard health and welfare benefits, the Company offers wellness incentives and initiatives that encourages employees to receive an annual wellness checkup.</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Information about the Company’s Executive Officers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executive officers of the Company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7180" w:type="dxa"/>
            <w:vAlign w:val="bottom"/>
            <w:tcBorders>
              <w:bottom w:val="single" w:sz="8" w:color="auto"/>
            </w:tcBorders>
          </w:tcPr>
          <w:p>
            <w:pPr>
              <w:ind w:left="2940"/>
              <w:spacing w:after="0"/>
              <w:rPr>
                <w:sz w:val="20"/>
                <w:szCs w:val="20"/>
                <w:color w:val="auto"/>
              </w:rPr>
            </w:pPr>
            <w:r>
              <w:rPr>
                <w:rFonts w:ascii="Times New Roman" w:cs="Times New Roman" w:eastAsia="Times New Roman" w:hAnsi="Times New Roman"/>
                <w:sz w:val="14"/>
                <w:szCs w:val="14"/>
                <w:b w:val="1"/>
                <w:bCs w:val="1"/>
                <w:color w:val="auto"/>
              </w:rPr>
              <w:t>Positions and Offices</w:t>
            </w:r>
          </w:p>
        </w:tc>
      </w:tr>
      <w:tr>
        <w:trPr>
          <w:trHeight w:val="210"/>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W. Grzebinski</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 G. O’Neil</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Raj Kumar</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D. Husted</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A. Dragg</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Assistant Secretary</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N. McCauley</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Scott P. Miller</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46</w:t>
            </w: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and Chief Information Officer</w:t>
            </w: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Kurt A. Niemietz</w:t>
            </w:r>
          </w:p>
        </w:tc>
        <w:tc>
          <w:tcPr>
            <w:tcW w:w="12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 Investor Relations and Treasurer</w:t>
            </w:r>
          </w:p>
        </w:tc>
      </w:tr>
      <w:tr>
        <w:trPr>
          <w:trHeight w:val="216"/>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William M. Woodruff</w:t>
            </w:r>
          </w:p>
        </w:tc>
        <w:tc>
          <w:tcPr>
            <w:tcW w:w="12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shd w:val="clear" w:color="auto" w:fill="CFF0FC"/>
          </w:tcPr>
          <w:p>
            <w:pPr>
              <w:spacing w:after="0"/>
              <w:rPr>
                <w:sz w:val="18"/>
                <w:szCs w:val="18"/>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 Public and Governmental Affairs</w:t>
            </w:r>
          </w:p>
        </w:tc>
      </w:tr>
    </w:tbl>
    <w:p>
      <w:pPr>
        <w:spacing w:after="0" w:line="19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David W. Grzebinski is a Chartered Financial Analyst and holds a Master of Business Administration degree from Tulane University and a degree in chemical engineering from the University of South Florida. He has served as Chief Executive Officer since April 2024. He served as President and Chief Executive Officer from April 2014 to April 2024.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operational and financial positions since 1988 with FMC Technologies Inc. (“FMC”), including Controller, Energy Services, Treasurer, and Director of Global SAP and Industry Relations. Prior to joining FMC, he was employed by Dow Chemical Company in manufacturing, engineering and financial roles.</w:t>
      </w:r>
    </w:p>
    <w:p>
      <w:pPr>
        <w:spacing w:after="0" w:line="14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Christian G. O’Neil holds a Master of Business Administration degree from Rice University, a doctorate of jurisprudence from Tulane University and a bachelor of arts degree from Southern Methodist University. He has served as President and Chief Operating Officer since April 2024, as President of Kirby Inland Marine and Kirby Offshore Marine since January 2018, as President of San Jac Marine, LLC since October 2018, and President of Kirby Offshore Wind, LLC since March 2021.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 which was subsequently merged into the predecessor of Kirby Inland Marine.</w:t>
      </w:r>
    </w:p>
    <w:p>
      <w:pPr>
        <w:spacing w:after="0" w:line="16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Raj Kumar is a member of CPA Australia and holds a Master of Business Administration degree from Columbia University in New York City and a Bachelor of Business in Accounting degree from Deakin University in Australia. He has served as Executive Vice President and Chief Financial Officer since November 2021. Prior to joining the Company, Mr. Kumar served as Vice President and Chief Financial Officer of Dril-Quip, Inc. from 2020 to 2021, Vice President and Chief Accounting Officer from 2019 to 2020, and Vice President and Treasurer from 2017 to 2019. Prior to joining Dril-Quip, he served as Vice President Finance at Frank</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International from 2015 to 2017. Prior to that, he served as a segment controller at LyondellBasell and in Division CFO, treasury, strategic planning and corporate development positions at FMC and Dell Inc.</w:t>
      </w:r>
    </w:p>
    <w:p>
      <w:pPr>
        <w:spacing w:after="0" w:line="14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Amy D. Husted holds a doctorate of jurisprudence from South Texas College of Law and a Bachelor of Science degree in political science from the University of Houston. She has served the Company as Executive Vice President, General Counsel and Secretary since July 2024. She also served as Vice President, General Counsel and Secretary from April 2019 to July 2024, Vice President and General Counsel from January 2017 to April 2019, Vice President – Legal from January 2008 to January 2017 and Corporate Counsel from November 1999 through December 2007. Prior to joining the Company, she served as Corporate Counsel of Hollywood Marine from 1996 to 1999 after joining Hollywood Marine in 1994.</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Ronald A. Dragg is a Certified Public Accountant and holds a Master of Science in Accountancy degree from the University of Houston and a degree in finance from Texas A&amp;M University. He has served the Company as Vice President, Controller and Assistant Secretary since April 2014. He also served as Vice President and Controller from January 2007 to April 2014, as Controller from November 2002 to January 2007, Controller – Financial Reporting from January 1999 to October 2002, and Assistant Controller –</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Financial Reporting from October 1996 to December 1998. Prior to joining the Company, he was employed by Baker Hughes Incorporated.</w:t>
      </w:r>
    </w:p>
    <w:p>
      <w:pPr>
        <w:spacing w:after="0" w:line="19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Jennifer N. “Jenny” McCauley holds a Master of Science in Human Development from the University of Texas at Dallas and Bachelor of Arts degree from Saint Mary’s College. She has served the Company as Chief Human Resources Officer since February 2025. Prior to joining the Company, she was a full-time consultant where she provided strategic planning and executive and leadership advisory support to a variety of clients. Prior to that, she served as Senior Vice President – Administration with Southwestern Energy Company (“Southwestern”) and was responsible for Human Resources, Supply Chain, Support Services, Real Estate, and Information Technology. Prior to joining Southwestern, she served in various roles in human resources for JP Morgan Chase, Aramark, and Hilton Hotels.</w:t>
      </w:r>
    </w:p>
    <w:p>
      <w:pPr>
        <w:spacing w:after="0" w:line="14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Scott P. Miller holds a Bachelor of Science in Management of Information Systems from Louisiana State University and a Master of Business Administration degree from the University of Houston. He has served as Vice President and Chief Information Officer since April 2019. Prior to joining the Company, he was employed by Key Energy Services, Inc. from May 2006 to March 2019, serving in various senior leadership roles including Managing Director of Strategy, Vice President and Chief Information Officer from March 2013 to December 2015 and as Senior Vice President, Operations Services and Chief Administrative Officer from January 2016 to March 2019.</w:t>
      </w:r>
    </w:p>
    <w:p>
      <w:pPr>
        <w:spacing w:after="0" w:line="1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Kurt A. Niemietz holds a Master of Business Administration degree from St. Mary’s University and a degree in accounting from the University of Texas at San Antonio. He has served the Company as Vice President - Investor Relations and Treasurer since July 2022. He also served as Vice President and Treasurer from April 2019 to July 2022. Prior to joining the Company, he was employed by Pacific Drilling from 2013 to 2019, serving in various roles of increasing responsibility, including Treasurer from 2017 to 2019, and in various financial positions with FMC, from 2006 to 2013. Prior to joining FMC, he was employed by Austin, Calvert &amp; Flavin as a buy-side equity analyst.</w:t>
      </w:r>
    </w:p>
    <w:p>
      <w:pPr>
        <w:spacing w:after="0" w:line="15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William M. Woodruff holds a doctorate of jurisprudence from the University of Houston Law Center and a bachelor of science degree from Texas A&amp;M University. He has served as Vice President – Public and Governmental Affairs since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89"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elsewhere in this annual report, 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Segment Risk Factors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Inland Waterway infrastructure is aging and may result in increased costs and disruptions to KMT. </w:t>
      </w:r>
      <w:r>
        <w:rPr>
          <w:rFonts w:ascii="Times New Roman" w:cs="Times New Roman" w:eastAsia="Times New Roman" w:hAnsi="Times New Roman"/>
          <w:sz w:val="18"/>
          <w:szCs w:val="18"/>
          <w:color w:val="auto"/>
        </w:rPr>
        <w:t>Maintenance of the United States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Currently, 35% of the cost of new construction and major rehabilitation of locks and dams is paid by marine transportation companies through a 29 cent per gallon waterway user tax and the remaining 65% of waterway infrastructure and improvement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14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a marine accident or spill event. </w:t>
      </w:r>
      <w:r>
        <w:rPr>
          <w:rFonts w:ascii="Times New Roman" w:cs="Times New Roman" w:eastAsia="Times New Roman" w:hAnsi="Times New Roman"/>
          <w:sz w:val="18"/>
          <w:szCs w:val="18"/>
          <w:color w:val="auto"/>
        </w:rPr>
        <w:t>A marine accident or spill event could close a portion of the 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waterway system or a coastal area of the United States for an extended period of time. Although statistically marine transportation is the safest means of surface transportation of bulk commodities, accidents do occur, both involving Company equipment and equipment owned by other marine operators.</w:t>
      </w:r>
    </w:p>
    <w:p>
      <w:pPr>
        <w:spacing w:after="0" w:line="14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transports a wide variety of petrochemicals, black oil, refined petroleum products and agricultural chemicals throughout the Mississippi River System, on the Gulf Intracoastal Waterway, and coastwise along all three United States coasts. The Company manages its exposure to losses from potential unauthorized discharges of pollutants through the use of well-maintained and equipped tank barges and towing vessels, through safety, training and environmental programs, and through the Company’s insurance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program, but a discharge of pollutants by the Company could have an adverse effect on the Company. Risks may arise for which the Company may not be insured. Claims covered by insurance are subject to deductibles, the aggregate amount of which could be material, and certain policies impose limitations on coverage. Existing insurance coverage may not be able to be renewed at commercially reasonable rates or coverage capacity for certain risks may not be available or adequate to cover future claims. If a loss occurs that is partially or completely uninsured, or the carrier is unable or unwilling to cover the claim, the Company could be exposed to liability.</w:t>
      </w:r>
    </w:p>
    <w:p>
      <w:pPr>
        <w:spacing w:after="0" w:line="1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KMT is dependent on its ability to adequately crew its towing vessels. </w:t>
      </w:r>
      <w:r>
        <w:rPr>
          <w:rFonts w:ascii="Times New Roman" w:cs="Times New Roman" w:eastAsia="Times New Roman" w:hAnsi="Times New Roman"/>
          <w:sz w:val="18"/>
          <w:szCs w:val="18"/>
          <w:color w:val="auto"/>
        </w:rPr>
        <w:t>The Company’s vessels are crewed with employees who are licensed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certified by the USCG, including its captains, pilots, engineers and tankermen. The success of KMT is dependent on the Company’s ability to adequately crew its vessels. As a result, the Company invests significant resources in training its crews and providing crew members an opportunity to advance from a deckhand to the captain of a Company towboat or tugboat. Inland crew members generally work rotations such as 20 days on, 10 days off rotation, or a 30 days on, 15 days off rotation. For the coastal fleet, crew members are generally required to work rotations such as 14 days on, 14 days off rotation, a 21 days on, 21 days off rotation or a 30 days on, 30 days off rotation, dependent upon the location. The nature of crewmember work schedules and assignments away from home for extended periods require special recruiting and at times it can be difficult to find candidates. With ongoing retirements and a mariner shortage in the industry, the Company faces competitive labor pressure and continues to monitor and implement market competitive pay practices. The Company also utilizes an internal development program to train Maritime Academy graduates for vessel leadership positions.</w:t>
      </w:r>
    </w:p>
    <w:p>
      <w:pPr>
        <w:spacing w:after="0" w:line="15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KMT has approximately 3,119 employees, of which approximately 2,380 are vessel crew members. None of the segment’s inland operations are subject to collective bargaining agreements. The segment’s coastal operations include approximately 413 vessel employees, of whom approximately 317 are subject to collective bargaining agreements in certain geographic areas. Any work stoppages or labor disputes could adversely affect coastal operations in those areas.</w:t>
      </w:r>
    </w:p>
    <w:p>
      <w:pPr>
        <w:spacing w:after="0" w:line="13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KMT is subject to the Jones Act. </w:t>
      </w:r>
      <w:r>
        <w:rPr>
          <w:rFonts w:ascii="Times New Roman" w:cs="Times New Roman" w:eastAsia="Times New Roman" w:hAnsi="Times New Roman"/>
          <w:sz w:val="18"/>
          <w:szCs w:val="18"/>
          <w:color w:val="auto"/>
        </w:rPr>
        <w:t>KMT competes principally in markets subject to the Jones Act, a federal cabotage law that restricts domestic marine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in the United States to vessels built and registered in the United States, and manned, owned and operated by United States citizens. The Company presently meets all of the requirements of the Jones Act for its owned and operated vessels. The loss of Jones Act status could have a significant negative effect on the Company. The requirements that the Company’s vessels be United States built and manned by United States citizens, the crewing requirements and material requirements of the USCG, and the application of United States labor and tax laws increases the cost of United States flagged vessels compared to comparable foreign flagged vessels. The Company’s business could be adversely affected if the Jones Act or international trade agreements or laws were to be modified or waived as to permit foreign flagged vessels to operate in the United States as these vessels are not subject to the same United States government imposed regulations, laws, and restrictions. Since the events of September 11, 2001, the United States government has taken steps to increase security of United States ports, coastal waters and inland waterways. The Company believes that it is unlikely that the current cabotage provisions of the Jones Act would be eliminated or significantly modified in a way that has a material adverse impact on the Company in the foreseeable future.</w:t>
      </w:r>
    </w:p>
    <w:p>
      <w:pPr>
        <w:spacing w:after="0" w:line="16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Two limited waivers of the Jones Act were granted in connection with the shutdown of the Colonial Pipeline in May 2021. In connection with recovery from Hurricane Fiona, in September and October 2022, two limited waivers of the Jones Act were granted to allow diesel and liquefied natural gas deliveries to Puerto Rico. Waivers of the Jones Act, whether in response to natural disasters or otherwise, could result in increased competition from foreign tank vessel operators, which could negatively impact KMT.</w:t>
      </w:r>
    </w:p>
    <w:p>
      <w:pPr>
        <w:spacing w:after="0" w:line="14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KMT is subject to extensive regulation by the USCG, federal laws, other federal agencies, various state laws, the laws of other countries when operating in their waters, and certain international conventions, as well as numerous environmental regulations. </w:t>
      </w:r>
      <w:r>
        <w:rPr>
          <w:rFonts w:ascii="Times New Roman" w:cs="Times New Roman" w:eastAsia="Times New Roman" w:hAnsi="Times New Roman"/>
          <w:sz w:val="18"/>
          <w:szCs w:val="18"/>
          <w:color w:val="auto"/>
        </w:rPr>
        <w:t>The majority of the Company’s vessels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inspection by the USCG and carry certificates of inspection. The crews employed by the Company aboard vessels are licensed or certified by the USCG. The Company’s marine transportation operations are subject to laws of other countries when operating in their waters. The Company is required by various governmental agencies to obtain licenses, certificates and permits for its owned and operated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climate change laws or regulations, could have an adverse effect on the Company.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KMT is subject to natural gas and crude oil prices as well as the volatility of their prices as well as the volatility in production of refined products and petrochemicals in the United States. </w:t>
      </w:r>
      <w:r>
        <w:rPr>
          <w:rFonts w:ascii="Times New Roman" w:cs="Times New Roman" w:eastAsia="Times New Roman" w:hAnsi="Times New Roman"/>
          <w:sz w:val="18"/>
          <w:szCs w:val="18"/>
          <w:color w:val="auto"/>
        </w:rPr>
        <w:t>For 2024, 51% of KMT’s revenues were from the movement of petrochemicals, including the movement of raw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feedstocks from one refinery or petrochemical plant to another, as well as the movement of more finished products to end users and terminals for export.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five new United States petrochemical projects, including expansion of existing plants, were completed during 2023, with an additional four projects completed during 2024. These projects should provide additional movements for KMT. Higher natural gas and crude oil prices are generally better for the Company’s businesses; however, higher natural gas prices and other factors could negatively impact the United States petrochemical industry and its production volumes, which could negatively impact the Company.</w:t>
      </w:r>
    </w:p>
    <w:p>
      <w:pPr>
        <w:spacing w:after="0" w:line="16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Demand 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 In general, lower energy prices are good for the United States economy and typically translate into increased petrochemical and refined product demand and therefore increased demand for tank barge transportation services. However, during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By the end of 2019, the Company estimates that number of tank barges had declined to 335 inland tank barges and approximately five coastal tank barges transporting crude and natural gas condensate. As of the end of 2022, the Company estimates that approximately 170 to 200 inland tank barges were transporting crude and natural gas condensate. As of the end of 2023, the Company estimates that approximately 190 to 220 inland tank barges were transporting crude and natural gas condensate. As of the end of 2024, the Company estimates that approximately 170 to 180 inland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KMT including as a result of lower spot and term contract rates and/or reluctance to enter into or extend term contracts.</w:t>
      </w:r>
    </w:p>
    <w:p>
      <w:pPr>
        <w:spacing w:after="0" w:line="15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KMT could be adversely impacted by the construction of tank barges. </w:t>
      </w:r>
      <w:r>
        <w:rPr>
          <w:rFonts w:ascii="Times New Roman" w:cs="Times New Roman" w:eastAsia="Times New Roman" w:hAnsi="Times New Roman"/>
          <w:sz w:val="18"/>
          <w:szCs w:val="18"/>
          <w:color w:val="auto"/>
        </w:rPr>
        <w:t>At the present time, there are an estimated 4,003 inland tank barges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of which the Company operates 1,094, or 27%. For 2022, the Company estimates that industry-wide 22 new tank barges were placed in service and retirements, net of reactivations, were flat. For 2023, the Company estimates that industry-wide 27 new tank barges were placed in service and 48 tank barges were retired. For 2024, the Company estimates that industry-wide 34 new tank barges were placed in service and 38 tank barges were retired. The Company estimates that approximately 45 to 50 new tank barges have currently been ordered for delivery in 2025 and expects a number of older tank barges will be retired, dependent on 2025 market conditions.</w:t>
      </w:r>
    </w:p>
    <w:p>
      <w:pPr>
        <w:spacing w:after="0" w:line="14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long-term risk of an oversupply of inland tank barges may be mitigated by the fact that the inland tank barge industry has approximately 600 tank barges that are 30 years old or older and approximately 350 of those are 40 years old or older. Given the age profile of the industry inland tank barge fleet and extensive customer vetting standards, the expectation is that these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15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estimates there are approximately 260 tank barges operating in the 195,000 barrels or less coastal industry fleet, the sector of the market in which the Company operates, and approximately 20 of those are over 25 years old. The Company is aware of no ATBs placed in service in 2022, 2023 or 2024 and no ATBs currently under construction.</w:t>
      </w:r>
    </w:p>
    <w:p>
      <w:pPr>
        <w:spacing w:after="0" w:line="13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Higher fuel prices could increase operating expenses and fuel price volatility could reduce profitability. </w:t>
      </w:r>
      <w:r>
        <w:rPr>
          <w:rFonts w:ascii="Times New Roman" w:cs="Times New Roman" w:eastAsia="Times New Roman" w:hAnsi="Times New Roman"/>
          <w:sz w:val="18"/>
          <w:szCs w:val="18"/>
          <w:color w:val="auto"/>
        </w:rPr>
        <w:t>The cost of fuel during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9% of marine transportation revenue. The Company’s marine transportation term contracts typically include fuel escalation clauses, or the customer pays for the fuel. However, there is generally a 30 to 120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44"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Significant increases in the construction cost of tank barges and towing vessels may limit the Company’s ability to earn an adequate return on its investment in new tank barges and towing vessels</w:t>
      </w:r>
      <w:r>
        <w:rPr>
          <w:rFonts w:ascii="Times New Roman" w:cs="Times New Roman" w:eastAsia="Times New Roman" w:hAnsi="Times New Roman"/>
          <w:sz w:val="18"/>
          <w:szCs w:val="18"/>
          <w:color w:val="auto"/>
        </w:rPr>
        <w:t>. The price of steel, economic conditions, and supply and demand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dynamics can significantly impact the construction cost of new tank barges and towing vessels. Over the last 20 years, the Company’s average construction price for a new 30,000 barrel capacity inland tank barge has fluctuated up or down significantly. For example, the average construction price for a new 30,000 barrel capacity tank barge in 2009 was approximately 90% higher than in 2000, with increases primarily related to higher steel costs. During 2009, the United States and global recession negatively impacted demand levels for inland tank barges and as a result, the construction price of inland tank barges fell significantly in 2010, primarily due to a significant decrease in steel prices, as well as a decrease in the number of tank barges ordered. The cost of steel, a key material in barge construction, was relatively stable from 2010 through 2019. During 2020, at the onset of the COVID-19 pandemic, steel costs dropped, however, during 2021 and 2022, steel prices rose above 2019 levels due to supply chain disruptions before decreasing in 2023. Although steel prices have remained stable in 2024, they still remain near historical highs. These increases in steel costs and alterations in supply and demand dynamics, as well as higher labor costs, resulted in construction prices for a new 30,000 barrel tank barge increasing compared to prices in 2017 when there was an industry-wide over-capacity of inland tank barges in the market.</w:t>
      </w:r>
    </w:p>
    <w:p>
      <w:pPr>
        <w:spacing w:after="0" w:line="16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KMT could be adversely impacted by the failure of the Company’s shipyard vendors to deliver new vessels according to contractually agreed delivery schedules and terms. </w:t>
      </w:r>
      <w:r>
        <w:rPr>
          <w:rFonts w:ascii="Times New Roman" w:cs="Times New Roman" w:eastAsia="Times New Roman" w:hAnsi="Times New Roman"/>
          <w:sz w:val="18"/>
          <w:szCs w:val="18"/>
          <w:color w:val="auto"/>
        </w:rPr>
        <w:t>The Company contracts with shipyards to build new vessels and currently has vessels under construction. Construction projects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 The Company did not experience significant shipyard delays associated with the COVID-19 pandemic, including at its subsidiary, San Jac. The Company expects that its shipyard vendors, including San Jac, should be able to similarly manage their operations if an event of a similar impact were to occur in the future, but there is no guarantee that the vendors would be able to do so.</w:t>
      </w:r>
    </w:p>
    <w:p>
      <w:pPr>
        <w:spacing w:after="0" w:line="1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KMT. </w:t>
      </w:r>
      <w:r>
        <w:rPr>
          <w:rFonts w:ascii="Times New Roman" w:cs="Times New Roman" w:eastAsia="Times New Roman" w:hAnsi="Times New Roman"/>
          <w:sz w:val="18"/>
          <w:szCs w:val="18"/>
          <w:color w:val="auto"/>
        </w:rPr>
        <w:t>The inland and coastal tank barge industry remains very fragmented and competitive.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 In addition, the Company’s failure to adhere to its safety, reliability and performance standards may impact its ability to retain current customers or attract new customers.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Segment Risk Factors</w:t>
      </w:r>
    </w:p>
    <w:p>
      <w:pPr>
        <w:spacing w:after="0" w:line="20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KDS could be adversely impacted by future legislation, executive or other governmental orders, or additional regulation of oil and gas extraction, including hydraulic fracturing practices. </w:t>
      </w:r>
      <w:r>
        <w:rPr>
          <w:rFonts w:ascii="Times New Roman" w:cs="Times New Roman" w:eastAsia="Times New Roman" w:hAnsi="Times New Roman"/>
          <w:sz w:val="18"/>
          <w:szCs w:val="18"/>
          <w:color w:val="auto"/>
        </w:rPr>
        <w:t>The Company, through its United and S&amp;S subsidiaries, is a distributor and service provider of engine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related products for the oil and gas services, power generation and transportation industries, and a manufacturer of oilfield service equipment, including pressure pumping units. Various legislative and regulatory initiatives have been proposed that, if passed, could limit or discourage future production of oil and gas. Further, legislation may be enacted by Congress that would authorize the EPA to impose additional regulations on hydraulic fracturing. In addition, a number of states have adopted or are evaluating the adoption of legislation or regulations governing hydraulic fracturing or byproducts of the fracturing process. Related actions may also be taken via executive order. Federal or state legislation, executive or governmental orders,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KDS.</w:t>
      </w:r>
    </w:p>
    <w:p>
      <w:pPr>
        <w:spacing w:after="0" w:line="14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Prevailing natural gas and crude oil prices, as well as the volatility of their prices, could have an adverse effect on KDS business. </w:t>
      </w:r>
      <w:r>
        <w:rPr>
          <w:rFonts w:ascii="Times New Roman" w:cs="Times New Roman" w:eastAsia="Times New Roman" w:hAnsi="Times New Roman"/>
          <w:sz w:val="18"/>
          <w:szCs w:val="18"/>
          <w:color w:val="auto"/>
        </w:rPr>
        <w:t>Lower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generally result in a decrease in the number of oil and gas wells being drilled. Oilfield service companies reduce their capital spending, resulting in decreased demand for new parts and equipment, including pressure pumping units, provided by KDS. This may also lead to order cancellations from customers or customers requesting to delay delivery of new equipment. The Company also services offshore supply vessels and offshore drillings rigs operating in the Gulf of America, as well as internationally. Low energy prices may negatively impact the number of wells drilled in the Gulf of America and international waters. Prolonged downturns in oil and gas prices may cause substantial declines in oilfield service and exploration expenditures and could adversely impact oil and gas manufacturing, remanufacturing, parts and distribution business. In addition, energy price volatility may also result in difficulties in the Company’s ability to address variations in production on a timely basis and, therefore, could result in an adverse impact on KDS.</w:t>
      </w:r>
    </w:p>
    <w:p>
      <w:pPr>
        <w:spacing w:after="0" w:line="14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competition in KDS. </w:t>
      </w:r>
      <w:r>
        <w:rPr>
          <w:rFonts w:ascii="Times New Roman" w:cs="Times New Roman" w:eastAsia="Times New Roman" w:hAnsi="Times New Roman"/>
          <w:sz w:val="18"/>
          <w:szCs w:val="18"/>
          <w:color w:val="auto"/>
        </w:rPr>
        <w:t>The distribution and services industry is very competitive. The segment’s oil and gas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Further, the oil and gas industry is characterized by rapid and significant technological advancements and introductions of new products using new technologies. As competitors and others use or develop new technologies, the Company may lose market share or be placed at a competitive disadvantage. The Company may face competitive pressure to implement or acquire certain new technologies at a substantial cost. Additionally, the Company may be unable to implement new technologies on a timely basis or at an acceptable cost.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Loss of a distributorship or other significant business relationship or disruptions of supply could adversely affect KDS. </w:t>
      </w:r>
      <w:r>
        <w:rPr>
          <w:rFonts w:ascii="Times New Roman" w:cs="Times New Roman" w:eastAsia="Times New Roman" w:hAnsi="Times New Roman"/>
          <w:sz w:val="18"/>
          <w:szCs w:val="18"/>
          <w:color w:val="auto"/>
        </w:rPr>
        <w:t>KDS has had a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EMD, the largest manufacturer of medium-speed diesel engines, since the 1960s. The Company, through Kirby Engine Systems, serves as an EMD distributor for select markets and locations for both service and parts. With the acquisition of S&amp;S in September 2017, the Company added additional EMD distributorship rights in key states, primarily through the Central and South areas of the United States. With the S&amp;S acquisition, the Company became the United States distributor for EMD marine and power generation applications. Sales and service of EMD products account for approximately 4% of the Company’s revenues for 2024. Although the Company considers its relationship with EMD to be strong, the loss of the EMD distributorship and service rights, or a disruption of the supply of EMD parts, could have a negative impact on the Company’s ability to service its customers. In 2020, with the acquisition of Convoy Servicing Company and Agility Fleet Services, LLC, the Company expanded its dealership network of Thermo King refrigeration systems for trucks, railroad cars, and other land transportation markets in Texas and Colorado. In 2024, sales and service of Thermo King products comprised approximately 4% of the Company’s revenues.</w:t>
      </w:r>
    </w:p>
    <w:p>
      <w:pPr>
        <w:spacing w:after="0" w:line="14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distributors for parts, service and warranty on Daimler truck engines and related equipment in multiple states. Sales and service of MTU, Allison, and Daimler products accounted for approximately 10% of the Company’s revenues during 2024. Although the Company considers its relationships with MTU, Allison, and Daimler to be strong, the loss of MTU, Allison, or Daimler distributorships and service rights, or a disruption of the supply of MTU or Allison parts, could have a negative impact on the Company’s ability to service its customers.</w:t>
      </w:r>
    </w:p>
    <w:p>
      <w:pPr>
        <w:spacing w:after="0" w:line="14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its relationships with MTU, Allison, and Daimler, the Company also has relationships with many other distributors and parts suppliers and the loss of a distributorship and service rights, or a disruption of the supply of parts from any of these other distributors or part suppliers could also have a negative impact on the Company’s ability to service its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Risk Factors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adverse weather conditions in KMT and KDS. </w:t>
      </w:r>
      <w:r>
        <w:rPr>
          <w:rFonts w:ascii="Times New Roman" w:cs="Times New Roman" w:eastAsia="Times New Roman" w:hAnsi="Times New Roman"/>
          <w:sz w:val="18"/>
          <w:szCs w:val="18"/>
          <w:color w:val="auto"/>
        </w:rPr>
        <w:t>KMT is subject to weather condition volatility. Physical impacts of climate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could have a material adverse effect on the Company's costs and operations. There has been public discussion that climate change may be associated with rising sea levels as well as extreme weather conditions such as more intense hurricanes, thunderstorms, tornadoes, drought, and snow or ice storms. Extreme weather conditions may increase the Company’s costs or cause damage to its facilities, and any damage resulting from extreme weather may not be fully insured. Many of the Company’s facilities are located near coastal areas or waterways where rising sea levels or flooding could disrupt the Company’s operations or adversely impact its facilities.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 weather conditions can cause a delay, diversion or postponement of shipments of products and are totally beyond the control of the Company. Tropical storms and hurricanes may also impact the Company’s customers resulting in reduced demand for the Company’s services. In addition, adverse water and weather conditions can negatively affect a towing vessel’s performance, tow size, loading drafts, fleet efficiency, limit navigation periods and dictate horsepower requirements. KDS is also subject to tropical storms and hurricanes impacting its coastal locations and those of its customers as well as tornados impacting its Oklahoma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facilities. The risk of flooding as a result of hurricanes and tropical storms as well as other weather events may impede travel via roadways, suspend service work, and impact deliveries and the Company’s ability to fulfill orders or provide services in KDS.</w:t>
      </w:r>
    </w:p>
    <w:p>
      <w:pPr>
        <w:spacing w:after="0" w:line="13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The Company may be unable to make attractive acquisitions or successfully integrate acquired businesses, and any inability to do so may adversely affect the Company’s business and hinder its ability to grow</w:t>
      </w:r>
      <w:r>
        <w:rPr>
          <w:rFonts w:ascii="Times New Roman" w:cs="Times New Roman" w:eastAsia="Times New Roman" w:hAnsi="Times New Roman"/>
          <w:sz w:val="18"/>
          <w:szCs w:val="18"/>
          <w:color w:val="auto"/>
        </w:rPr>
        <w:t>. The Company has made asset and business acquisitions in the past and may continue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synergies, to successfully integrate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15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The Company’s failure to comply with the FCPA, or similar local applicable anti-bribery laws, could have a negative impact on its ongoing operations</w:t>
      </w:r>
      <w:r>
        <w:rPr>
          <w:rFonts w:ascii="Times New Roman" w:cs="Times New Roman" w:eastAsia="Times New Roman" w:hAnsi="Times New Roman"/>
          <w:sz w:val="18"/>
          <w:szCs w:val="18"/>
          <w:color w:val="auto"/>
        </w:rPr>
        <w:t>. The Company’s operations outside the United States require the Company to comply with both United States and international regulations.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in addition to any similar applicable local anti-bribery laws, the Company's operations in countries outside the United States are subject to the FCPA, which prohibits United States companies or their employees and third party representatives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third party representatives with respect to the FCPA. However, the Company’s policies, procedures and programs may not always protect it from reckless or criminal acts committed by its employees or third party representatives, and severe criminal or civil sanctions could be the result of violations of the FCPA or any other applicable anti-bribery law in countries where the Company does business. The Company is also subject to the risks that its employees, joint venture partners, and third party representatives outside of the United States may fail to comply with other applicable laws.</w:t>
      </w:r>
    </w:p>
    <w:p>
      <w:pPr>
        <w:spacing w:after="0" w:line="1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is subject to risks associated with possible climate change legislation, regulation and international accords. </w:t>
      </w:r>
      <w:r>
        <w:rPr>
          <w:rFonts w:ascii="Times New Roman" w:cs="Times New Roman" w:eastAsia="Times New Roman" w:hAnsi="Times New Roman"/>
          <w:sz w:val="18"/>
          <w:szCs w:val="18"/>
          <w:color w:val="auto"/>
        </w:rPr>
        <w:t>Greenhouse gas emissions,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carbon emissions or energy use, have increasingly become the subject of a large amount of international, national, regional, state and local attention. International agreements and national, regional, and state legislation and regulatory measures that aim to directly or indirectly limit or reduce greenhouse gas emissions are in various stages of implementation.</w:t>
      </w:r>
    </w:p>
    <w:p>
      <w:pPr>
        <w:spacing w:after="0" w:line="15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United States Congress has considered, but has not passed, various bills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14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current global trends incorporating carbon neutral policies and reduction in greenhouse gas emissions are driving decarbonization initiatives across all industries to mitigate the impact on climate change and may result in a decline in global and U.S. hydrocarbon usage. Such a decline in hydrocarbon usage (for example, as a result of an increase in electric vehicles) could result in a reduction in demand for (a) the Company’s services in KMT to the extent there is reduced demand for crude oil and other feedstocks used and the products produced by the Company’s major refining customers and (b) for the Company’s products and services in KDS to the extent there is reduced demand in the exploration and production of hydrocarbons by the Company’s oil and gas customers.</w:t>
      </w:r>
    </w:p>
    <w:p>
      <w:pPr>
        <w:spacing w:after="0" w:line="14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of a large customer could adversely affect the Company. </w:t>
      </w:r>
      <w:r>
        <w:rPr>
          <w:rFonts w:ascii="Times New Roman" w:cs="Times New Roman" w:eastAsia="Times New Roman" w:hAnsi="Times New Roman"/>
          <w:sz w:val="18"/>
          <w:szCs w:val="18"/>
          <w:color w:val="auto"/>
        </w:rPr>
        <w:t>Five KMT customers accounted for approximately 18% of the Company’s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16% of 2023 revenue, and 17% of 2022 revenue. The Company has contracts with these customers expiring in 2025 through 2031. Three KDS customers accounted for approximately 10% of the Company’s 2024 revenue, 12% of 2023 revenue,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and 9% of 2022 revenue. Although the Company considers its relationships with these companies to be strong, the loss of any of these customers, or their inability to meet financial obligations, could have an adverse effect on the Company.</w:t>
      </w:r>
    </w:p>
    <w:p>
      <w:pPr>
        <w:spacing w:after="0" w:line="13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Company relies on critical operating assets including information systems for the operation of its businesses, and the failure of such assets or any critical information system, including as a result of natural disasters, terrorist acts, a cybersecurity attack, or other extraordinary events, may adversely impact its businesses. </w:t>
      </w:r>
      <w:r>
        <w:rPr>
          <w:rFonts w:ascii="Times New Roman" w:cs="Times New Roman" w:eastAsia="Times New Roman" w:hAnsi="Times New Roman"/>
          <w:sz w:val="18"/>
          <w:szCs w:val="18"/>
          <w:color w:val="auto"/>
        </w:rPr>
        <w:t>The Company is dependent on its critical operating assets and technology infrastructure and must maintain and rely upon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systems and security of its assets for the effective and safe operation of its businesses. These assets include vessels, vessel equipment, property and facilities, as well as information systems, such as software applications, hardware equipment, and data networks and telecommunications.</w:t>
      </w:r>
    </w:p>
    <w:p>
      <w:pPr>
        <w:spacing w:after="0" w:line="14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Company’s critical assets and information systems, including the Company’s proprietary vessel management computer system, are subject to damage or interruption from a number of potential sources, including but not limited to, natural disasters, terrorist acts, cybersecurity attacks, software viruses, and power failures. In addition to standard safety operating procedures, the Company has implemented measures such as business continuity plans, hurricane preparedness plans, emergency recovery processes, and security preparedness plans to protect physical assets and to recover from damage to such assets. The Company has also implemented virus protection software, intrusion detection systems and annual attack and penetration audits, and implemented employee training to protect information systems to mitigate these risks. However, the Company cannot guarantee that its critical assets or information systems cannot be damaged or compromised.</w:t>
      </w:r>
    </w:p>
    <w:p>
      <w:pPr>
        <w:spacing w:after="0" w:line="14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Any damage or compromise of its critical assets or data security or its inability to use or access these critical assets and information systems could adversely impact the efficient and safe operation of its businesses, or result in the failure to safely operate its equipment, and maintain the confidentiality of data of its customers or its employees and could subject the Company to increased operating expenses or legal action, which could have an adverse effect on the Company. Although to date the Company is unaware of any material data breach or system disruption, including a cyber-attack, the Company cannot provide any assurances that such events and impacts will not be material in the future. The Company’s efforts to deter, identify, mitigate and/or eliminate future breaches may require significant additional effort and expense and may not be successful. For more information regarding the mitigation of cybersecurity risk, see Item 1C-Cybersecurity.</w:t>
      </w:r>
    </w:p>
    <w:p>
      <w:pPr>
        <w:spacing w:after="0" w:line="16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Limitations on the Company’s ability to obtain, maintain, protect, or enforce its proprietary information and any successful intellectual property challenges or infringement proceedings, including its trade secrets could affect the Company's competitive position. </w:t>
      </w:r>
      <w:r>
        <w:rPr>
          <w:rFonts w:ascii="Times New Roman" w:cs="Times New Roman" w:eastAsia="Times New Roman" w:hAnsi="Times New Roman"/>
          <w:sz w:val="18"/>
          <w:szCs w:val="18"/>
          <w:color w:val="auto"/>
        </w:rPr>
        <w:t>The Company’s businesses rely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intellectual property rights for its product and services. The Company’s intellectual property could be adversely affected by successful intellectual property challenges or infringement proceedings against it which could materially and adversely affect its competitive position. The Company may also be adversely affected when its intellectual property rights are unenforceable, such as where patent claims allowed are not sufficient to protect its technology or its trade secrets are not adequately protected. The Company's failure to protect its proprietary information and any successful challenges to the Company's intellectual property rights could have an adverse effect on the Company.</w:t>
      </w:r>
    </w:p>
    <w:p>
      <w:pPr>
        <w:spacing w:after="0" w:line="14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 deterioration of the Company’s credit profile, disruptions of the credit markets or higher interest rates could restrict its ability to access the debt capital markets or increase the cost of debt. </w:t>
      </w:r>
      <w:r>
        <w:rPr>
          <w:rFonts w:ascii="Times New Roman" w:cs="Times New Roman" w:eastAsia="Times New Roman" w:hAnsi="Times New Roman"/>
          <w:sz w:val="18"/>
          <w:szCs w:val="18"/>
          <w:color w:val="auto"/>
        </w:rPr>
        <w:t>Deterioration in the Company’s credit profile may have an adverse effect on the Company’s ability to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or public debt markets and also may increase its borrowing costs. If the Company’s credit profile deteriorates significantly its access to the debt capital markets or its ability to renew its committed lines of credit may become restricted, its cost of debt may increase, or the Company may not be able to refinance debt at the same levels or on the same terms. Because the Company relies on its ability to draw on its Revolving Credit Facility to support its operations as needed, any volatility in the credit and financial markets that prevents the Company from accessing funds on acceptable terms could have an adverse effect on the Company’s financial condition and cash flows. Additionally, the pricing grids on Company’s Revolving Credit Facility and Term Loan contain a ratings grid that includes a possible increase in borrowing rates if the Company’s rating declines. Furthermore, the Company incurs interest under its Revolving Credit Facility based on floating rates. Floating rate debt creates higher debt service requirements if market interest rates increase, which would adversely affect the Company’s cash flow and results of operations.</w:t>
      </w:r>
    </w:p>
    <w:p>
      <w:pPr>
        <w:spacing w:after="0" w:line="145"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Corporate responsibility, specifically related to ESG matters, may impose additional costs and expose the Company to new risks. </w:t>
      </w:r>
      <w:r>
        <w:rPr>
          <w:rFonts w:ascii="Times New Roman" w:cs="Times New Roman" w:eastAsia="Times New Roman" w:hAnsi="Times New Roman"/>
          <w:sz w:val="18"/>
          <w:szCs w:val="18"/>
          <w:color w:val="auto"/>
        </w:rPr>
        <w:t>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focus from regulators, certain investors, and other stakeholders concerning environmental, social, and governance (“ESG”) matters, both in the United States and internationally. The Company communicates certain ESG-related initiatives, goals, and/or aspirations regarding environmental matters, diversity, responsible sourcing and social investments, and other matters in its annual Sustainability Report, on its website, in its filings with the SEC, and elsewhere. These initiatives, goals, or aspirations reflect the Company’s current plans and are not guarantees that the Company will be able to achieve them. The standards for tracking and reporting on ESG matters are relatively new, have not been harmonized and continue to evolve. Further, the statutory and regulatory requirements continue to evolve as well. In 2023, the State of California enacted climate related legislation and the SEC was expected to issue its own climate disclosure rules in 2024, both of which will or could impose additional reporting requirements on the Company resulting in additional compliance cost and expense. The Company’s selection of disclosure frameworks that seek to align with various reporting standards may change from time to time and may result in a lack of comparative data from period to period. The ESG-related initiatives,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goals and/or aspirations could be difficult to achieve and costly to implement, and the Company may be unable to economically develop or deploy technologies to achieve its goals or aspirations, if at all. In addition, the Company could be criticized for the timing, scope or nature of these initiatives, goals, or aspirations, or for any revisions to them. As mandatory and voluntary disclosures about ESG matters increase, the Company could be penalized or criticized for the accuracy, adequacy, or completeness of such disclosures. The Company’s actual or perceived failure to report accurately or achieve its ESG-related initiatives, goals, or aspirations could result in government enforcement action, negatively impact its reputation, result in ESG-focused investors not purchasing and holding Company stock, or otherwise materially harm the Company’s business.</w:t>
      </w:r>
    </w:p>
    <w:p>
      <w:pPr>
        <w:spacing w:after="0" w:line="15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Increased prices and inflation could negatively impact the Company’s margin performance and financial results. </w:t>
      </w:r>
      <w:r>
        <w:rPr>
          <w:rFonts w:ascii="Times New Roman" w:cs="Times New Roman" w:eastAsia="Times New Roman" w:hAnsi="Times New Roman"/>
          <w:sz w:val="18"/>
          <w:szCs w:val="18"/>
          <w:color w:val="auto"/>
        </w:rPr>
        <w:t>Increased inflation, including 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items, such as raw materials, fuel, parts and components, freight, packaging, supplies, labor and energy increases the Company’s costs to provide services and manufacture and distribute the Company’s products. The Company does not currently use financial derivatives to hedge against volatility in commodity prices. The Company uses market prices for materials, fuel, parts and components. The Company may be unable to pass these rising costs on to its customers. To mitigate this exposure, the Company attempts to include cost escalation clauses in its longer-term marine transportation contracts whereby certain costs, including fuel, can largely be passed through to its customers. In KDS, the cost of major components for large manufacturing orders is secured with suppliers at the time a customer order is finalized, which limits exposure to cost escalations. Results of operations and margin performance can be negatively affected if the Company is unable to mitigate the impact of these cost increases through contractual means and is unable to increase prices to sufficiently offset the effect of these cost increases.</w:t>
      </w:r>
    </w:p>
    <w:p>
      <w:pPr>
        <w:spacing w:after="0" w:line="18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Company could be adversely impacted by materials shortages, delays, and disruptions in supply chain. </w:t>
      </w:r>
      <w:r>
        <w:rPr>
          <w:rFonts w:ascii="Times New Roman" w:cs="Times New Roman" w:eastAsia="Times New Roman" w:hAnsi="Times New Roman"/>
          <w:sz w:val="18"/>
          <w:szCs w:val="18"/>
          <w:color w:val="auto"/>
        </w:rPr>
        <w:t>Materials, components,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essential to the Company’s operations, such as original equipment manufacturer engines, transmissions, generators, electrical components and steel, are normally readily available, but shortages as a result of supply chain disruptions can adversely impact the Company’s operations, particularly where the Company has a relationship with a single supplier for a particular resource. Many of the items essential to the Company’s business require the use of shipping services to transport them to the Company’s facilities. Shipping delays or disruptions may result in operational slowdowns, especially where materials, components, or equipment are necessary to complete a project or order for the Company’s customers, particularly in the manufacturing business of KDS. These constraints could have a material adverse effect on the Company and contribute to increased buildup of inventories. In addition, price increases imposed by the Company’s vendors for materials and shipping services used in its business, and the inability to pass these increases through to its customers, could have a material adverse effect on the Company.</w:t>
      </w:r>
    </w:p>
    <w:p>
      <w:pPr>
        <w:spacing w:after="0" w:line="14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Tariffs and other trade measures could adversely affect the Company’s business, financial condition and results of operations. </w:t>
      </w:r>
      <w:r>
        <w:rPr>
          <w:rFonts w:ascii="Times New Roman" w:cs="Times New Roman" w:eastAsia="Times New Roman" w:hAnsi="Times New Roman"/>
          <w:sz w:val="18"/>
          <w:szCs w:val="18"/>
          <w:color w:val="auto"/>
        </w:rPr>
        <w:t>Additional 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or other trade measures could adversely impact the Company’s input costs and supply chain, which could reduce availability or increase the cost of goods sold to its customers, especially in KDS. Supply chain disruptions can adversely impact the Company’s operations, particularly where supply chain delays adversely impact availability of materials, components, and equipment for construction, maintenance or repair, including with regard to KMT vessels or in KDS manufacturing. In KMT, Company also transports customer cargoes that are imported into the U.S. or which are destined for export from the U.S. Trade discussions and arrangements between the U.S. and various of its trading partners are fluid, and existing and future trade agreements are, and are expected to continue to be, subject to a number of uncertainties, including the imposition of new tariffs or adjustments and changes to the products or materials covered by existing tariffs. Any decision by the U.S. government to adopt actions such as an increase in customs duties or tariffs, or the renegotiation of U.S. trade agreements, or any other action that could have a negative impact on international trade, including corresponding actions taken by other countries in response to U.S. governmental actions, could cause an increase to the cost of goods sold to KDS customers, adversely impact operations in KMT through interruptions in customer trade patterns or volumes, and adversely impact input costs and supply chain in both segments. To the extent possible, the Company seeks to include contractual language to address recovery of increased costs related to tariffs in the KDS segment. Any changes in trade policies in the U.S. and corresponding actions by other countries could adversely impact Company’s financial performance.</w:t>
      </w:r>
    </w:p>
    <w:p>
      <w:pPr>
        <w:spacing w:after="0" w:line="18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Continuing impacts resulting from actual or threatened health epidemics, and pandemics or other major health crises could materially and adversely affect the Company’s business, financial condition and results of operations. </w:t>
      </w:r>
      <w:r>
        <w:rPr>
          <w:rFonts w:ascii="Times New Roman" w:cs="Times New Roman" w:eastAsia="Times New Roman" w:hAnsi="Times New Roman"/>
          <w:sz w:val="18"/>
          <w:szCs w:val="18"/>
          <w:color w:val="auto"/>
        </w:rPr>
        <w:t>The Company’s business could be impacted adversely by the effects of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epidemics, pandemics or other major heath crises (which are referred to collectively as public health crises). Actual or threatened public health crises may have a number of adverse impacts, including volatility in the global economy, impacts to the Company’s customers’ business operations, or significant disruptions in waterborne transportation of cargoes, and supply chain activity, caused by a variety of factors such as quarantines, supplier factory and office closures, or other government-imposed restrictions, any of which could adversely impact the Company’s business, financial condition, and results of operations.</w:t>
      </w:r>
    </w:p>
    <w:p>
      <w:pPr>
        <w:spacing w:after="0" w:line="18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is unable to predict the extent to which major health crisis or other public health threats that may arise in the future may affect the global and United States economies and supply chain, which could have a material impact on its business. The degree to which any future disease outbreaks or public health threats may impact the Company’s revenues, results of operations and financial condition is uncertain and will depend on future developments. The impact of epidemics, pandemics or other major health crises may also exacerbate other risks discussed above, any of which could have a material effect on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8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Company is committed to maintaining robust governance and oversight of cybersecurity risks and to implementing processes, controls and technologies designed to help assess, identify, and manage material risks from cybersecurity threats. The Company’s Board of Directors has ultimate oversight of cybersecurity risks, which it manages as part of the Company’s enterprise risk management program. The Audit Committee assists the Board in reviewing the Company’s information security programs, including review of cybersecurity processes, procedures and safeguards. To more effectively prevent, detect and respond to information security threats, the Company maintains a cyber risk management program, which is aligned with the National Institute of Standards and Technology (“NIST”) Cybersecurity Framework. The Cyber Risk Management program is supervised by the Company’s executive officer, the Vice President and Chief Information Officer, who is responsible for leading company-wide cybersecurity strategy, policy, standards, architecture and processes. The Vice President and Chief Information Officer has extensive experience assessing and managing cybersecurity programs and risks and has served in this position since 2019. The team includes the Senior Director of IT Operations &amp; Security, who is a Certified Information Security Manager reporting directly to the Vice President and Chief Information Officer. The Audit Committee receives regular reports from the Vice President and Chief Information Officer on, among other things, the Company’s cyber risks and threats, the status of projects to strengthen the Company’s information security systems, assessments of the Company’s security program and the emerging threat landscape. Additionally, the Vice President and Chief Information Officer chairs the Company’s Cybersecurity Risk Oversight working group, which drives awareness, ownership and alignment across broad governance and risk stakeholder groups for effective cybersecurity risk management and reporting. Upon the occurrence of a cybersecurity incident, a documented process is followed to escalate notifications to the Company’s CEO and Board, as appropriate.</w:t>
      </w:r>
    </w:p>
    <w:p>
      <w:pPr>
        <w:spacing w:after="0" w:line="16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annually engages third parties such as assessors, consultants and auditors (as well as its internal audit department) to audit the Company’s information security programs, whose findings are reported to the Audit Committee. The Company also actively engage with key vendors, industry participants, and the U.S. Coast Guard as part of its efforts, which are reported to the Audit Committee.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approach to cybersecurity risk management includes the following key elements:</w:t>
      </w:r>
    </w:p>
    <w:p>
      <w:pPr>
        <w:spacing w:after="0" w:line="27" w:lineRule="exact"/>
        <w:rPr>
          <w:sz w:val="20"/>
          <w:szCs w:val="20"/>
          <w:color w:val="auto"/>
        </w:rPr>
      </w:pPr>
    </w:p>
    <w:p>
      <w:pPr>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monitoring – The Company actively searches for cybersecurity threats, including those associated with its use of third-party vendors, through the use of data analytics and network vulnerability monitoring systems and threat intelligence.</w:t>
      </w: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risk assessments – From time to time, the Company engages third party consultants or other advisors to assist in assessing points of vulnerability in its information security systems.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threats – The Company maintains a program designed to monitor and address risk from within the Company.</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engagement – The Company assesses the risk of vendors who are critical digital partners in order to support the resiliency of the supply chain and seeks to include risk appropriate terms and conditions in its vendor contracts.</w:t>
      </w:r>
    </w:p>
    <w:p>
      <w:pPr>
        <w:jc w:val="both"/>
        <w:ind w:left="1020" w:hanging="503"/>
        <w:spacing w:after="0" w:line="25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Awareness – The Company has various information technology policies, including an Information Security Awareness Training Policy, that relate to cybersecurity. The Company provides employee education and training that reinforces its information technology policies, standards and practices, as well as the expectation that employees comply with these policies. This training empowers employees to identify and report potential cybersecurity risks and protect the Company’s resources and information. This training is mandatory for all employees globally and is administered on an annual basis, and it is supplemented by Company-wide testing initiatives, including periodic phishing tests. Further education is provided at operations meetings to raise awareness and educate on current topics. The Company provides specialized security training for certain employee roles. The Company also requires employees to sign confidentiality agreements, where appropriate to their role. The Company has also recently adopted an Artificial Intelligence Use Policy to mitigate cybersecurity and other risks associated with use of artificial intelligence technology.</w:t>
      </w:r>
    </w:p>
    <w:p>
      <w:pPr>
        <w:spacing w:after="0" w:line="15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continues to invest in its cybersecurity systems and to enhance its internal controls and processes. While the Company has not, as of the date of this Form 10-K, identified a cybersecurity threat or incident that resulted in a material adverse impact to its business, results of operations or financial condition, there can be no guarantee that the Company will not experience such an incident in the future. For more information regarding the risks the Company faces from cybersecurity threats, please see Item 1A-Risk Factors.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0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principal offices of the Company are located in Houston, Texas. The Company believes that its facilities are adequate for its needs and additional facilities would be available if required. The Company’s significant operating shoreside facilities include the following locations: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Building(s) Size</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15"/>
        </w:trPr>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40" w:type="dxa"/>
            <w:vAlign w:val="bottom"/>
          </w:tcPr>
          <w:p>
            <w:pPr>
              <w:spacing w:after="0"/>
              <w:rPr>
                <w:sz w:val="18"/>
                <w:szCs w:val="18"/>
                <w:color w:val="auto"/>
              </w:rPr>
            </w:pPr>
          </w:p>
        </w:tc>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(Approximate Square Feet)</w:t>
            </w:r>
          </w:p>
        </w:tc>
        <w:tc>
          <w:tcPr>
            <w:tcW w:w="2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 or Leased</w:t>
            </w:r>
          </w:p>
        </w:tc>
        <w:tc>
          <w:tcPr>
            <w:tcW w:w="34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Activity</w:t>
            </w:r>
          </w:p>
        </w:tc>
      </w:tr>
      <w:tr>
        <w:trPr>
          <w:trHeight w:val="132"/>
        </w:trPr>
        <w:tc>
          <w:tcPr>
            <w:tcW w:w="1500" w:type="dxa"/>
            <w:vAlign w:val="bottom"/>
          </w:tcPr>
          <w:p>
            <w:pPr>
              <w:spacing w:after="0"/>
              <w:rPr>
                <w:sz w:val="11"/>
                <w:szCs w:val="11"/>
                <w:color w:val="auto"/>
              </w:rPr>
            </w:pPr>
          </w:p>
        </w:tc>
        <w:tc>
          <w:tcPr>
            <w:tcW w:w="1800" w:type="dxa"/>
            <w:vAlign w:val="bottom"/>
            <w:gridSpan w:val="2"/>
          </w:tcPr>
          <w:p>
            <w:pPr>
              <w:jc w:val="center"/>
              <w:ind w:right="1480"/>
              <w:spacing w:after="0" w:line="132" w:lineRule="exact"/>
              <w:rPr>
                <w:sz w:val="20"/>
                <w:szCs w:val="20"/>
                <w:color w:val="auto"/>
              </w:rPr>
            </w:pPr>
            <w:r>
              <w:rPr>
                <w:rFonts w:ascii="Times New Roman" w:cs="Times New Roman" w:eastAsia="Times New Roman" w:hAnsi="Times New Roman"/>
                <w:sz w:val="14"/>
                <w:szCs w:val="14"/>
                <w:b w:val="1"/>
                <w:bCs w:val="1"/>
                <w:color w:val="auto"/>
                <w:w w:val="95"/>
              </w:rPr>
              <w:t>KMT</w:t>
            </w: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60" w:type="dxa"/>
            <w:vAlign w:val="bottom"/>
          </w:tcPr>
          <w:p>
            <w:pPr>
              <w:spacing w:after="0"/>
              <w:rPr>
                <w:sz w:val="11"/>
                <w:szCs w:val="11"/>
                <w:color w:val="auto"/>
              </w:rPr>
            </w:pPr>
          </w:p>
        </w:tc>
      </w:tr>
      <w:tr>
        <w:trPr>
          <w:trHeight w:val="20"/>
        </w:trPr>
        <w:tc>
          <w:tcPr>
            <w:tcW w:w="150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42"/>
        </w:trPr>
        <w:tc>
          <w:tcPr>
            <w:tcW w:w="3300" w:type="dxa"/>
            <w:vAlign w:val="bottom"/>
            <w:gridSpan w:val="3"/>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Baton Rouge, Louisiana</w:t>
            </w:r>
          </w:p>
        </w:tc>
        <w:tc>
          <w:tcPr>
            <w:tcW w:w="2200" w:type="dxa"/>
            <w:vAlign w:val="bottom"/>
            <w:gridSpan w:val="2"/>
            <w:shd w:val="clear" w:color="auto" w:fill="CFF0FC"/>
          </w:tcPr>
          <w:p>
            <w:pPr>
              <w:jc w:val="center"/>
              <w:ind w:left="168"/>
              <w:spacing w:after="0" w:line="142" w:lineRule="exact"/>
              <w:rPr>
                <w:sz w:val="20"/>
                <w:szCs w:val="20"/>
                <w:color w:val="auto"/>
              </w:rPr>
            </w:pPr>
            <w:r>
              <w:rPr>
                <w:rFonts w:ascii="Times New Roman" w:cs="Times New Roman" w:eastAsia="Times New Roman" w:hAnsi="Times New Roman"/>
                <w:sz w:val="14"/>
                <w:szCs w:val="14"/>
                <w:color w:val="auto"/>
              </w:rPr>
              <w:t>20,300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Operations and fleeting</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Channelview,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108,300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Operations, fleeting, shipyard, training and cleaning</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Corpus Christi, Texas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3,600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Operations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Freeport,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Fueling and fleeting</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Houston, Texas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73,000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KMT, KDS and Corporate Headquarters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Lake Charles, Louisiana</w:t>
            </w:r>
          </w:p>
        </w:tc>
        <w:tc>
          <w:tcPr>
            <w:tcW w:w="22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Fleeting</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Miami,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8,500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Operations and dockage</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Port Arthur,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Fleeting</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Seattle, Washington</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10,200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Operations and inventory</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Staten Island, New York</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7,800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Operations, inventory and dockage</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Westwego, Louisiana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15,300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Operations</w:t>
            </w:r>
          </w:p>
        </w:tc>
      </w:tr>
      <w:tr>
        <w:trPr>
          <w:trHeight w:val="148"/>
        </w:trPr>
        <w:tc>
          <w:tcPr>
            <w:tcW w:w="1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135"/>
        </w:trPr>
        <w:tc>
          <w:tcPr>
            <w:tcW w:w="1500" w:type="dxa"/>
            <w:vAlign w:val="bottom"/>
            <w:tcBorders>
              <w:right w:val="single" w:sz="8" w:color="CFF0FC"/>
            </w:tcBorders>
            <w:shd w:val="clear" w:color="auto" w:fill="CFF0FC"/>
          </w:tcPr>
          <w:p>
            <w:pPr>
              <w:spacing w:after="0"/>
              <w:rPr>
                <w:sz w:val="11"/>
                <w:szCs w:val="11"/>
                <w:color w:val="auto"/>
              </w:rPr>
            </w:pPr>
          </w:p>
        </w:tc>
        <w:tc>
          <w:tcPr>
            <w:tcW w:w="1800" w:type="dxa"/>
            <w:vAlign w:val="bottom"/>
            <w:gridSpan w:val="2"/>
            <w:shd w:val="clear" w:color="auto" w:fill="CFF0FC"/>
          </w:tcPr>
          <w:p>
            <w:pPr>
              <w:jc w:val="center"/>
              <w:ind w:right="1500"/>
              <w:spacing w:after="0" w:line="135"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shd w:val="clear" w:color="auto" w:fill="CFF0FC"/>
          </w:tcPr>
          <w:p>
            <w:pPr>
              <w:spacing w:after="0"/>
              <w:rPr>
                <w:sz w:val="11"/>
                <w:szCs w:val="11"/>
                <w:color w:val="auto"/>
              </w:rPr>
            </w:pPr>
          </w:p>
        </w:tc>
        <w:tc>
          <w:tcPr>
            <w:tcW w:w="19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3560" w:type="dxa"/>
            <w:vAlign w:val="bottom"/>
            <w:shd w:val="clear" w:color="auto" w:fill="CFF0FC"/>
          </w:tcPr>
          <w:p>
            <w:pPr>
              <w:spacing w:after="0"/>
              <w:rPr>
                <w:sz w:val="11"/>
                <w:szCs w:val="11"/>
                <w:color w:val="auto"/>
              </w:rPr>
            </w:pPr>
          </w:p>
        </w:tc>
      </w:tr>
      <w:tr>
        <w:trPr>
          <w:trHeight w:val="20"/>
        </w:trPr>
        <w:tc>
          <w:tcPr>
            <w:tcW w:w="15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000000"/>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r>
      <w:tr>
        <w:trPr>
          <w:trHeight w:val="142"/>
        </w:trPr>
        <w:tc>
          <w:tcPr>
            <w:tcW w:w="33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Albany, New York</w:t>
            </w:r>
          </w:p>
        </w:tc>
        <w:tc>
          <w:tcPr>
            <w:tcW w:w="2200" w:type="dxa"/>
            <w:vAlign w:val="bottom"/>
            <w:gridSpan w:val="2"/>
          </w:tcPr>
          <w:p>
            <w:pPr>
              <w:jc w:val="center"/>
              <w:ind w:left="168"/>
              <w:spacing w:after="0" w:line="142" w:lineRule="exact"/>
              <w:rPr>
                <w:sz w:val="20"/>
                <w:szCs w:val="20"/>
                <w:color w:val="auto"/>
              </w:rPr>
            </w:pPr>
            <w:r>
              <w:rPr>
                <w:rFonts w:ascii="Times New Roman" w:cs="Times New Roman" w:eastAsia="Times New Roman" w:hAnsi="Times New Roman"/>
                <w:sz w:val="14"/>
                <w:szCs w:val="14"/>
                <w:color w:val="auto"/>
              </w:rPr>
              <w:t>40,000</w:t>
            </w:r>
          </w:p>
        </w:tc>
        <w:tc>
          <w:tcPr>
            <w:tcW w:w="28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Austin, Texas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Baton Rouge, Louisiana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23,500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Belle Chasse, Louisiana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34,700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Chesapeake, Virginia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Commerce City, Colorado</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151,600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Corpus Christi,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11,200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Dallas, Texas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211,100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El Paso,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Fort Lauderdale,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40,400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Fort Myers, Florida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9,900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Fort Pierce,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10,300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Fort Worth,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22,600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Houma, Louisiana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109,700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Houston,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501,000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Jacksonville,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44,800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Laredo,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Little Rock, Arkansas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21,500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Lodi, New Jersey</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57,300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Lubbock, Texas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Marlborough, Massachusetts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45,700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Miami,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54,400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Middletown, Connecticut</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38,800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Mobile, Alabama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27,000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Mount Pleasant,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3,100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Iberia, Louisiana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33,000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Orleans, Louisiana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29,200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Ocala,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15,200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Odessa,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49,500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Oklahoma City, Oklahoma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446,400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Manufacturing, 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Orlando, Florida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44,600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Paducah, Kentucky</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73,700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Panama City, Florida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29,500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Pharr, Texas</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59,300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Piscataway, New Jersey</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39,900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Rocky Mount, North Carolina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San Antonio,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42,100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Seattle, Washington</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Shreveport, Louisiana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Tampa,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50,900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Temple, Texas</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18,800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Thorofare, New Jersey</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24,200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8"/>
        </w:trPr>
        <w:tc>
          <w:tcPr>
            <w:tcW w:w="3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Tulsa, Oklahoma</w:t>
            </w:r>
          </w:p>
        </w:tc>
        <w:tc>
          <w:tcPr>
            <w:tcW w:w="2200" w:type="dxa"/>
            <w:vAlign w:val="bottom"/>
            <w:gridSpan w:val="2"/>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37,600</w:t>
            </w:r>
          </w:p>
        </w:tc>
        <w:tc>
          <w:tcPr>
            <w:tcW w:w="2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49"/>
        </w:trPr>
        <w:tc>
          <w:tcPr>
            <w:tcW w:w="3300" w:type="dxa"/>
            <w:vAlign w:val="bottom"/>
            <w:gridSpan w:val="3"/>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West Palm Beach, Florida</w:t>
            </w:r>
          </w:p>
        </w:tc>
        <w:tc>
          <w:tcPr>
            <w:tcW w:w="2200" w:type="dxa"/>
            <w:vAlign w:val="bottom"/>
            <w:gridSpan w:val="2"/>
            <w:shd w:val="clear" w:color="auto" w:fill="CFF0FC"/>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280" w:type="dxa"/>
            <w:vAlign w:val="bottom"/>
            <w:shd w:val="clear" w:color="auto" w:fill="CFF0FC"/>
          </w:tcPr>
          <w:p>
            <w:pPr>
              <w:spacing w:after="0"/>
              <w:rPr>
                <w:sz w:val="12"/>
                <w:szCs w:val="12"/>
                <w:color w:val="auto"/>
              </w:rPr>
            </w:pPr>
          </w:p>
        </w:tc>
        <w:tc>
          <w:tcPr>
            <w:tcW w:w="1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Leased</w:t>
            </w:r>
          </w:p>
        </w:tc>
        <w:tc>
          <w:tcPr>
            <w:tcW w:w="340" w:type="dxa"/>
            <w:vAlign w:val="bottom"/>
            <w:shd w:val="clear" w:color="auto" w:fill="CFF0FC"/>
          </w:tcPr>
          <w:p>
            <w:pPr>
              <w:spacing w:after="0"/>
              <w:rPr>
                <w:sz w:val="12"/>
                <w:szCs w:val="12"/>
                <w:color w:val="auto"/>
              </w:rPr>
            </w:pPr>
          </w:p>
        </w:tc>
        <w:tc>
          <w:tcPr>
            <w:tcW w:w="35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Service and repairs</w:t>
            </w:r>
          </w:p>
        </w:tc>
      </w:tr>
      <w:tr>
        <w:trPr>
          <w:trHeight w:val="188"/>
        </w:trPr>
        <w:tc>
          <w:tcPr>
            <w:tcW w:w="3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Wichita Falls, Texas</w:t>
            </w:r>
          </w:p>
        </w:tc>
        <w:tc>
          <w:tcPr>
            <w:tcW w:w="220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11,500</w:t>
            </w:r>
          </w:p>
        </w:tc>
        <w:tc>
          <w:tcPr>
            <w:tcW w:w="2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Leased</w:t>
            </w:r>
          </w:p>
        </w:tc>
        <w:tc>
          <w:tcPr>
            <w:tcW w:w="34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and repairs</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See Note 14, Contingencies and Commitments to the Company’s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7" w:right="1440" w:bottom="1440" w:gutter="0" w:footer="0" w:header="0"/>
        </w:sectPr>
      </w:pPr>
    </w:p>
    <w:bookmarkStart w:id="31" w:name="page32"/>
    <w:bookmarkEnd w:id="31"/>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New York Stock Exchange under the symbol KEX. Additional market information for this item is incorporated by reference to the annual report to be provided to the Company’s stockholders pursuant to Rule 14a-3(b).</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February 17, 2025, the Company had 57,126,000 outstanding shares held by approximately 320 stockholders of record; however, the Company believes the number of beneficial owners of common stock exceeds this number. Information for this item relating to equity compensation plans is incorporated by reference to the definitive proxy statement to be filed by the Company with the Commission pursuant to Regulation 14A within 120 days of the close of the fiscal year ended December 31, 2024. See also Note 8, Stock Award Plans to the Company’s financial statements for additional information.</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is a summary of purchases of the Company's common stock during the 2024 fourth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3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73"/>
        </w:trPr>
        <w:tc>
          <w:tcPr>
            <w:tcW w:w="39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6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October 31, 2024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20" w:type="dxa"/>
            <w:vAlign w:val="bottom"/>
            <w:shd w:val="clear" w:color="auto" w:fill="CFF0FC"/>
          </w:tcPr>
          <w:p>
            <w:pPr>
              <w:spacing w:after="0"/>
              <w:rPr>
                <w:sz w:val="18"/>
                <w:szCs w:val="18"/>
                <w:color w:val="auto"/>
              </w:rPr>
            </w:pPr>
          </w:p>
        </w:tc>
        <w:tc>
          <w:tcPr>
            <w:tcW w:w="19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2020" w:type="dxa"/>
            <w:vAlign w:val="bottom"/>
            <w:shd w:val="clear" w:color="auto" w:fill="CFF0FC"/>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20" w:type="dxa"/>
            <w:vAlign w:val="bottom"/>
          </w:tcPr>
          <w:p>
            <w:pPr>
              <w:spacing w:after="0"/>
              <w:rPr>
                <w:sz w:val="18"/>
                <w:szCs w:val="18"/>
                <w:color w:val="auto"/>
              </w:rPr>
            </w:pPr>
          </w:p>
        </w:tc>
        <w:tc>
          <w:tcPr>
            <w:tcW w:w="192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1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148,612</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1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286,697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20" w:type="dxa"/>
            <w:vAlign w:val="bottom"/>
          </w:tcPr>
          <w:p>
            <w:pPr>
              <w:spacing w:after="0"/>
              <w:rPr>
                <w:sz w:val="18"/>
                <w:szCs w:val="18"/>
                <w:color w:val="auto"/>
              </w:rPr>
            </w:pPr>
          </w:p>
        </w:tc>
        <w:tc>
          <w:tcPr>
            <w:tcW w:w="19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0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-161925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-161925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-161925</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Purchases of the Company's common stock during the 2024 fourth quarter were made in the open market pursuant to a discretionary authorization by the Board of Directors. For more information about stock purchases in the 2024 fourth quarter and other information responsive to this Item, see “Treasury Stock Purchases” in Financial Condition, Capital Resources and Liquidity included in Part II, Item 7. 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Statements contained in this Form 10-K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1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purposes of Management’s Discussion, all net earnings per share attributable to Kirby common stockholders are “diluted earnings per share.” The weighted average number of common shares outstanding applicable to diluted earnings per share for 2024, 2023, and 2022 were 58,355,000, 59,857,000, and 60,329,000, respectively. Refer to the Company’s Annual Report on Form 10-K for the year ended December 31, 2023 for management's discussion and analysis of financial condition and results of operations for 2023 compared to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after-market services and genuine replacement parts for engines, transmissions, reduction gears and related equipment used in oilfield services, marine, power generation, on-highway, and other industrial applications. The Company also rents equipment including generators, industrial compressors, high 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3,265,876</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3,091,640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286,707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222,935</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 –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756,494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540,228</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294,128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342,660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100" w:type="dxa"/>
            <w:vAlign w:val="bottom"/>
            <w:shd w:val="clear" w:color="auto" w:fill="CFF0FC"/>
          </w:tcPr>
          <w:p>
            <w:pPr>
              <w:spacing w:after="0"/>
              <w:rPr>
                <w:sz w:val="18"/>
                <w:szCs w:val="18"/>
                <w:color w:val="auto"/>
              </w:rPr>
            </w:pPr>
          </w:p>
        </w:tc>
      </w:tr>
    </w:tbl>
    <w:p>
      <w:pPr>
        <w:spacing w:after="0" w:line="15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2024 fourth quarter included a $56.3 million before taxes, $43.0 million after taxes, or $0.74 per share non-cash impairment charge in the KDS segment primarily associated with conventional diesel fracturing equipment inventory. Based on the current market conditions and its view on the industry outlook, including decreased customer demand for conventional diesel fracturing equipment driven by an industry-wide shift to electric fracturing equipment, the Company determined that certain inventory had limited commercial opportunity, and the cost of these inventories exceeded its net realizable value. The Company’s 2024 fourth quarter results also included a $10.9 million, or $0.19 per share one-time deferred tax credit related to a change in Louisiana tax law. Tax reform legislation in Louisiana was signed in December 2024 that included lowering the corporate income tax rate from 7.5% to 5.5% effective January 1, 2025. As a result of the new legislation, the Company recognized a one-time deferred tax credit of $10.9 million in the 2024 fourth quarter due to the remeasurement of the Company’s Louisiana and U.S. deferred tax assets and liabilities based on the new effective Louisiana state income tax rate.</w:t>
      </w:r>
    </w:p>
    <w:p>
      <w:pPr>
        <w:spacing w:after="0" w:line="14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2023 first quarter included $3.0 million before taxes, $2.4 million after taxes, or $0.04 per share of costs related to the strategic review and shareholder engagement and $2.7 million before taxes, $2.2 million after taxes, or $0.04 per share of other income associated with the interest on a refund from the Internal Revenue Service (“IRS”).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in 2024 increased compared to 2023 primarily due to higher business activity levels. During 2024, capital expenditures of $342.7 million included $247.8 million in KMT and $94.9 million in KDS and corporate, more fully described under cash flow and capital expenditures below.</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projects net cash flow from operations in 2025 of between $620 million and $720 million and expects capital expenditures to range between $280 million and $320 million. The Company has applied for and been awarded grants related to certain emission reduction projects totaling approximately $4 million which it expects to receive reimbursements for in 2025.</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debt-to-capitalization ratio decreased to 20.7% at December 31, 2024 from 24.2% at December 31, 2023, primarily due an increase in total equity, primarily from net earnings attributable to Kirby of $286.7 million during 2024 and a reduction of debt outstanding of $141.6 million, partially offset by treasury stock purchases of $174.6 million. The Company’s debt outstanding as of December 31, 2024 and December 31, 2023 is detailed in Long-Term Financing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178"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8"/>
                <w:szCs w:val="18"/>
                <w:color w:val="auto"/>
              </w:rPr>
            </w:pPr>
          </w:p>
        </w:tc>
      </w:tr>
      <w:tr>
        <w:trPr>
          <w:trHeight w:val="216"/>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040" w:type="dxa"/>
            <w:vAlign w:val="bottom"/>
            <w:gridSpan w:val="2"/>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16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7"/>
                <w:szCs w:val="17"/>
                <w:color w:val="auto"/>
              </w:rPr>
            </w:pPr>
          </w:p>
        </w:tc>
      </w:tr>
      <w:tr>
        <w:trPr>
          <w:trHeight w:val="216"/>
        </w:trPr>
        <w:tc>
          <w:tcPr>
            <w:tcW w:w="8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16"/>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04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7"/>
                <w:szCs w:val="17"/>
                <w:color w:val="auto"/>
              </w:rPr>
            </w:pPr>
          </w:p>
        </w:tc>
      </w:tr>
      <w:tr>
        <w:trPr>
          <w:trHeight w:val="216"/>
        </w:trPr>
        <w:tc>
          <w:tcPr>
            <w:tcW w:w="8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50"/>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197"/>
        </w:trPr>
        <w:tc>
          <w:tcPr>
            <w:tcW w:w="81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-3028315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-3028315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-2171065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-2171065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-1305560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-1288415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-448310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-431165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on the Houston Ship Channel and in Freeport and Port Arthur, Texas, and Lake Charles, Louisiana, and its San Jac shipyard for building towboats and performing routine maintenance near the Houston Ship Channel, as well as a two-thirds interest in Osprey Line, L.L.C., which transports project cargoes and cargo containers by barge.</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2024, 59% of the Company’s revenues were generated by KMT. The segment’s customers include many of the major petrochemical and refining companies that operate in the United States. Products transported include intermediate materials used to produce many of the end products used widely by businesses and consumers — plastics, fibers,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KMT’s revenues for 2024 increased 11% compared to 2023 and operating income increased 52%, compared to 2023. The increases for 2024 were primarily due to improved term and spot pricing in the inland and coastal markets when compared to 2023. Results for 2024 were modestly impacted by weather and lock delays, while 2023 results were impacted by various lock closures along the Gulf Intracoastal Waterway and Illinois River. In addition, several refinery outages also impacted utilization in 2023. For 2024 and 2023,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inland tank barge fleet contributed 81% and 82%, respectively, and the coastal fleet contributed 19% and 18%, respectively, of marine transportation revenues.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Overall inland tank barge utilization levels in 2024 were flat as compared to 2023, ranging from the low to mid-90% range during both the 2024 first and second quarters, and the 90% range during both the 2024 third and fourth quarters. During 2023, inland tank barge utilization levels ranged from the low to mid-90% range during the 2023 first quarter, the low 90% range during the 2023 second quarter, the high 80% range during the 2023 third quarter, and the low 90% range in the 2023 fourth quarter.</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Coastal tank barge utilization levels during 2024 averaged in the mid to high 90% range throughout the year. For 2023, coastal tank barge utilization levels averaged in the mid to high 90% range during both the 2023 first and second quarters, the mid-90% range during the 2023 third quarter and the low to mid-90% range during the 2023 fourth quarter.</w:t>
      </w:r>
    </w:p>
    <w:p>
      <w:pPr>
        <w:spacing w:after="0" w:line="13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Approximately 65% of the inland marine transportation revenues were under term contracts and 35% were under spot contracts in 2024. Approximately 60% of the inland marine transportation revenues were under term contracts and 40% were under spot contracts in 2023. Term contracts provide the operations with a reasonably predictable revenue stream. Inland time charters, which insulate the Company from revenue fluctuations caused by weather and navigational delays and temporary market declines, represented 61% of the inland revenues under term contracts during 2024 and 63% in 2023. During 2024 and 2023, approximately 99% and 85%, respectively, of coastal revenues were under term contracts and 1% and 15%, respectively, were under spot contracts. Coastal time charters represented approximately 98% and 90% of coastal revenues under term contracts during 2024 and 2023, respectively. Term contracts have contract terms of 12 months or longer, while spot contracts have contract terms of less than 12 months.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2024 compared to contracts renewed during the corresponding quarter of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460" w:type="dxa"/>
            <w:vAlign w:val="bottom"/>
            <w:tcBorders>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increase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12%</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9%</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9%</w:t>
            </w: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Spot increase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 12%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9%</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Coastal market (a):</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increase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 20%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 28%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27%</w:t>
            </w: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Spot increase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32%</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 26%</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 13%</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 16%</w:t>
            </w:r>
          </w:p>
        </w:tc>
      </w:tr>
    </w:tbl>
    <w:p>
      <w:pPr>
        <w:spacing w:after="0" w:line="139"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Effective January 1, 2024, annual escalators for labor and the producer price index on a number of inland multi-year contracts resulted in rate increases on those contracts of approximately 9.5%, excluding fuel.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2024 marine transportation operating margin was 19.0% compared to 13.9% for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20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through KDS, provides after-market services and genuine replacement parts for engines, transmissions, reduction gears and related equipment used in oilfield services, marine, power generation, on-highway, and other industrial applications. The Company also rents equipment including generators, industrial compressors, high 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 The Company sells and manufactures various products used in oil and gas and industrial applications, including those used in hydraulic fracturing and refrigeration systems that, as compared to conventional offerings, reduce emissions. These products made up approximately 18% of KDS’s revenues in 2024.</w:t>
      </w:r>
    </w:p>
    <w:p>
      <w:pPr>
        <w:spacing w:after="0" w:line="14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2024, KDS generated 41% of the Company’s revenues, of which 80% was generated from service and parts and 20% from manufacturing. The results of KDS are largely influenced by cycles of the oilfield service industry and oil and gas operator and producer markets, marine, power generation, on-highway and other industrial markets.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Distribution and services revenues for 2024 decreased 1% compared to 2023 and operating income decreased 5% compared to 2023. In the commercial and industrial market, revenues decreased 1% in 2024 compared to 2023 primarily due to lower business levels in Thermo King and on-highway businesses due to the ongoing trucking recession, partially offset by higher business levels in marine repair. For both 2024 and 2023, the commercial and industrial market contributed 46% of the distribution and services revenues.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power generation market, revenues increased 20% compared to 2023 due to several large project awards from data center customers as well as other backup power industrial customers. For 2024 and 2023, the power generation market contributed 36% and 29%, respectively, of the distribution and services revenues.</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oil and gas market, revenues declined 28% compared to 2023 due to lower levels of conventional oilfield activity, partially offset by deliveries of electric fracturing equipment. For 2024 and 2023, the oil and gas market contributed 18% and 25%, respectively, of the distribution and services revenues.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distribution and services operating margin for 2024 was 8.0% compared to 8.4% for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2025. In KMT, barge utilization and customer demand remain stable and term rates continue to increase. In KDS, growth in the power generation market is expected to mostly offset softness in oil and gas markets, and the on-highway service and repair business due to the ongoing trucking recession. The Company remains mindful of the ever-changing economic landscape related to the possible impact of high interest rates and possible recessionary headwinds as it moves through 2025.</w:t>
      </w:r>
    </w:p>
    <w:p>
      <w:pPr>
        <w:spacing w:after="0" w:line="13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inland marine transportation market in 2025, the Company anticipates positive market dynamics due to limited new barge construction. The Company expects barge utilization rates to remain steady for the year with continued improvement in term contract pricing as renewals occur throughout the year. However, the Company continues to see inflationary pressures and there remains an acute mariner shortage in the industry which continues to drive up labor costs. These pressures, along with the increasing cost of equipment, should continue to put upward pressure on spot and term contract prices. In the coastal marine transportation market in 2025, market conditions remain very favorable with steady customer demand expected to keep barge utilization at high levels with improved rates as the availability of equipment is limited across the industry due to no further ATBs currently under construction and favorable economic conditions.</w:t>
      </w:r>
    </w:p>
    <w:p>
      <w:pPr>
        <w:spacing w:after="0" w:line="14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expects to yield mixed results in KDS in 2025 as near-term volatility from supply issues, customers deferring maintenance, and lower overall levels of activity in the oil and gas market are partially offset by increased orders in the power generation market. In commercial and industrial, the demand outlook in marine repair remains steady while on-highway service and repair remains soft in the current environment. In power generation, the Company anticipates continued strong growth in orders as data center demand and the need for backup power continues to be strong. In oil and gas, the Company expects revenues to be down as the shift away from conventional diesel hydraulic fracturing to electric hydraulic fracturing continues to take place. The Company anticipates extended lead times for certain OEM products to continue contributing to a volatile delivery schedule of new products throughout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14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improvements and betterments are capitalized as incurred. Depreciation is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improves the operating capacity of the vessel, or replaces significant components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improve the operating capability of the vessel, or replace significant components of the vessel result in the costs being capitalized. Routine repairs and maintenance on ocean-going vessels are expensed as incurred. Interest is capitalized on the construction of new ocean-going vessels.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6" w:name="page37"/>
    <w:bookmarkEnd w:id="36"/>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performs an impairment assessment whenever events or changes in circumstances indicate that the carrying amount of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and valued based on the excess of a reporting unit’s carrying amount over its fair value, incorporating all tax impacts caused by the recognition of the impairment loss.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8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w:t>
      </w:r>
    </w:p>
    <w:p>
      <w:pPr>
        <w:spacing w:after="0" w:line="18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Financing of these purchases and acquisitions was through borrowings under the Company’s Revolving Credit Facility and cash provided by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1,913,050</w:t>
            </w:r>
          </w:p>
        </w:tc>
        <w:tc>
          <w:tcPr>
            <w:tcW w:w="172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1,352,826</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r>
      <w:tr>
        <w:trPr>
          <w:trHeight w:val="250"/>
        </w:trPr>
        <w:tc>
          <w:tcPr>
            <w:tcW w:w="29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3,265,876</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3,091,640</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588"/>
        </w:trPr>
        <w:tc>
          <w:tcPr>
            <w:tcW w:w="29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2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-908050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-890905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-908050</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-890905</wp:posOffset>
            </wp:positionV>
            <wp:extent cx="120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-908050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-890905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-908050</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-890905</wp:posOffset>
            </wp:positionV>
            <wp:extent cx="1200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-908050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-890905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-908050</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-890905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KMT’s revenues, costs and expenses, operating income and operating margins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1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2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1,913,050</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30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3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09"/>
        </w:trPr>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1,188,794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1,136,526</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1,146,657</w:t>
            </w:r>
          </w:p>
        </w:tc>
        <w:tc>
          <w:tcPr>
            <w:tcW w:w="3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134,641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128,340</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3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3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197,347</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184,225</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3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1,549,674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1,482,994</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1,480,783</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363,376</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238,943</w:t>
            </w:r>
          </w:p>
        </w:tc>
        <w:tc>
          <w:tcPr>
            <w:tcW w:w="30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136,184</w:t>
            </w:r>
          </w:p>
        </w:tc>
        <w:tc>
          <w:tcPr>
            <w:tcW w:w="3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r>
      <w:tr>
        <w:trPr>
          <w:trHeight w:val="197"/>
        </w:trPr>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19.0 %</w:t>
            </w:r>
          </w:p>
        </w:tc>
        <w:tc>
          <w:tcPr>
            <w:tcW w:w="240" w:type="dxa"/>
            <w:vAlign w:val="bottom"/>
          </w:tcPr>
          <w:p>
            <w:pPr>
              <w:spacing w:after="0"/>
              <w:rPr>
                <w:sz w:val="17"/>
                <w:szCs w:val="17"/>
                <w:color w:val="auto"/>
              </w:rPr>
            </w:pPr>
          </w:p>
        </w:tc>
        <w:tc>
          <w:tcPr>
            <w:tcW w:w="116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13.9 %</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8.4 %</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-1310640</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-1310640</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-1310640</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-479425</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-479425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-479425</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-187960</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-170815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-187960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120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Revenue</w:t>
            </w:r>
          </w:p>
        </w:tc>
        <w:tc>
          <w:tcPr>
            <w:tcW w:w="140" w:type="dxa"/>
            <w:vAlign w:val="bottom"/>
          </w:tcPr>
          <w:p>
            <w:pPr>
              <w:spacing w:after="0"/>
              <w:rPr>
                <w:sz w:val="13"/>
                <w:szCs w:val="13"/>
                <w:color w:val="auto"/>
              </w:rPr>
            </w:pPr>
          </w:p>
        </w:tc>
        <w:tc>
          <w:tcPr>
            <w:tcW w:w="372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40" w:type="dxa"/>
            <w:vAlign w:val="bottom"/>
          </w:tcPr>
          <w:p>
            <w:pPr>
              <w:spacing w:after="0"/>
              <w:rPr>
                <w:sz w:val="13"/>
                <w:szCs w:val="13"/>
                <w:color w:val="auto"/>
              </w:rPr>
            </w:pPr>
          </w:p>
        </w:tc>
        <w:tc>
          <w:tcPr>
            <w:tcW w:w="332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73"/>
        </w:trPr>
        <w:tc>
          <w:tcPr>
            <w:tcW w:w="25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Petrochemicals</w:t>
            </w:r>
          </w:p>
        </w:tc>
        <w:tc>
          <w:tcPr>
            <w:tcW w:w="1400" w:type="dxa"/>
            <w:vAlign w:val="bottom"/>
            <w:gridSpan w:val="2"/>
            <w:shd w:val="clear" w:color="auto" w:fill="CFF0FC"/>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6"/>
              </w:rPr>
              <w:t>51%</w:t>
            </w:r>
          </w:p>
        </w:tc>
        <w:tc>
          <w:tcPr>
            <w:tcW w:w="140" w:type="dxa"/>
            <w:vAlign w:val="bottom"/>
            <w:shd w:val="clear" w:color="auto" w:fill="CFF0FC"/>
          </w:tcPr>
          <w:p>
            <w:pPr>
              <w:spacing w:after="0"/>
              <w:rPr>
                <w:sz w:val="16"/>
                <w:szCs w:val="16"/>
                <w:color w:val="auto"/>
              </w:rPr>
            </w:pPr>
          </w:p>
        </w:tc>
        <w:tc>
          <w:tcPr>
            <w:tcW w:w="37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140" w:type="dxa"/>
            <w:vAlign w:val="bottom"/>
            <w:shd w:val="clear" w:color="auto" w:fill="CFF0FC"/>
          </w:tcPr>
          <w:p>
            <w:pPr>
              <w:spacing w:after="0"/>
              <w:rPr>
                <w:sz w:val="16"/>
                <w:szCs w:val="16"/>
                <w:color w:val="auto"/>
              </w:rPr>
            </w:pPr>
          </w:p>
        </w:tc>
        <w:tc>
          <w:tcPr>
            <w:tcW w:w="33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Consumer non-durables — 70% Consumer</w:t>
            </w: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Xylene, Naphtha, Caustic Soda, Butadiene,</w:t>
            </w:r>
          </w:p>
        </w:tc>
        <w:tc>
          <w:tcPr>
            <w:tcW w:w="140" w:type="dxa"/>
            <w:vAlign w:val="bottom"/>
            <w:shd w:val="clear" w:color="auto" w:fill="CFF0FC"/>
          </w:tcPr>
          <w:p>
            <w:pPr>
              <w:spacing w:after="0"/>
              <w:rPr>
                <w:sz w:val="18"/>
                <w:szCs w:val="18"/>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durables — 30%</w:t>
            </w: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Propylene</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40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25%</w:t>
            </w:r>
          </w:p>
        </w:tc>
        <w:tc>
          <w:tcPr>
            <w:tcW w:w="140" w:type="dxa"/>
            <w:vAlign w:val="bottom"/>
          </w:tcPr>
          <w:p>
            <w:pPr>
              <w:spacing w:after="0"/>
              <w:rPr>
                <w:sz w:val="17"/>
                <w:szCs w:val="17"/>
                <w:color w:val="auto"/>
              </w:rPr>
            </w:pPr>
          </w:p>
        </w:tc>
        <w:tc>
          <w:tcPr>
            <w:tcW w:w="3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 Vacuum Gas</w:t>
            </w:r>
          </w:p>
        </w:tc>
        <w:tc>
          <w:tcPr>
            <w:tcW w:w="140" w:type="dxa"/>
            <w:vAlign w:val="bottom"/>
          </w:tcPr>
          <w:p>
            <w:pPr>
              <w:spacing w:after="0"/>
              <w:rPr>
                <w:sz w:val="17"/>
                <w:szCs w:val="17"/>
                <w:color w:val="auto"/>
              </w:rPr>
            </w:pPr>
          </w:p>
        </w:tc>
        <w:tc>
          <w:tcPr>
            <w:tcW w:w="3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Fuel for Power Plants and Ships, Feedstock</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Asphalt, Carbon Black Feedstock, Crude Oil,</w:t>
            </w:r>
          </w:p>
        </w:tc>
        <w:tc>
          <w:tcPr>
            <w:tcW w:w="14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Refineries, Road Construction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Condensate, Ship Bunkers</w:t>
            </w:r>
          </w:p>
        </w:tc>
        <w:tc>
          <w:tcPr>
            <w:tcW w:w="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Refined Petroleum Products</w:t>
            </w:r>
          </w:p>
        </w:tc>
        <w:tc>
          <w:tcPr>
            <w:tcW w:w="1400" w:type="dxa"/>
            <w:vAlign w:val="bottom"/>
            <w:gridSpan w:val="2"/>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21%</w:t>
            </w:r>
          </w:p>
        </w:tc>
        <w:tc>
          <w:tcPr>
            <w:tcW w:w="140" w:type="dxa"/>
            <w:vAlign w:val="bottom"/>
            <w:shd w:val="clear" w:color="auto" w:fill="CFF0FC"/>
          </w:tcPr>
          <w:p>
            <w:pPr>
              <w:spacing w:after="0"/>
              <w:rPr>
                <w:sz w:val="17"/>
                <w:szCs w:val="17"/>
                <w:color w:val="auto"/>
              </w:rPr>
            </w:pPr>
          </w:p>
        </w:tc>
        <w:tc>
          <w:tcPr>
            <w:tcW w:w="3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140" w:type="dxa"/>
            <w:vAlign w:val="bottom"/>
            <w:shd w:val="clear" w:color="auto" w:fill="CFF0FC"/>
          </w:tcPr>
          <w:p>
            <w:pPr>
              <w:spacing w:after="0"/>
              <w:rPr>
                <w:sz w:val="17"/>
                <w:szCs w:val="17"/>
                <w:color w:val="auto"/>
              </w:rPr>
            </w:pPr>
          </w:p>
        </w:tc>
        <w:tc>
          <w:tcPr>
            <w:tcW w:w="33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Fuel, Ethanol</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198"/>
        </w:trPr>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40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140" w:type="dxa"/>
            <w:vAlign w:val="bottom"/>
          </w:tcPr>
          <w:p>
            <w:pPr>
              <w:spacing w:after="0"/>
              <w:rPr>
                <w:sz w:val="17"/>
                <w:szCs w:val="17"/>
                <w:color w:val="auto"/>
              </w:rPr>
            </w:pPr>
          </w:p>
        </w:tc>
        <w:tc>
          <w:tcPr>
            <w:tcW w:w="3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Anhydrous Ammonia, Nitrogen-Based Liquid</w:t>
            </w:r>
          </w:p>
        </w:tc>
        <w:tc>
          <w:tcPr>
            <w:tcW w:w="140" w:type="dxa"/>
            <w:vAlign w:val="bottom"/>
          </w:tcPr>
          <w:p>
            <w:pPr>
              <w:spacing w:after="0"/>
              <w:rPr>
                <w:sz w:val="17"/>
                <w:szCs w:val="17"/>
                <w:color w:val="auto"/>
              </w:rPr>
            </w:pPr>
          </w:p>
        </w:tc>
        <w:tc>
          <w:tcPr>
            <w:tcW w:w="3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Corn, Cotton and Wheat Production,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1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KMT’s revenues for 2024 increased 11% compared to 2023 and operating income increased 52%, compared to 2023. The increases for 2024 were primarily due to improved term and spot pricing in the inland and coastal markets when compared to 2023. Results for 2024 were modestly impacted by weather and lock delays, while 2023 results were impacted by various lock closures along the Gulf Intracoastal Waterway and Illinois River. In addition, several refinery outages also impacted utilization in 2023. For 2024 and 2023, the inland tank barge fleet contributed 81% and 82%, respectively, and the coastal fleet contributed 19% and 18%, respectively, of marine transportation revenues.</w:t>
      </w:r>
    </w:p>
    <w:p>
      <w:pPr>
        <w:spacing w:after="0" w:line="15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Overall inland tank barge utilization levels in 2024 were flat as compared to 2023, ranging from the low to mid-90% range during both the 2024 first and second quarters, and the 90% range during both the 2024 third and fourth quarters. During 2023, inland tank barge utilization levels ranged from the low to mid-90% range during the 2023 first quarter, the low 90% range during the 2023 second quarter, the high 80% range during the 2023 third quarter, and the low 90% range in the 2023 fourth quarter.</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Coastal tank barge utilization levels during 2024 averaged in the mid to high 90% range throughout the year. For 2023, coastal tank barge utilization levels averaged in the mid to high 90% range during both the 2023 first and second quarters, the mid-90% range during the 2023 third quarter and the low to mid-90% range during the 2023 fourth quarter.</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51% of marine transportation revenues for 2024, reflecting increased rates, volumes and utilization from Gulf Coast petrochemical plants as a result of improved economic conditions and a reduced supply of barges across the industry due to a heavier than normal maintenance cycle as compared to 2023.</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25% of marine transportation revenues for 2024, reflecting improved demand as refinery utilization and production levels of refined petroleum products and fuel oils increased. During 2024, the Company transported crude oil and natural gas condensate produced from the Permian Basin and the Eagle Ford shale formation in Texas, both along the Gulf Intracoastal Waterway with inland vessels and in the Gulf of America with coastal equipment. Additionally, the Company transported volumes of Utica natural gas condensate downriver from the Mid-Atlantic to the Gulf Coast and Canadian and Bakken crude downriver from the Midwest to the Gulf Coast.</w:t>
      </w:r>
    </w:p>
    <w:p>
      <w:pPr>
        <w:spacing w:after="0" w:line="15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refined petroleum products market, which contributed 21% of marine transportation revenues for 2024, saw increased volumes in the inland market with improved refinery utilization and product levels.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3% of marine transportation revenues for 2024, also experienced improved demand for transportation of both domestically produced and imported products.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Inland operations incurred 11,583 delay days in 2024, 7% more than the 10,863 delay days that occurred during 2023. Delay days measure the lost time incurred by a tow (towboat and one or more tank barges) during transit when the tow is stopped due to weather, lock conditions, or other navigational factors. Delay days for 2024 and 2023 were impacted by hurricanes and tropical storms, poor operating conditions due to heavy wind and fog along the Gulf Coast, low and high water conditions on the Mississippi River System, and various lock closures, due in part to lock maintenance projects. The 2023 third quarter was also impacted by lock closures on the Illinois River.</w:t>
      </w:r>
    </w:p>
    <w:p>
      <w:pPr>
        <w:spacing w:after="0" w:line="15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Approximately 65% of the inland marine transportation revenues were under term contracts and 35% were under spot contracts in 2024. Approximately 60% of the inland marine transportation revenues were under term contracts and 40% were under spot contracts in 2023. Term contracts provide the operations with a reasonably predictable revenue stream. Inland time charters, which insulate the Company from revenue fluctuations caused by weather and navigational delays and temporary market declines, represented 61% of the inland revenues under term contracts during 2024 and 63% in 2023. During 2024 and 2023, approximately 99% and 85%, respectively, of coastal revenues were under term contracts and 1% and 15%, respectively, were under spot contracts. Coastal time charters represented approximately 98% and 90% of coastal revenues under term contracts during 2024 and 2023, respectively. Term contracts have contract terms of 12 months or longer, while spot contracts have contract terms of less than 12 months.</w:t>
      </w:r>
    </w:p>
    <w:p>
      <w:pPr>
        <w:spacing w:after="0" w:line="14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2024 compared to contracts renewed during the corresponding quarter of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460" w:type="dxa"/>
            <w:vAlign w:val="bottom"/>
            <w:tcBorders>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2"/>
                <w:szCs w:val="12"/>
                <w:color w:val="auto"/>
              </w:rPr>
            </w:pPr>
          </w:p>
        </w:tc>
        <w:tc>
          <w:tcPr>
            <w:tcW w:w="146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increase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12%</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9%</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9%</w:t>
            </w: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Spot increase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 16%</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 12%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9%</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Coastal market (a):</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increase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 20%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 28%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27%</w:t>
            </w:r>
          </w:p>
        </w:tc>
      </w:tr>
      <w:tr>
        <w:trPr>
          <w:trHeight w:val="234"/>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Spot increase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32%</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 26%</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 13%</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 16%</w:t>
            </w:r>
          </w:p>
        </w:tc>
      </w:tr>
    </w:tbl>
    <w:p>
      <w:pPr>
        <w:spacing w:after="0" w:line="152" w:lineRule="exact"/>
        <w:rPr>
          <w:sz w:val="20"/>
          <w:szCs w:val="20"/>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Effective January 1, 2024, annual escalators for labor and the producer price index on a number of inland multi-year contracts resulted in rate increases on those contracts of approximately 9.5%, excluding fuel.</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costs and expenses for 2024 increased 4% compared to 2023. Costs of sales and operating expenses for 2024 increased 5% compared to 2023 primarily reflecting higher business activity levels and inflationary cost pressures which was partially offset by lower fuel costs.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285 towboats during 2024, of which an average of 70 were chartered, compared to 280 during 2023, of which an average of 64 were chartered. The increase was primarily due to higher business activity levels. Generally, variability in demand or anticipated demand, as tank barges are added to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Inland operations consumed 46.8 million gallons of diesel fuel in 2024 compared to 48.1 million gallons consumed during 2023. The average price per gallon of diesel fuel consumed during 2024 was $2.66 per gallon compared to $3.08 per gallon for 2023.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2024 increased 2% compared to 2023 due to higher business activity levels and inflationary cost pressures. The increase is primarily due to higher salary and wage increases, partially offset by lower legal costs.</w:t>
      </w:r>
    </w:p>
    <w:p>
      <w:pPr>
        <w:spacing w:after="0" w:line="121" w:lineRule="exact"/>
        <w:rPr>
          <w:sz w:val="20"/>
          <w:szCs w:val="20"/>
          <w:color w:val="auto"/>
        </w:rPr>
      </w:pPr>
    </w:p>
    <w:p>
      <w:pPr>
        <w:ind w:left="380" w:right="220"/>
        <w:spacing w:after="0" w:line="461" w:lineRule="auto"/>
        <w:rPr>
          <w:sz w:val="20"/>
          <w:szCs w:val="20"/>
          <w:color w:val="auto"/>
        </w:rPr>
      </w:pPr>
      <w:r>
        <w:rPr>
          <w:rFonts w:ascii="Times New Roman" w:cs="Times New Roman" w:eastAsia="Times New Roman" w:hAnsi="Times New Roman"/>
          <w:sz w:val="18"/>
          <w:szCs w:val="18"/>
          <w:color w:val="auto"/>
        </w:rPr>
        <w:t xml:space="preserve">Depreciation and amortization for 2024 increased 7% compared to 2023. The increase was primarily due to capital additions during 2024 and 2023. </w:t>
      </w:r>
      <w:r>
        <w:rPr>
          <w:rFonts w:ascii="Times New Roman" w:cs="Times New Roman" w:eastAsia="Times New Roman" w:hAnsi="Times New Roman"/>
          <w:sz w:val="18"/>
          <w:szCs w:val="18"/>
          <w:b w:val="1"/>
          <w:bCs w:val="1"/>
          <w:i w:val="1"/>
          <w:iCs w:val="1"/>
          <w:color w:val="auto"/>
        </w:rPr>
        <w:t>Marine Transportation Operating Income and Operating Margins</w:t>
      </w:r>
    </w:p>
    <w:p>
      <w:pPr>
        <w:spacing w:after="0" w:line="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KMT operating income for 2024 increased 52% compared to 2023. The operating margin was 19.0% for 2024 compared to 13.9% for 2023. The increase in operating income and operating margin were primarily due to higher term and spot contract pricing in the inland and coastal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KDS’s revenues, costs and expenses, operating income and operating margins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11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1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1,352,826</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1,167,787</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1,008,008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913,624</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187,424</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163,642</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3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1,244,224</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1,100,750</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108,602</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97"/>
        </w:trPr>
        <w:tc>
          <w:tcPr>
            <w:tcW w:w="29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4"/>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8.0 %</w:t>
            </w:r>
          </w:p>
        </w:tc>
        <w:tc>
          <w:tcPr>
            <w:tcW w:w="220" w:type="dxa"/>
            <w:vAlign w:val="bottom"/>
          </w:tcPr>
          <w:p>
            <w:pPr>
              <w:spacing w:after="0"/>
              <w:rPr>
                <w:sz w:val="17"/>
                <w:szCs w:val="17"/>
                <w:color w:val="auto"/>
              </w:rPr>
            </w:pPr>
          </w:p>
        </w:tc>
        <w:tc>
          <w:tcPr>
            <w:tcW w:w="1180" w:type="dxa"/>
            <w:vAlign w:val="bottom"/>
            <w:gridSpan w:val="2"/>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8.4 %</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5.7 %</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80" w:type="dxa"/>
            <w:vAlign w:val="bottom"/>
            <w:gridSpan w:val="17"/>
          </w:tcPr>
          <w:p>
            <w:pPr>
              <w:ind w:left="380"/>
              <w:spacing w:after="0"/>
              <w:rPr>
                <w:sz w:val="20"/>
                <w:szCs w:val="20"/>
                <w:color w:val="auto"/>
              </w:rPr>
            </w:pPr>
            <w:r>
              <w:rPr>
                <w:rFonts w:ascii="Times New Roman" w:cs="Times New Roman" w:eastAsia="Times New Roman" w:hAnsi="Times New Roman"/>
                <w:sz w:val="18"/>
                <w:szCs w:val="18"/>
                <w:color w:val="auto"/>
              </w:rPr>
              <w:t>The following table shows the markets serviced by the Company, the revenue distribution, and the customers for each market:</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7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200" w:type="dxa"/>
            <w:vAlign w:val="bottom"/>
            <w:vMerge w:val="restart"/>
          </w:tcPr>
          <w:p>
            <w:pPr>
              <w:spacing w:after="0"/>
              <w:rPr>
                <w:sz w:val="24"/>
                <w:szCs w:val="24"/>
                <w:color w:val="auto"/>
              </w:rPr>
            </w:pPr>
          </w:p>
        </w:tc>
        <w:tc>
          <w:tcPr>
            <w:tcW w:w="138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2024 Revenue</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8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4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shd w:val="clear" w:color="auto" w:fill="CFF0FC"/>
          </w:tcPr>
          <w:p>
            <w:pPr>
              <w:jc w:val="center"/>
              <w:ind w:left="456"/>
              <w:spacing w:after="0" w:line="191" w:lineRule="exact"/>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60" w:type="dxa"/>
            <w:vAlign w:val="bottom"/>
            <w:gridSpan w:val="13"/>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 Liquid, Offshore</w:t>
            </w: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60" w:type="dxa"/>
            <w:vAlign w:val="bottom"/>
            <w:gridSpan w:val="1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Oilfield Services — Drilling Rigs &amp; Supply Boats, Harbor Towing, Dredging, Great</w:t>
            </w: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60" w:type="dxa"/>
            <w:vAlign w:val="bottom"/>
            <w:gridSpan w:val="1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Lakes Ore Carriers, Pleasure Crafts, On and Off-Highway Transportation, Pumping</w:t>
            </w: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3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Stations, Mining</w:t>
            </w:r>
          </w:p>
        </w:tc>
        <w:tc>
          <w:tcPr>
            <w:tcW w:w="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Power Generation</w:t>
            </w:r>
          </w:p>
        </w:tc>
        <w:tc>
          <w:tcPr>
            <w:tcW w:w="1120" w:type="dxa"/>
            <w:vAlign w:val="bottom"/>
          </w:tcPr>
          <w:p>
            <w:pPr>
              <w:jc w:val="center"/>
              <w:ind w:left="456"/>
              <w:spacing w:after="0" w:line="198" w:lineRule="exact"/>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60" w:type="dxa"/>
            <w:vAlign w:val="bottom"/>
            <w:gridSpan w:val="13"/>
          </w:tcPr>
          <w:p>
            <w:pPr>
              <w:ind w:left="20"/>
              <w:spacing w:after="0" w:line="198" w:lineRule="exact"/>
              <w:rPr>
                <w:sz w:val="20"/>
                <w:szCs w:val="20"/>
                <w:color w:val="auto"/>
              </w:rPr>
            </w:pPr>
            <w:r>
              <w:rPr>
                <w:rFonts w:ascii="Times New Roman" w:cs="Times New Roman" w:eastAsia="Times New Roman" w:hAnsi="Times New Roman"/>
                <w:sz w:val="18"/>
                <w:szCs w:val="18"/>
                <w:color w:val="auto"/>
              </w:rPr>
              <w:t>Power Generation &amp; Standby Power Generation Equipment, Power Generation Rentals</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9"/>
              </w:rPr>
              <w:t>&amp; Related Service, Data Centers</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1120" w:type="dxa"/>
            <w:vAlign w:val="bottom"/>
            <w:shd w:val="clear" w:color="auto" w:fill="CFF0FC"/>
          </w:tcPr>
          <w:p>
            <w:pPr>
              <w:jc w:val="center"/>
              <w:ind w:left="456"/>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4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-2879725</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-2879725</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-2879725</wp:posOffset>
            </wp:positionV>
            <wp:extent cx="120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-2047875</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-2047875</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-2047875</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-1757045</wp:posOffset>
            </wp:positionV>
            <wp:extent cx="1200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-1739265</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-1757045</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-1739265</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-1757045</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-1739265</wp:posOffset>
            </wp:positionV>
            <wp:extent cx="1200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KDS revenues for 2024 decreased 1% compared to 2023. In the commercial and industrial market, revenues decreased 1% in 2024 compared to 2023 primarily due to lower business levels in Thermo King and on-highway businesses due to the ongoing trucking recession, partially offset by higher business levels in marine repair. For both 2024 and 2023, the commercial and industrial market contributed 46% of the distribution and services revenues.</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power generation market, revenues increased 20% compared to 2023 due to several large project awards from data center customers as well as other backup power industrial customers. For 2024 and 2023, the power generation market contributed 36% and 29%, respectively, of the distribution and services revenues.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oil and gas market, revenues declined 28% compared to 2023 due to lower levels of conventional oilfield activity, partially offset by deliveries of electric fracturing equipment. For 2024 and 2023, the oil and gas market contributed 18% and 25%, respectively, of the distribution and services revenues.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Total costs and expenses for 2024 decreased 1% compared to 2023 reflecting lower on-highway and conventional oilfield activity partially offset by increased power generation demand in industrial end markets and marine repair activity.</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2024 increased 3% compared to 2023. The increase was primarily due to continued inflationary cost pressures and annual compensation increases.</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2024 increased 79% compared to 2023. The increase was primarily due to increased capital spending during 2023 and 2024.</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income for KDS for 2024 decreased 5% compared to 2023. The operating margin was 8.0% for 2024 compared to 8.4% for 2023. The results reflect lower on-highway and conventional oilfield activity partially offset by increased power generation demand in industrial end markets and marine repair activity.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General corporate expenses for 2024, 2023, and 2022 were $18.8 million, $23.3 million and $18.6 million, respectively. General corporate expenses were lower in 2024 compared to 2023 primarily due to lower legal and insurance costs. The 2023 first quarter also included costs related to the strategic review and shareholder engagement.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reported net gains on disposition of assets of $2.2 million, $5.0 million, and $8.3 million in 2024, 2023, and 2022, respectively. The net gains were predominantly from the sales or retirements of marine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year over year comparison of impairments and other charges, other income, noncontrolling interests, and interest expense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2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r>
      <w:tr>
        <w:trPr>
          <w:trHeight w:val="210"/>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(56,303 )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Pr>
          <w:p>
            <w:pPr>
              <w:spacing w:after="0"/>
              <w:rPr>
                <w:sz w:val="18"/>
                <w:szCs w:val="18"/>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(470 )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(106 )%</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(49,129 )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(52,008 )</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(44,588 )</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2024, impairments included a $56.3 million before taxes, $43.0 million after taxes, or $0.74 per share non-cash impairment charge in the KDS segment primarily associated with conventional diesel fracturing equipment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income for 2024, 2023, and 2022 includes income of $10.2 million, $4.8 million and $13.9 million, respectively, for all components of net benefit costs except the service cost component related to the Company’s defined benefit plans.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1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3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1,025,644</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1,088,851</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1,171,317</w:t>
            </w:r>
          </w:p>
        </w:tc>
        <w:tc>
          <w:tcPr>
            <w:tcW w:w="180" w:type="dxa"/>
            <w:vAlign w:val="bottom"/>
            <w:shd w:val="clear" w:color="auto" w:fill="CFF0FC"/>
          </w:tcPr>
          <w:p>
            <w:pPr>
              <w:spacing w:after="0"/>
              <w:rPr>
                <w:sz w:val="18"/>
                <w:szCs w:val="18"/>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4.7 %</w:t>
            </w: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r>
        <w:trPr>
          <w:trHeight w:val="603"/>
        </w:trPr>
        <w:tc>
          <w:tcPr>
            <w:tcW w:w="3520" w:type="dxa"/>
            <w:vAlign w:val="bottom"/>
          </w:tcPr>
          <w:p>
            <w:pPr>
              <w:spacing w:after="0"/>
              <w:rPr>
                <w:sz w:val="24"/>
                <w:szCs w:val="24"/>
                <w:color w:val="auto"/>
              </w:rPr>
            </w:pPr>
          </w:p>
        </w:tc>
        <w:tc>
          <w:tcPr>
            <w:tcW w:w="29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162" w:gutter="0" w:footer="0" w:header="0"/>
        </w:sectPr>
      </w:pPr>
    </w:p>
    <w:bookmarkStart w:id="41" w:name="page42"/>
    <w:bookmarkEnd w:id="41"/>
    <w:p>
      <w:pPr>
        <w:ind w:left="380" w:right="880"/>
        <w:spacing w:after="0" w:line="461" w:lineRule="auto"/>
        <w:rPr>
          <w:sz w:val="20"/>
          <w:szCs w:val="20"/>
          <w:color w:val="auto"/>
        </w:rPr>
      </w:pPr>
      <w:r>
        <w:rPr>
          <w:rFonts w:ascii="Times New Roman" w:cs="Times New Roman" w:eastAsia="Times New Roman" w:hAnsi="Times New Roman"/>
          <w:sz w:val="18"/>
          <w:szCs w:val="18"/>
          <w:color w:val="auto"/>
        </w:rPr>
        <w:t xml:space="preserve">Interest expense for 2024 decreased 6% compared to 2023, primarily due to lower average debt outstanding as a result of debt repayments. </w:t>
      </w:r>
      <w:r>
        <w:rPr>
          <w:rFonts w:ascii="Times New Roman" w:cs="Times New Roman" w:eastAsia="Times New Roman" w:hAnsi="Times New Roman"/>
          <w:sz w:val="18"/>
          <w:szCs w:val="18"/>
          <w:b w:val="1"/>
          <w:bCs w:val="1"/>
          <w:i w:val="1"/>
          <w:iCs w:val="1"/>
          <w:color w:val="auto"/>
        </w:rPr>
        <w:t>Provision for Taxes on Income</w:t>
      </w:r>
    </w:p>
    <w:p>
      <w:pPr>
        <w:spacing w:after="0" w:line="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Provision for taxes on income for 2024 increased 7% compared to 2023, primarily due to improved earnings before taxes on income as a result of increased business activity levels. The Company’s 2024 results also included a $10.9 million one-time deferred tax credit related to a change in Louisiana tax law and a deferred tax credit of $13.3 million related to the KDS impairment charge.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year over year comparison of the significant components of the balance sheets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56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20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2"/>
                <w:szCs w:val="12"/>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1,068,559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1,135,161</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1,211,759</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4,022,966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3,633,462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2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7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125,383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r>
      <w:tr>
        <w:trPr>
          <w:trHeight w:val="250"/>
        </w:trPr>
        <w:tc>
          <w:tcPr>
            <w:tcW w:w="4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5,851,952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7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r>
      <w:tr>
        <w:trPr>
          <w:trHeight w:val="196"/>
        </w:trPr>
        <w:tc>
          <w:tcPr>
            <w:tcW w:w="4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734,753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675,795</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642,197</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866,722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1,008,527</w:t>
            </w:r>
          </w:p>
        </w:tc>
        <w:tc>
          <w:tcPr>
            <w:tcW w:w="17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1,076,326</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696,557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r>
      <w:tr>
        <w:trPr>
          <w:trHeight w:val="216"/>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142,140</w:t>
            </w:r>
          </w:p>
        </w:tc>
        <w:tc>
          <w:tcPr>
            <w:tcW w:w="1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3,186,677</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3,045,168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4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5,851,952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5,554,924</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-1293495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-1276985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-1293495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-1276985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-1293495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-1276985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Compared to 2023</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Current assets as of December 31, 2024 decreased 6% compared to December 31, 2023. Trade accounts receivable decreased 7% primarily due to strong collections activity during 2024. Inventories – net decreased by 13% primarily due to the impairment of conventional diesel fracturing equipment inventory and deliveries of power generation units and oilfield service equipment during 2024. Prepaid expenses and other current assets decreased 9% primarily due to lower prepaid fuel due to a decrease in the price of diesel fuel and lower assets held for sale due to sales in 2024.</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Property and equipment, net of accumulated depreciation, at December 31, 2024 increased 4% compared to December 31, 2023. The increase reflected $335.8 million of capital additions (including accrued capital expenditures) and $77.9 million of acquisitions of barge equipment, partially offset by $231.7 million of depreciation expense and $20.1 million of property disposals, more fully described under Cash Flows and Capital Expenditures below.</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as of December 31, 2024 increased 4% compared to December 31, 2023, primarily due to new leases acquired, partially offset by lease amortization expense.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intangibles, net, as of December 31, 2024 decreased 20% compared to December 31, 2023, primarily due to amortization.</w:t>
      </w:r>
    </w:p>
    <w:p>
      <w:pPr>
        <w:spacing w:after="0" w:line="18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assets as of December 31, 2024 increased 40% compared to December 31, 2023, primarily due to an increase in pension assets as a result of an improved funded status and additional deferred major drydock expenditures incurred during 2024, partially offset by amortization of drydock expenditures.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Current liabilities as of December 31, 2024 increased 9% compared to December 31, 2023. Income taxes payable increased by $23.9 million primarily due to timing of federal income tax payments. Deferred revenues increased 32%, primarily due to deposits on equipment expected to be shipped in 2025 in KDS. Accounts payable decreased 7%, primarily due to timing of shipyard payments.</w:t>
      </w:r>
    </w:p>
    <w:p>
      <w:pPr>
        <w:spacing w:after="0" w:line="14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Long-term debt, net – less current portion, as of December 31, 2024, decreased 14% compared to December 31, 2023, primarily reflecting repayments on the Term Loan and 2027 Revolving Credit Facility.</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Deferred income taxes as of December 31, 2024 increased 6% compared to December 31, 2023, primarily reflecting the 2024 deferred tax provision of $31.4 million.</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Operating lease liabilities – less current portion, as of December 31, 2024 increased 7% compared to December 31, 2023, primarily due to new leases acquired and liability accretion, partially offset by lease payments made.</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long-term liabilities as of December 31, 2024 decreased 39% compared to December 31, 2023, primarily due to a decrease in pension liabilities due to pension contributions of $1.7 million and an improved funded status.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Total equity as of December 31, 2024 increased 5% compared to December 31, 2023, primarily due to net earnings attributable to Kirby of $286.7 million and other comprehensive income of $36.2 million for 2024, partially offset by treasury stock purchases of $174.6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contributions to that plan were made in 2024, 2023 or 2022.</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$1.7 million, $8.2 million and $0.9 million for the years ended December 31, 2024, 2023 and 2022, respectively.</w:t>
      </w:r>
    </w:p>
    <w:p>
      <w:pPr>
        <w:spacing w:after="0" w:line="1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aggregate fair value of plan assets of the Company’s pension plans was $411.4 million and $375.9 million at December 31, 2024, and 2023, respectively.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investing in asset classes offering sufficient liquidity and trading history.</w:t>
      </w:r>
    </w:p>
    <w:p>
      <w:pPr>
        <w:spacing w:after="0" w:line="13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5.7% for both the Kirby pension plan and Higman pension plan in 2024 and 5.1% for the Kirby pension plan and 5.2% for the Higman pension plan in in 2023. The Company estimates that every 0.1% decrease in the discount rate results in an increase in the accumulated benefit obligation (“ABO”) of approximately $4.6 million. The Company assumed that plan assets would generate a long-term rate of return of 6.75% in both 2024 and 2023.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878,226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discount and issuance costs (b)</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(3,278 )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(5,473 )</w:t>
            </w:r>
          </w:p>
        </w:tc>
      </w:tr>
      <w:tr>
        <w:trPr>
          <w:trHeight w:val="249"/>
        </w:trPr>
        <w:tc>
          <w:tcPr>
            <w:tcW w:w="77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874,948</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5.6% and 6.8% at December 31, 2024 and 2023, respectively.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$1.0 million attributable to the 2027 Revolving Credit Facility included in other assets at December 31, 2024.</w:t>
      </w:r>
    </w:p>
    <w:p>
      <w:pPr>
        <w:spacing w:after="0" w:line="16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3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Outstanding letters of credit under the 2027 Revolving Credit Facility were $6,000 and available borrowing capacity was $500 million as of December 31, 2024.</w:t>
      </w:r>
    </w:p>
    <w:p>
      <w:pPr>
        <w:spacing w:after="0" w:line="16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March 31, 2027,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4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$500 million of 4.2% senior unsecured notes due March 1, 2028 (the “2028 Notes”) with U.S. Bank National 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4" w:name="page45"/>
    <w:bookmarkEnd w:id="44"/>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will be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6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has a $15.0 million line of credit (“Credit Line”) with Bank of America, N.A. (“Bank of America”) for short-term liquidity needs and letters of credit, with a maturity date of June 30, 2026. Outstanding letters of credit under the $15.0 million credit line were $6.8 million and available borrowing capacity was $8.2 million as of December 31, 2024.</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also had $8.2 million and $8.1 million of short-term unsecured loans outstanding, as of December 31, 2024 and 2023, respectively, related to its Colombia operations.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was in compliance with all covenants under its debt instruments. For additional information about the Company’s debt instruments, see Note 5, Long-Term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Capital Expenditures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generated net cash provided by operating activities of $756.5 million, $540.2 million, and $294.1 million for the years ended December 31, 2024, 2023, and 2022, respectively. The 40% increase in 2024 as compared to 2023 was primarily due to higher revenues and operating income in KMT and a decrease in trade accounts receivable primarily due to strong collections activity. Increases in KMT revenues and operating income were driven by higher term and spot contract pricing in the inland and coastal markets during 2024.</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2024, 2023, and 2022, the Company generated cash of $20.4 million, $26.1 million, and $36.9 million, respectively, from proceeds from the disposition of assets, and $9.4 million, $4.2 million, and $3.9 million, respectively, from proceeds from the exercise of stock options.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2024, cash generated was used for capital expenditures of $342.7 million (including a decrease in accrued capital expenditures of $6.9 million), including $232.5 million associated with marine maintenance capital and improvements to existing inland and coastal marine equipment and facility improvements, as well as $110.2 million for growth spending in both segments. The Company also used $77.9 million for acquisitions of businesses and marine equipment, more fully described under Acquisitions above.</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2023, cash generated was used for capital expenditures of $401.7 million (net of an increase in accrued capital expenditures of $9.6 million), including $46.7 million for specialized inland equipment construction and $355.0 million primarily for upgrading existing marine equipment, new electric fracturing equipment, and KMT and KDS facilities. The Company also used $37.5 million for acquisitions of businesses and marine equipment, more fully described under Acquisitions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During 2024, the Company purchased 1.6 million shares of its common stock for $174.6 million, at an average price of $106.40 per share. Subsequent to December 31, 2024 and through February 17, 2025, the Company purchased an additional 0.2 million shares of its common stock for $26.0 million, at an average price of $107.56 per share. During 2023, the Company purchased 1.5 million shares of its common stock for $112.8 million, at an average price of $75.95 per share. During 2022, the Company purchased 0.4 million shares of its common stock for $22.9 million, at an average price of $59.32 per share. On January 30, 2023, the Board approved a five million share increase in the Company’s purchase authorization. As of February 17, 2025, the Company had approximately 2.6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2024 fourth quarter, see Item 5. Market for Registrant’s Common Equity, Related Stockholder Matters and Issuer Purchases of Equity Securities.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 provided by operating activities, as of February 17, 2025, the Company had cash equivalents of $62.7 million, availability of $400 million under its Revolving Credit Facility and $8.2 million available under its Credit Line.</w:t>
      </w:r>
    </w:p>
    <w:p>
      <w:pPr>
        <w:spacing w:after="0" w:line="13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pricing grids on its 2027 Credit Agreement.</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be able to fund expenditures for acquisitions, capital construction projects, common stock purchases, repayment of borrowings, and for other operating requirements both in the short term and in the long term from a combination of available cash and cash equivalents, funds generated from operating activities, and available financing arrangements.</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expires July 29, 2027. The 4.2% senior unsecured notes do not mature until March 1, 2028 and require no prepayments. The 2027 Term Loan in the amount of $250 million is subject to quarterly installments, beginning March 31, 2027, in increasing percentages of the original principal amount of the loan, with the remaining unpaid balance of approximately $43.8 million payable on July 29, 2027, assuming no prepayments. The 2027 Term Loan is prepayable, in whole or in part, without penalty. The 2033 Notes do not mature until January 19, 2033 and require no prepayment.</w:t>
      </w:r>
    </w:p>
    <w:p>
      <w:pPr>
        <w:spacing w:after="0" w:line="14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 in 2025. For a list of significant risks and uncertainties that could impact cash flows, see Note 14, Contingencies and Commitments in the financial statements, and Item 1A — Risk Factors. Amounts available under the Company’s existing financing arrangements are subject to the Company continuing to meet the covenants of the credit facilities as described in Note 5, Long-Term Debt in the financial statements.</w:t>
      </w:r>
    </w:p>
    <w:p>
      <w:pPr>
        <w:spacing w:after="0" w:line="1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$32.3 million at December 31, 2024, including $11.6 million in letters of credit and $20.6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5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marine transportation term contracts typically contain fuel escalation clauses, or the customer pays for the fuel. However, there is generally a 30 to 120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4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Future minimum lease payments under operating leases that have initial noncancelable lease terms in excess of one year are detailed in Note 6, Leases. Lease payments for towing vessels exclude non-lease components. The Company estimates that non-lease components comprise approximately 70% of charter rental costs, related to towboat crew costs, maintenance and insurance.</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2024, the Company’s pension plan funding was 132% of the pension plans’ ABO, including the Higman pension plan. The Company expects to make additional pension contributions of $1.5 million in 2025.</w:t>
      </w:r>
    </w:p>
    <w:p>
      <w:pPr>
        <w:spacing w:after="0" w:line="16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The repair portion of KDS is based on prevailing current market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recently issued accounting standards, see Note 1, Summary of Significant Accounting Policies.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2024 interest expense by $0.7 million based on balances outstanding at December 31, 2024, and would change the fair value of the Company’s debt by approximately 4.1%.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response to this item is submitted as a separate section of this report (see Item 15, page 79 and pages 49 to 78 of this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0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December 31, 2024, as required by Rule 13a-15(b) under the Exchange Act. Based on that evaluation, the Chief Executive Officer and the Chief Financial Officer concluded that, as of December 31, 2024,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 of the Company is responsible for establishing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maintaining 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2024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management concluded that the Company’s internal control over financial reporting was effective as of December 31, 2024. KPMG LLP, the Company’s independent registered public accounting firm, has audited the Company’s internal control over financial reporting, as stated in their report which is included herein.</w:t>
      </w:r>
    </w:p>
    <w:p>
      <w:pPr>
        <w:spacing w:after="0" w:line="14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the Company’s internal control over financial reporting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ended December 31, 2024 that have materially affected, or are reasonably likely to materially affect, the Company’s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“Rule 10b5-1 trading arrangements” or “non-Rule 10b5-1 trading arrangements” (as defined in Item 408 of Regulation S-K of the Exchange Act) adopted, modified or terminated during the 2024 fourth quarter by the Company’s directors and Section 16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Through 14.</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information for these items is incorporated by reference to the definitive proxy statement to be filed by the Company with the Commission pursuant to Regulation 14A within 120 days of the close of the fiscal year ended December 31, 2024, except for the information regarding executive officers which is provided under Item 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Kirby Corporation and subsidiaries (the Company) as of December 31, 2024 and 2023, the related consolidated statements of earnings,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18, 2025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Evaluation of potential impairment indicators for coastal marine transportation equipment</w:t>
      </w:r>
    </w:p>
    <w:p>
      <w:pPr>
        <w:spacing w:after="0" w:line="227"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performs an impairment assessment when circumstances indicate that the carrying amount of its long-lived assets may not be recoverable. 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Recoverability of marine transportation equipment is assessed based on vessel classes. Marine Transportation equipment as of December 31, 2024, was $5,234,475,000, a portion of which related to coastal marine transportation equipment.</w:t>
      </w:r>
    </w:p>
    <w:p>
      <w:pPr>
        <w:spacing w:after="0" w:line="187" w:lineRule="exact"/>
        <w:rPr>
          <w:sz w:val="20"/>
          <w:szCs w:val="20"/>
          <w:color w:val="auto"/>
        </w:rPr>
      </w:pPr>
    </w:p>
    <w:p>
      <w:pPr>
        <w:jc w:val="both"/>
        <w:ind w:left="380" w:right="20"/>
        <w:spacing w:after="0" w:line="282" w:lineRule="auto"/>
        <w:rPr>
          <w:sz w:val="20"/>
          <w:szCs w:val="20"/>
          <w:color w:val="auto"/>
        </w:rPr>
      </w:pPr>
      <w:r>
        <w:rPr>
          <w:rFonts w:ascii="Times New Roman" w:cs="Times New Roman" w:eastAsia="Times New Roman" w:hAnsi="Times New Roman"/>
          <w:sz w:val="18"/>
          <w:szCs w:val="18"/>
          <w:color w:val="auto"/>
        </w:rPr>
        <w:t>We identified the evaluation of potential impairment indicators for coastal marine transportation equipment as a critical audit matter. Evaluating the Company’s judgments in determining whether there was a triggering event required a high degree of subjective auditor judgment.</w:t>
      </w:r>
    </w:p>
    <w:p>
      <w:pPr>
        <w:spacing w:after="0" w:line="162"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identify and assess triggering events that indicate that the carrying amount of coastal marine transportation equipment may not be recoverable. This included controls related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to the consideration of contract pricing by vessel class and market conditions in the determination of a triggering event. We assessed the Company’s identification of triggering events, including consideration of executed contract pricing and break-even costs by vessel class in addition to other certain qualitative considerations. We compared certain data used by the Company to relevant executed contracts, historical results, and analyst and industry reports. We evaluated the Company’s responses related to the elements considered and whether the Company omitted any significant internal or external elements in its evaluation.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Kirby Corporation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earnings, comprehensive income, stockholders’ equity, and cash flows for each of the years in the three-year period ended December 31, 2024, and the related notes (collectively, the consolidated financial statements), and our report dated February 18, 2025 expressed an unqualified opinion on those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8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8220" w:type="dxa"/>
            <w:vAlign w:val="bottom"/>
            <w:shd w:val="clear" w:color="auto" w:fill="CFF0FC"/>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74,444</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center"/>
              <w:ind w:right="2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Trade — less allowance for doubtful accounts of $7,321 ($7,636 in 2023)</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489,857</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526,691</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52,025</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 — net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393,898</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454,389</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63,472</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69,479</w:t>
            </w:r>
          </w:p>
        </w:tc>
        <w:tc>
          <w:tcPr>
            <w:tcW w:w="120" w:type="dxa"/>
            <w:vAlign w:val="bottom"/>
          </w:tcPr>
          <w:p>
            <w:pPr>
              <w:spacing w:after="0"/>
              <w:rPr>
                <w:sz w:val="17"/>
                <w:szCs w:val="17"/>
                <w:color w:val="auto"/>
              </w:rPr>
            </w:pPr>
          </w:p>
        </w:tc>
      </w:tr>
      <w:tr>
        <w:trPr>
          <w:trHeight w:val="196"/>
        </w:trPr>
        <w:tc>
          <w:tcPr>
            <w:tcW w:w="8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1,068,559</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1,135,161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4,022,966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3,861,105</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158,990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152,216</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438,748</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438,748</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34,406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42,927</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125,383</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89,464</w:t>
            </w:r>
          </w:p>
        </w:tc>
        <w:tc>
          <w:tcPr>
            <w:tcW w:w="120" w:type="dxa"/>
            <w:vAlign w:val="bottom"/>
          </w:tcPr>
          <w:p>
            <w:pPr>
              <w:spacing w:after="0"/>
              <w:rPr>
                <w:sz w:val="17"/>
                <w:szCs w:val="17"/>
                <w:color w:val="auto"/>
              </w:rPr>
            </w:pPr>
          </w:p>
        </w:tc>
      </w:tr>
      <w:tr>
        <w:trPr>
          <w:trHeight w:val="23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5,851,952</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center"/>
              <w:ind w:right="2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5,722,197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8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822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Bank notes payable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center"/>
              <w:ind w:right="2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8,068</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251,354</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269,378</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Insurance premiums and claims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88,432</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84,825</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Employee compensation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68,298</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69,075</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 other than on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32,254</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30,377</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35,727</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33,340</w:t>
            </w:r>
          </w:p>
        </w:tc>
        <w:tc>
          <w:tcPr>
            <w:tcW w:w="120" w:type="dxa"/>
            <w:vAlign w:val="bottom"/>
          </w:tcPr>
          <w:p>
            <w:pPr>
              <w:spacing w:after="0"/>
              <w:rPr>
                <w:sz w:val="17"/>
                <w:szCs w:val="17"/>
                <w:color w:val="auto"/>
              </w:rPr>
            </w:pPr>
          </w:p>
        </w:tc>
      </w:tr>
      <w:tr>
        <w:trPr>
          <w:trHeight w:val="203"/>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177,216</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134,577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734,753</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675,795</w:t>
            </w:r>
          </w:p>
        </w:tc>
        <w:tc>
          <w:tcPr>
            <w:tcW w:w="120" w:type="dxa"/>
            <w:vAlign w:val="bottom"/>
          </w:tcPr>
          <w:p>
            <w:pPr>
              <w:spacing w:after="0"/>
              <w:rPr>
                <w:sz w:val="17"/>
                <w:szCs w:val="17"/>
                <w:color w:val="auto"/>
              </w:rPr>
            </w:pPr>
          </w:p>
        </w:tc>
      </w:tr>
      <w:tr>
        <w:trPr>
          <w:trHeight w:val="196"/>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debt, net — less current portion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866,722</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1,008,527</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739,472</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696,557</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less current portion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148,170</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138,811</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9,587</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15,830</w:t>
            </w:r>
          </w:p>
        </w:tc>
        <w:tc>
          <w:tcPr>
            <w:tcW w:w="120" w:type="dxa"/>
            <w:vAlign w:val="bottom"/>
          </w:tcPr>
          <w:p>
            <w:pPr>
              <w:spacing w:after="0"/>
              <w:rPr>
                <w:sz w:val="17"/>
                <w:szCs w:val="17"/>
                <w:color w:val="auto"/>
              </w:rPr>
            </w:pPr>
          </w:p>
        </w:tc>
      </w:tr>
      <w:tr>
        <w:trPr>
          <w:trHeight w:val="19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1,763,951</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1,859,725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Contingencies and commitments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Kirby stockholders’ equity:</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Common stock, $0.10 par value per share. Authorized 120,000,000 shares, issued 65,472,000</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868,763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863,963</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 net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71,192</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35,006</w:t>
            </w:r>
          </w:p>
        </w:tc>
        <w:tc>
          <w:tcPr>
            <w:tcW w:w="120" w:type="dxa"/>
            <w:vAlign w:val="bottom"/>
            <w:shd w:val="clear" w:color="auto" w:fill="CFF0FC"/>
          </w:tcPr>
          <w:p>
            <w:pPr>
              <w:spacing w:after="0"/>
              <w:rPr>
                <w:sz w:val="17"/>
                <w:szCs w:val="17"/>
                <w:color w:val="auto"/>
              </w:rPr>
            </w:pPr>
          </w:p>
        </w:tc>
      </w:tr>
      <w:tr>
        <w:trPr>
          <w:trHeight w:val="203"/>
        </w:trPr>
        <w:tc>
          <w:tcPr>
            <w:tcW w:w="8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2,978,372</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2,691,665</w:t>
            </w:r>
          </w:p>
        </w:tc>
        <w:tc>
          <w:tcPr>
            <w:tcW w:w="120" w:type="dxa"/>
            <w:vAlign w:val="bottom"/>
          </w:tcPr>
          <w:p>
            <w:pPr>
              <w:spacing w:after="0"/>
              <w:rPr>
                <w:sz w:val="17"/>
                <w:szCs w:val="17"/>
                <w:color w:val="auto"/>
              </w:rPr>
            </w:pPr>
          </w:p>
        </w:tc>
      </w:tr>
      <w:tr>
        <w:trPr>
          <w:trHeight w:val="203"/>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Treasury stock — at cost, 8,215,000 shares in 2024 and 6,843,000 shares in 2023</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6"/>
                <w:szCs w:val="16"/>
                <w:color w:val="auto"/>
              </w:rPr>
              <w:t>(573,061 )</w:t>
            </w:r>
          </w:p>
        </w:tc>
        <w:tc>
          <w:tcPr>
            <w:tcW w:w="4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(411,750 )</w:t>
            </w:r>
          </w:p>
        </w:tc>
      </w:tr>
      <w:tr>
        <w:trPr>
          <w:trHeight w:val="196"/>
        </w:trPr>
        <w:tc>
          <w:tcPr>
            <w:tcW w:w="8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Kirby stockholders’ equity</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3,351,813</w:t>
            </w:r>
          </w:p>
        </w:tc>
        <w:tc>
          <w:tcPr>
            <w:tcW w:w="26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3,185,431</w:t>
            </w:r>
          </w:p>
        </w:tc>
        <w:tc>
          <w:tcPr>
            <w:tcW w:w="120" w:type="dxa"/>
            <w:vAlign w:val="bottom"/>
            <w:tcBorders>
              <w:top w:val="single" w:sz="8" w:color="CFF0FC"/>
            </w:tcBorders>
          </w:tcPr>
          <w:p>
            <w:pPr>
              <w:spacing w:after="0"/>
              <w:rPr>
                <w:sz w:val="17"/>
                <w:szCs w:val="17"/>
                <w:color w:val="auto"/>
              </w:rPr>
            </w:pPr>
          </w:p>
        </w:tc>
      </w:tr>
      <w:tr>
        <w:trPr>
          <w:trHeight w:val="203"/>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3,353,248</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3,186,677</w:t>
            </w:r>
          </w:p>
        </w:tc>
        <w:tc>
          <w:tcPr>
            <w:tcW w:w="120" w:type="dxa"/>
            <w:vAlign w:val="bottom"/>
          </w:tcPr>
          <w:p>
            <w:pPr>
              <w:spacing w:after="0"/>
              <w:rPr>
                <w:sz w:val="17"/>
                <w:szCs w:val="17"/>
                <w:color w:val="auto"/>
              </w:rPr>
            </w:pPr>
          </w:p>
        </w:tc>
      </w:tr>
      <w:tr>
        <w:trPr>
          <w:trHeight w:val="236"/>
        </w:trPr>
        <w:tc>
          <w:tcPr>
            <w:tcW w:w="8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5,851,952</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center"/>
              <w:ind w:right="2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5,722,197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-5528310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-5528310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-4482465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-4465320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-4482465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-4465320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-2656840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-2656840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-1859280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-565150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5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 except per share</w:t>
            </w: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1,913,050</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2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1,352,826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3,265,876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3,091,640</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2,784,754</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2,200,354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2,180,422</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2,060,941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335,213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302,692</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34,766</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(5,009 )</w:t>
            </w: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(8,279 )</w:t>
            </w:r>
          </w:p>
        </w:tc>
      </w:tr>
      <w:tr>
        <w:trPr>
          <w:trHeight w:val="210"/>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2,866,779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2,756,548</w:t>
            </w:r>
          </w:p>
        </w:tc>
        <w:tc>
          <w:tcPr>
            <w:tcW w:w="2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2,591,868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335,092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(49,129 )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(52,008 )</w:t>
            </w: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(44,588 )</w:t>
            </w:r>
          </w:p>
        </w:tc>
      </w:tr>
      <w:tr>
        <w:trPr>
          <w:trHeight w:val="210"/>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362,763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294,125</w:t>
            </w:r>
          </w:p>
        </w:tc>
        <w:tc>
          <w:tcPr>
            <w:tcW w:w="2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(75,867 )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(71,220 )</w:t>
            </w: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(42,214 )</w:t>
            </w: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286,896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222,905</w:t>
            </w:r>
          </w:p>
        </w:tc>
        <w:tc>
          <w:tcPr>
            <w:tcW w:w="2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(470 )</w:t>
            </w:r>
          </w:p>
        </w:tc>
      </w:tr>
      <w:tr>
        <w:trPr>
          <w:trHeight w:val="24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286,707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222,935</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-3102610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-3102610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-1704975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-1704975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-574040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-574040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-556895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286,896</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222,905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122,761</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(1,049 )</w:t>
            </w:r>
          </w:p>
        </w:tc>
      </w:tr>
      <w:tr>
        <w:trPr>
          <w:trHeight w:val="20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323,082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241,058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165,580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(470 )</w:t>
            </w:r>
          </w:p>
        </w:tc>
      </w:tr>
      <w:tr>
        <w:trPr>
          <w:trHeight w:val="249"/>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322,893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241,088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-1156970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-1156970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-591185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-591185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66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5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79"/>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1"/>
                <w:szCs w:val="11"/>
                <w:color w:val="auto"/>
              </w:rPr>
            </w:pPr>
          </w:p>
        </w:tc>
      </w:tr>
      <w:tr>
        <w:trPr>
          <w:trHeight w:val="128"/>
        </w:trPr>
        <w:tc>
          <w:tcPr>
            <w:tcW w:w="6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286,896</w:t>
            </w:r>
          </w:p>
        </w:tc>
        <w:tc>
          <w:tcPr>
            <w:tcW w:w="140" w:type="dxa"/>
            <w:vAlign w:val="bottom"/>
          </w:tcPr>
          <w:p>
            <w:pPr>
              <w:spacing w:after="0"/>
              <w:rPr>
                <w:sz w:val="17"/>
                <w:szCs w:val="17"/>
                <w:color w:val="auto"/>
              </w:rPr>
            </w:pPr>
          </w:p>
        </w:tc>
        <w:tc>
          <w:tcPr>
            <w:tcW w:w="48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222,905</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122,761</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operations: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211,156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201,443</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deferred income taxes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37,782</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(2,207 )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(5,009 )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(8,279 )</w:t>
            </w: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share-based compensation</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13,865</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major maintenance costs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29,031</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(3,338 )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(283 )</w:t>
            </w: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(decrease) in cash flows resulting from changes in: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(50,135 )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(31,550 )</w:t>
            </w: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(127,095 )</w:t>
            </w: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(18,539 )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(37,688 )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(27,801 )</w:t>
            </w: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(11,157 )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(18,271 )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75,996</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17"/>
                <w:szCs w:val="17"/>
                <w:color w:val="auto"/>
              </w:rPr>
            </w:pPr>
          </w:p>
        </w:tc>
      </w:tr>
      <w:tr>
        <w:trPr>
          <w:trHeight w:val="196"/>
        </w:trPr>
        <w:tc>
          <w:tcPr>
            <w:tcW w:w="66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756,494</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540,228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294,128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(342,660 )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(401,730 )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(172,606 )</w:t>
            </w: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businesses and marine equipment, net of cash acquired</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(77,863 )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(37,500 )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(3,900 )</w:t>
            </w: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disposition of assets and other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36,905</w:t>
            </w:r>
          </w:p>
        </w:tc>
        <w:tc>
          <w:tcPr>
            <w:tcW w:w="120" w:type="dxa"/>
            <w:vAlign w:val="bottom"/>
          </w:tcPr>
          <w:p>
            <w:pPr>
              <w:spacing w:after="0"/>
              <w:rPr>
                <w:sz w:val="17"/>
                <w:szCs w:val="17"/>
                <w:color w:val="auto"/>
              </w:rPr>
            </w:pPr>
          </w:p>
        </w:tc>
      </w:tr>
      <w:tr>
        <w:trPr>
          <w:trHeight w:val="19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(400,127 )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(413,149 )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(139,601 )</w:t>
            </w:r>
          </w:p>
        </w:tc>
      </w:tr>
      <w:tr>
        <w:trPr>
          <w:trHeight w:val="196"/>
        </w:trPr>
        <w:tc>
          <w:tcPr>
            <w:tcW w:w="66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(payments) on bank credit facilities, net</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(43,842 )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on long-term debt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(350,000 )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(395,000 )</w:t>
            </w: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 of debt issue costs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(1,254 )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(1,977 )</w:t>
            </w: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related to tax withholding for share-based compensation</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(5,398 )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(3,908 )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(3,408 )</w:t>
            </w: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purchases</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(174,574 )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(112,803 )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(22,901 )</w:t>
            </w: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Return of investment to noncontrolling interests and other</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(99 )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(722 )</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(314,500 )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(175,079 )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(108,763 )</w:t>
            </w: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41,867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(48,000 )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45,764</w:t>
            </w:r>
          </w:p>
        </w:tc>
        <w:tc>
          <w:tcPr>
            <w:tcW w:w="120" w:type="dxa"/>
            <w:vAlign w:val="bottom"/>
            <w:shd w:val="clear" w:color="auto" w:fill="CFF0FC"/>
          </w:tcPr>
          <w:p>
            <w:pPr>
              <w:spacing w:after="0"/>
              <w:rPr>
                <w:sz w:val="17"/>
                <w:szCs w:val="17"/>
                <w:color w:val="auto"/>
              </w:rPr>
            </w:pPr>
          </w:p>
        </w:tc>
      </w:tr>
      <w:tr>
        <w:trPr>
          <w:trHeight w:val="202"/>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120" w:type="dxa"/>
            <w:vAlign w:val="bottom"/>
          </w:tcPr>
          <w:p>
            <w:pPr>
              <w:spacing w:after="0"/>
              <w:rPr>
                <w:sz w:val="17"/>
                <w:szCs w:val="17"/>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74,444</w:t>
            </w:r>
          </w:p>
        </w:tc>
        <w:tc>
          <w:tcPr>
            <w:tcW w:w="1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80,577</w:t>
            </w:r>
          </w:p>
        </w:tc>
        <w:tc>
          <w:tcPr>
            <w:tcW w:w="120" w:type="dxa"/>
            <w:vAlign w:val="bottom"/>
            <w:shd w:val="clear" w:color="auto" w:fill="CFF0FC"/>
          </w:tcPr>
          <w:p>
            <w:pPr>
              <w:spacing w:after="0"/>
              <w:rPr>
                <w:sz w:val="20"/>
                <w:szCs w:val="20"/>
                <w:color w:val="auto"/>
              </w:rPr>
            </w:pPr>
          </w:p>
        </w:tc>
      </w:tr>
      <w:tr>
        <w:trPr>
          <w:trHeight w:val="183"/>
        </w:trPr>
        <w:tc>
          <w:tcPr>
            <w:tcW w:w="66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(received) during the period: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49,059</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42,816</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19,567</w:t>
            </w:r>
          </w:p>
        </w:tc>
        <w:tc>
          <w:tcPr>
            <w:tcW w:w="140" w:type="dxa"/>
            <w:vAlign w:val="bottom"/>
          </w:tcPr>
          <w:p>
            <w:pPr>
              <w:spacing w:after="0"/>
              <w:rPr>
                <w:sz w:val="17"/>
                <w:szCs w:val="17"/>
                <w:color w:val="auto"/>
              </w:rPr>
            </w:pPr>
          </w:p>
        </w:tc>
        <w:tc>
          <w:tcPr>
            <w:tcW w:w="48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(65,787 )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cash outflow from operating leases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45,979</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43,954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44,229</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Capital expenditures included in accounts payable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(6,867 )</w:t>
            </w:r>
          </w:p>
        </w:tc>
        <w:tc>
          <w:tcPr>
            <w:tcW w:w="480" w:type="dxa"/>
            <w:vAlign w:val="bottom"/>
            <w:gridSpan w:val="2"/>
            <w:shd w:val="clear" w:color="auto" w:fill="CFF0FC"/>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20" w:type="dxa"/>
            <w:vAlign w:val="bottom"/>
            <w:shd w:val="clear" w:color="auto" w:fill="CFF0FC"/>
          </w:tcPr>
          <w:p>
            <w:pPr>
              <w:spacing w:after="0"/>
              <w:rPr>
                <w:sz w:val="17"/>
                <w:szCs w:val="17"/>
                <w:color w:val="auto"/>
              </w:rPr>
            </w:pPr>
          </w:p>
        </w:tc>
      </w:tr>
      <w:tr>
        <w:trPr>
          <w:trHeight w:val="210"/>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53,551</w:t>
            </w:r>
          </w:p>
        </w:tc>
        <w:tc>
          <w:tcPr>
            <w:tcW w:w="140" w:type="dxa"/>
            <w:vAlign w:val="bottom"/>
          </w:tcPr>
          <w:p>
            <w:pPr>
              <w:spacing w:after="0"/>
              <w:rPr>
                <w:sz w:val="18"/>
                <w:szCs w:val="18"/>
                <w:color w:val="auto"/>
              </w:rPr>
            </w:pPr>
          </w:p>
        </w:tc>
        <w:tc>
          <w:tcPr>
            <w:tcW w:w="48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39,153</w:t>
            </w:r>
          </w:p>
        </w:tc>
        <w:tc>
          <w:tcPr>
            <w:tcW w:w="2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22,799</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-3810635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-3810635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-3810635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-3021965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-3021965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-3021965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-1727200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-1727200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-1187450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-1170305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-1187450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-1170305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-1187450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-1170305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1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1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ng</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Balance at December 31, 2021</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854,512</w:t>
            </w:r>
          </w:p>
        </w:tc>
        <w:tc>
          <w:tcPr>
            <w:tcW w:w="2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(25,966 )</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2,346,43</w:t>
            </w:r>
          </w:p>
        </w:tc>
        <w:tc>
          <w:tcPr>
            <w:tcW w:w="2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(5,361 )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(295,208 )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2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2,888,782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460" w:type="dxa"/>
            <w:vAlign w:val="bottom"/>
            <w:gridSpan w:val="2"/>
            <w:vMerge w:val="continue"/>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option exercises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stock for equity awards,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(9,789 )</w:t>
            </w: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Tax withholdings on equity award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(3,408 )</w:t>
            </w:r>
          </w:p>
        </w:tc>
        <w:tc>
          <w:tcPr>
            <w:tcW w:w="12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(3,408 )</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Amortization of share-based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stock purchases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(386 )</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(22,901 )</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(22,901 )</w:t>
            </w: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comprehensive income, net of</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122,291</w:t>
            </w:r>
          </w:p>
        </w:tc>
        <w:tc>
          <w:tcPr>
            <w:tcW w:w="2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165,580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Return of investment to</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(637 )</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(637 )</w:t>
            </w:r>
          </w:p>
        </w:tc>
        <w:tc>
          <w:tcPr>
            <w:tcW w:w="0" w:type="dxa"/>
            <w:vAlign w:val="bottom"/>
          </w:tcPr>
          <w:p>
            <w:pPr>
              <w:spacing w:after="0"/>
              <w:rPr>
                <w:sz w:val="1"/>
                <w:szCs w:val="1"/>
                <w:color w:val="auto"/>
              </w:rPr>
            </w:pPr>
          </w:p>
        </w:tc>
      </w:tr>
      <w:tr>
        <w:trPr>
          <w:trHeight w:val="158"/>
        </w:trPr>
        <w:tc>
          <w:tcPr>
            <w:tcW w:w="2340" w:type="dxa"/>
            <w:vAlign w:val="bottom"/>
          </w:tcPr>
          <w:p>
            <w:pPr>
              <w:ind w:left="20"/>
              <w:spacing w:after="0" w:line="158" w:lineRule="exact"/>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34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December 31, 2022</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240" w:type="dxa"/>
            <w:vAlign w:val="bottom"/>
            <w:vMerge w:val="restart"/>
            <w:shd w:val="clear" w:color="auto" w:fill="CFF0FC"/>
          </w:tcPr>
          <w:p>
            <w:pPr>
              <w:spacing w:after="0"/>
              <w:rPr>
                <w:sz w:val="10"/>
                <w:szCs w:val="10"/>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24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859,345</w:t>
            </w:r>
          </w:p>
        </w:tc>
        <w:tc>
          <w:tcPr>
            <w:tcW w:w="20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8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2,468,73</w:t>
            </w:r>
          </w:p>
        </w:tc>
        <w:tc>
          <w:tcPr>
            <w:tcW w:w="2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(5,565 )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(308,598 )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2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3,045,168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 exercises</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453</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3,755</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4,208</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stock for equity awards,</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(10,776 )</w:t>
            </w: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10,776</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Tax withholdings on equity award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(3,908 )</w:t>
            </w:r>
          </w:p>
        </w:tc>
        <w:tc>
          <w:tcPr>
            <w:tcW w:w="12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(3,908 )</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Amortization of share-based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stock purchases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(1,485 )</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(112,803 )</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(112,803 )</w:t>
            </w: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Excise taxes on treasury stock</w:t>
            </w: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(972 )</w:t>
            </w: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(972 )</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comprehensive income,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222,935</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241,058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Return of investment to</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(1,015 )</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(1,015 )</w:t>
            </w:r>
          </w:p>
        </w:tc>
        <w:tc>
          <w:tcPr>
            <w:tcW w:w="0" w:type="dxa"/>
            <w:vAlign w:val="bottom"/>
          </w:tcPr>
          <w:p>
            <w:pPr>
              <w:spacing w:after="0"/>
              <w:rPr>
                <w:sz w:val="1"/>
                <w:szCs w:val="1"/>
                <w:color w:val="auto"/>
              </w:rPr>
            </w:pPr>
          </w:p>
        </w:tc>
      </w:tr>
      <w:tr>
        <w:trPr>
          <w:trHeight w:val="158"/>
        </w:trPr>
        <w:tc>
          <w:tcPr>
            <w:tcW w:w="234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3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240" w:type="dxa"/>
            <w:vAlign w:val="bottom"/>
            <w:vMerge w:val="restart"/>
          </w:tcPr>
          <w:p>
            <w:pPr>
              <w:spacing w:after="0"/>
              <w:rPr>
                <w:sz w:val="10"/>
                <w:szCs w:val="10"/>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24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863,963</w:t>
            </w:r>
          </w:p>
        </w:tc>
        <w:tc>
          <w:tcPr>
            <w:tcW w:w="20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35,006</w:t>
            </w:r>
          </w:p>
        </w:tc>
        <w:tc>
          <w:tcPr>
            <w:tcW w:w="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2,691,66</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(6,843 )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(411,750 )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3,186,677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 exercises</w:t>
            </w: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1,833</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7,583</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stock for equity awards,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(12,582 )</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12,582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of forfeitures</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Tax withholdings on equity award</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(5,398 )</w:t>
            </w:r>
          </w:p>
        </w:tc>
        <w:tc>
          <w:tcPr>
            <w:tcW w:w="12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(5,398 )</w:t>
            </w:r>
          </w:p>
        </w:tc>
        <w:tc>
          <w:tcPr>
            <w:tcW w:w="0" w:type="dxa"/>
            <w:vAlign w:val="bottom"/>
          </w:tcPr>
          <w:p>
            <w:pPr>
              <w:spacing w:after="0"/>
              <w:rPr>
                <w:sz w:val="1"/>
                <w:szCs w:val="1"/>
                <w:color w:val="auto"/>
              </w:rPr>
            </w:pPr>
          </w:p>
        </w:tc>
      </w:tr>
      <w:tr>
        <w:trPr>
          <w:trHeight w:val="171"/>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w:t>
            </w: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Amortization of share-based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15,549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stock purchases</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(1,641 )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(174,574 )</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(174,574 )</w:t>
            </w:r>
          </w:p>
        </w:tc>
        <w:tc>
          <w:tcPr>
            <w:tcW w:w="0" w:type="dxa"/>
            <w:vAlign w:val="bottom"/>
          </w:tcPr>
          <w:p>
            <w:pPr>
              <w:spacing w:after="0"/>
              <w:rPr>
                <w:sz w:val="1"/>
                <w:szCs w:val="1"/>
                <w:color w:val="auto"/>
              </w:rPr>
            </w:pPr>
          </w:p>
        </w:tc>
      </w:tr>
      <w:tr>
        <w:trPr>
          <w:trHeight w:val="126"/>
        </w:trPr>
        <w:tc>
          <w:tcPr>
            <w:tcW w:w="23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Excise taxes on treasury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(1,504 )</w:t>
            </w:r>
          </w:p>
        </w:tc>
        <w:tc>
          <w:tcPr>
            <w:tcW w:w="12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(1,504 )</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Total comprehensive income, net of</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286,707</w:t>
            </w: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323,082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40" w:type="dxa"/>
            <w:vAlign w:val="bottom"/>
            <w:tcBorders>
              <w:bottom w:val="single" w:sz="8" w:color="CFF0FC"/>
            </w:tcBorders>
            <w:shd w:val="clear" w:color="auto" w:fill="CFF0FC"/>
          </w:tcPr>
          <w:p>
            <w:pPr>
              <w:ind w:left="20"/>
              <w:spacing w:after="0" w:line="158" w:lineRule="exact"/>
              <w:rPr>
                <w:sz w:val="20"/>
                <w:szCs w:val="20"/>
                <w:color w:val="auto"/>
              </w:rPr>
            </w:pPr>
            <w:r>
              <w:rPr>
                <w:rFonts w:ascii="Times New Roman" w:cs="Times New Roman" w:eastAsia="Times New Roman" w:hAnsi="Times New Roman"/>
                <w:sz w:val="14"/>
                <w:szCs w:val="14"/>
                <w:color w:val="auto"/>
              </w:rPr>
              <w:t>taxes</w:t>
            </w: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65,472</w:t>
            </w:r>
          </w:p>
        </w:tc>
        <w:tc>
          <w:tcPr>
            <w:tcW w:w="4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868,763</w:t>
            </w:r>
          </w:p>
        </w:tc>
        <w:tc>
          <w:tcPr>
            <w:tcW w:w="20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71,192</w:t>
            </w:r>
          </w:p>
        </w:tc>
        <w:tc>
          <w:tcPr>
            <w:tcW w:w="80" w:type="dxa"/>
            <w:vAlign w:val="bottom"/>
          </w:tcPr>
          <w:p>
            <w:pPr>
              <w:spacing w:after="0"/>
              <w:rPr>
                <w:sz w:val="10"/>
                <w:szCs w:val="10"/>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2,978,37</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(8,215 )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(573,061 )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3,353,248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-2871470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-2871470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-2871470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-2871470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-2871470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-2871470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-2871470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-2871470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-2871470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-1550670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-1550670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-1550670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-1550670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-1550670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-1550670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-1550670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-1550670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-1550670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-222250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-222250</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3143250</wp:posOffset>
            </wp:positionH>
            <wp:positionV relativeFrom="paragraph">
              <wp:posOffset>-222250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-222250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-222250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-222250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-222250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-222250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-222250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Kirby Corporation and all majority-owned subsidiaries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 Such reclassifications have no impact on previously reported net earnings (loss), stockholders’ equity, or cash flows.</w:t>
      </w:r>
    </w:p>
    <w:p>
      <w:pPr>
        <w:spacing w:after="0" w:line="14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Effective January 1, 2024, the power generation revenue source within the distribution and services segment (“KDS”) has been broken out from the commercial and industrial and oil and gas revenue sources due to the significance of the power generation market to the Company’s growth. This change had no net impact on overall Company or segment revenues and has been reflected retrospectively for all periods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Cash equivalents consist of all short-term, highly liquid investments with maturities of three months or less at date of purchase.</w:t>
      </w:r>
    </w:p>
    <w:p>
      <w:pPr>
        <w:spacing w:after="0" w:line="18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In the normal course of business, the Company extends credit to its customers. The Company regularly reviews the accounts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makes adequate provisions for probable uncollectible balances. It is the Company’s opinion that the accounts have no impairment, other than that for which provisions have been made. Included in accounts receivable-trade as of December 31, 2024 and 2023 were $131.9 million and $136.3 million, respectively, of accruals for revenues earned which have not been invoiced as of the end of each year.</w:t>
      </w:r>
    </w:p>
    <w:p>
      <w:pPr>
        <w:spacing w:after="0" w:line="13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Accrued Insurance. </w:t>
      </w:r>
      <w:r>
        <w:rPr>
          <w:rFonts w:ascii="Times New Roman" w:cs="Times New Roman" w:eastAsia="Times New Roman" w:hAnsi="Times New Roman"/>
          <w:sz w:val="18"/>
          <w:szCs w:val="18"/>
          <w:color w:val="auto"/>
        </w:rPr>
        <w:t>The Company’s marine transportation and distribution and services operations are subject to hazards associated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The marine transportation business in particular is subject to property damage and casualty risks associated with operating vessels carrying large volumes of bulk liquid and dry cargo in a marine environment. The Company maintains insurance coverage against these hazards with insurance companies subject to a deductible, below which the Company is liable. The Company uses historic experience and actuarial analysis by outside consultants to estimate an appropriate level of accrued insurance liabilities including estimates on individual claims outstanding and an estimated amount for losses that may have occurred but have not been reported to the Company (“IBNR”) or not yet fully developed. If the actual number of claims and magnitude were substantially greater than assumed, the required level of accrued liabilities for claims incurred but not reported or fully developed could be materially understated. Insurance premiums, IBNR losses and incurred claim losses, up to the Company’s deductible for the years ended December 31, 2024, 2023, and 2022, were $47.9 million, $52.5 million, and $39.1 million, respectively.</w:t>
      </w:r>
    </w:p>
    <w:p>
      <w:pPr>
        <w:spacing w:after="0" w:line="16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records receivables from its insurers for incurred claims above the Company’s deductible. If the solvency of the insurers becomes impaired, there could be an adverse impact on the accrued receivables and the availability of insurance. Included in accounts receivable-other as of December 31, 2024 and 2023 were $28.3 million and $29.6 million, respectively, of receivables from insurance companies to cover claims in excess of the Company’s deductible.</w:t>
      </w:r>
    </w:p>
    <w:p>
      <w:pPr>
        <w:spacing w:after="0" w:line="13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Financial instruments which potentially subject the Company to concentrations of credit risk are primarily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14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average cost or net realizable value.</w:t>
      </w:r>
    </w:p>
    <w:p>
      <w:pPr>
        <w:spacing w:after="0" w:line="22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Maintenance and Repairs. </w:t>
      </w:r>
      <w:r>
        <w:rPr>
          <w:rFonts w:ascii="Times New Roman" w:cs="Times New Roman" w:eastAsia="Times New Roman" w:hAnsi="Times New Roman"/>
          <w:sz w:val="18"/>
          <w:szCs w:val="18"/>
          <w:color w:val="auto"/>
        </w:rPr>
        <w:t>Property is recorded at cost or acquisition date fair value; improvements and betterments are capitalized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Depreciation is recorded using the straight-line method over the estimated useful lives of the individual assets as follows: marine transportation equipment, 5-40 years; buildings, 10-40 years; other equipment, 2-10 years; and leasehold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improves the operating capacity, or replaces significant components of the vessel, which results in the costs being capitalized.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balances of property and equipment – net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39,567</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5,234,475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5,029,653</w:t>
            </w:r>
          </w:p>
        </w:tc>
        <w:tc>
          <w:tcPr>
            <w:tcW w:w="100" w:type="dxa"/>
            <w:vAlign w:val="bottom"/>
          </w:tcPr>
          <w:p>
            <w:pPr>
              <w:spacing w:after="0"/>
              <w:rPr>
                <w:sz w:val="18"/>
                <w:szCs w:val="18"/>
                <w:color w:val="auto"/>
              </w:rPr>
            </w:pPr>
          </w:p>
        </w:tc>
      </w:tr>
      <w:tr>
        <w:trPr>
          <w:trHeight w:val="216"/>
        </w:trPr>
        <w:tc>
          <w:tcPr>
            <w:tcW w:w="8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other equipment</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745,897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641,871</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104,679</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112,947</w:t>
            </w:r>
          </w:p>
        </w:tc>
        <w:tc>
          <w:tcPr>
            <w:tcW w:w="100" w:type="dxa"/>
            <w:vAlign w:val="bottom"/>
          </w:tcPr>
          <w:p>
            <w:pPr>
              <w:spacing w:after="0"/>
              <w:rPr>
                <w:sz w:val="18"/>
                <w:szCs w:val="18"/>
                <w:color w:val="auto"/>
              </w:rPr>
            </w:pPr>
          </w:p>
        </w:tc>
      </w:tr>
      <w:tr>
        <w:trPr>
          <w:trHeight w:val="210"/>
        </w:trPr>
        <w:tc>
          <w:tcPr>
            <w:tcW w:w="8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6,123,208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5,824,038</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(2,100,242 )</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(1,962,933 )</w:t>
            </w:r>
          </w:p>
        </w:tc>
      </w:tr>
      <w:tr>
        <w:trPr>
          <w:trHeight w:val="249"/>
        </w:trPr>
        <w:tc>
          <w:tcPr>
            <w:tcW w:w="8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4,022,966</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Drydocking on Ocean-Going Vessels. </w:t>
      </w:r>
      <w:r>
        <w:rPr>
          <w:rFonts w:ascii="Times New Roman" w:cs="Times New Roman" w:eastAsia="Times New Roman" w:hAnsi="Times New Roman"/>
          <w:sz w:val="18"/>
          <w:szCs w:val="18"/>
          <w:color w:val="auto"/>
        </w:rPr>
        <w:t>The Company’s ocean-going vessels are subject to regulatory drydocking requirements after certain periods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be inspected, have planned major maintenance performed and be recertified by the American Bureau of Shipping (“ABS”). These recertifications generally occur twice in a five-year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improve the operating capability, or replace significant components of the vessel are capitalized. The Company recognized amortization of major maintenance costs of $32.6 million, $29.0 million, and $29.0 million for the years ended December 31, 2024, 2023, and 2022, respectively, in costs of sales and operating expenses. Routine repairs and maintenance on ocean-going vessels are expensed as incurred. Interest is capitalized on the construction of new ocean-going vessels. For the years ended December 31, 2024, 2023 and 2022, no interest was capitalized.</w:t>
      </w:r>
    </w:p>
    <w:p>
      <w:pPr>
        <w:spacing w:after="0" w:line="161"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The Company expenses costs related to environmental events as they are incurred or when a loss is considered probable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reasonably estimable.</w:t>
      </w:r>
    </w:p>
    <w:p>
      <w:pPr>
        <w:spacing w:after="0" w:line="11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excess of the purchase price over the fair value of identifiable net assets acquired in transactions accounted for as a purchase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goodwill. The Company conducted its annual goodwill impairment tests at November 30, 2024, 2023, and 2022. The Company will conduct goodwill impairment tests as of November 30 of subsequent years, or whenever events or circumstances indicate that interim impairment testing is necessary. The amount of goodwill impairment, if any, is typically measured based on a combination of projected discounted future operating cash flows using an appropriate discount rate and a market approach for comparable companies. The following table summarizes the changes in goodwill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Distribution and</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40" w:type="dxa"/>
            <w:vAlign w:val="bottom"/>
          </w:tcPr>
          <w:p>
            <w:pPr>
              <w:spacing w:after="0"/>
              <w:rPr>
                <w:sz w:val="15"/>
                <w:szCs w:val="15"/>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and 2024 (gross)</w:t>
            </w: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505,784</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560,155</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impairment and amortization</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(237,626 )</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(389,565 )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(627,191 )</w:t>
            </w:r>
          </w:p>
        </w:tc>
        <w:tc>
          <w:tcPr>
            <w:tcW w:w="0" w:type="dxa"/>
            <w:vAlign w:val="bottom"/>
          </w:tcPr>
          <w:p>
            <w:pPr>
              <w:spacing w:after="0"/>
              <w:rPr>
                <w:sz w:val="1"/>
                <w:szCs w:val="1"/>
                <w:color w:val="auto"/>
              </w:rPr>
            </w:pPr>
          </w:p>
        </w:tc>
      </w:tr>
      <w:tr>
        <w:trPr>
          <w:trHeight w:val="250"/>
        </w:trPr>
        <w:tc>
          <w:tcPr>
            <w:tcW w:w="1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and 2024</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268,158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Other intangibles include assets for favorable contracts and customer relationships, distributorship and dealership agreements,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and non-compete agreements. The following table summarizes the balances of other intangible assets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 gross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182,708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(148,302 )</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(141,695 )</w:t>
            </w:r>
          </w:p>
        </w:tc>
      </w:tr>
      <w:tr>
        <w:trPr>
          <w:trHeight w:val="250"/>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costs of intangible assets and liabilities are amortized to expense in a systematic and rational manner over their estimated useful lives. For the years ended December 31, 2024, 2023, and 2022, the amortization expense for intangibles was $8.6 million, $8.1 million, and $7.6 million, respectively. Estimated net amortization expense for amortizable intangible assets for the next five years (2025 – 2029)</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is approximately $8.5 million, $6.3 million, $5.0 million, $3.5 million, and $3.5 million, respectively, and $7.6 million thereafter. As of December 31, 2024, the weighted average amortization period for intangible assets was approximately six years.</w:t>
      </w:r>
    </w:p>
    <w:p>
      <w:pPr>
        <w:spacing w:after="0" w:line="13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majority of marine transportation revenue is derived from term contracts, ranging from one to five years, some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renewal options, and the remainder is from spot contracts. The majority of the term contracts, by revenue, are for terms of one year. The Company provides marine transportation services for its customers and, in almost all cases, does not assume ownership of the products it transports. The Company enters into agreements with its customers to transport cargo from a designated origin to a designated destination at a set rate (affreightment) or at a daily rate (time charter). The rate may or may not escalate during the term of the contract, however, the base rate generally remains constant and contracts often include escalation provisions to recover changes in specific costs such as fuel. Time charter or contracts of affreightment of one year or greater are considered term contract revenues and agreements of less than a year are included in spot contract revenues. Spot contracts typically involve an agreement with a customer to move cargo from a specific origin to a designated destination for a rate generally negotiated at the time the cargo movement takes place. Spot contract rates are typically at the current “market” rate, including fuel, and are subject to market volatility. The Company uses a voyage accounting method of revenue recognition for its marine transportation revenues which allocates voyage revenue based on the percent of the voyage completed during the period. The performance of the service is invoiced as the transaction occurs and payment is required depending on each specific customer’s credit.</w:t>
      </w:r>
    </w:p>
    <w:p>
      <w:pPr>
        <w:spacing w:after="0" w:line="15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Distribution products and services are generally sold based upon purchase orders or preferential service agreements with the customer that include fixed or determinable prices. Parts sales are recognized when control transfers to the customer, generally when title passes upon shipment to customers. Service revenue is recognized over time as the service is provided using measures of progress utilizing hours worked or costs incurred as a percentage of estimated hours or expected costs. Revenue from rental agreements is generally recognized on a straight-line basis over the rental period. The Company recognizes the revenues on manufacturing activities upon shipment and transfer of control to the customer. The transactions in the distribution and services segment are typically invoiced as parts are shipped or upon the completion of the service job. Contract manufacturing activities are generally invoiced upon shipment and the Company will often get deposits from its customers prior to starting work, or progress payments during the project depending on the credit worthiness of the customer and the size of the project.</w:t>
      </w:r>
    </w:p>
    <w:p>
      <w:pPr>
        <w:spacing w:after="0" w:line="149"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The Company has share-based compensation plans covering selected officers and other key employees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Board of Directors. Stock-based grants made under the Company’s stock plans are measured at fair value on the date of the grant and the cost for all grants made under the director plan and for grants made under the employee plan is generally recognized ratably over the vesting period of the restricted stock unit (“RSU”), stock option, or restricted stock. The employee plan, however,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Stock option grants are valued at the date of grant as calculated under the Black-Scholes option pricing model. The Company accounts for forfeitures as they occur. The Company’s stock-based compensation plans are more fully described in Note 8, Stock Award Plans.</w:t>
      </w:r>
    </w:p>
    <w:p>
      <w:pPr>
        <w:spacing w:after="0" w:line="15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Taxes on Income. </w:t>
      </w:r>
      <w:r>
        <w:rPr>
          <w:rFonts w:ascii="Times New Roman" w:cs="Times New Roman" w:eastAsia="Times New Roman" w:hAnsi="Times New Roman"/>
          <w:sz w:val="18"/>
          <w:szCs w:val="18"/>
          <w:color w:val="auto"/>
        </w:rPr>
        <w:t>The Company follows the asset and liability method of accounting for income taxes. Under the asset and liability method,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Treasury Stock. </w:t>
      </w:r>
      <w:r>
        <w:rPr>
          <w:rFonts w:ascii="Times New Roman" w:cs="Times New Roman" w:eastAsia="Times New Roman" w:hAnsi="Times New Roman"/>
          <w:sz w:val="18"/>
          <w:szCs w:val="18"/>
          <w:color w:val="auto"/>
        </w:rPr>
        <w:t>The Company follows the average cost method of accounting for treasury stock transactions.</w:t>
      </w:r>
    </w:p>
    <w:p>
      <w:pPr>
        <w:spacing w:after="0" w:line="185"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and for Long-lived Assets to Be Disposed Of. </w:t>
      </w:r>
      <w:r>
        <w:rPr>
          <w:rFonts w:ascii="Times New Roman" w:cs="Times New Roman" w:eastAsia="Times New Roman" w:hAnsi="Times New Roman"/>
          <w:sz w:val="18"/>
          <w:szCs w:val="18"/>
          <w:color w:val="auto"/>
        </w:rPr>
        <w:t>The Company performs an impairment assessment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amount of long-lived assets may not be recoverable.</w:t>
      </w:r>
    </w:p>
    <w:p>
      <w:pPr>
        <w:spacing w:after="0" w:line="13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generally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triggering event is identified, the Company compares the carrying amount of the asset group to the estimated undiscounted future cash flows expected to result from the use of the asset group. If the carrying amount of the asset group exceeds the estimated undiscounted future cash flows, the Company measures the amount of the impairment by comparing the carrying amount of the asset group to its estimated fair value. Assets to be disposed of are reported at the lower of the carrying amount or fair value less costs to sell.</w:t>
      </w:r>
    </w:p>
    <w:p>
      <w:pPr>
        <w:spacing w:after="0" w:line="15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The accounting guidance for using fair value to measure certain assets and liabilities establishes a three tier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hierarchy, 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 The fair value of the Company’s debt instruments is described in Note 5, Long-Term Debt.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to improve reportable segment disclosure requirements. The amendments require disclosure of significant segment expenses regularly provided to the chief operating decision maker (“CODM”) as well as other segment items, extend certain annual disclosures to interim periods, clarify the applicability to single reportable segment entities, permit more than one measure of profit or loss to be reported under certain conditions, and require disclosure of the title and position of the CODM. The Company adopted ASU 2023-07 on January 1, 2024 on a retrospective basis and the adoption did not have an impact on the Company’s consolidated financial position, results of operations or cash flows.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requires entities to disclose additional information in specified categories with respect to the reconciliation of the effective tax rate to the statutory rate for federal, state, and foreign income taxes. ASU 2023-09 is effective for annual periods beginning after December 15, 2024, with early adoption permitted. The Company is currently evaluating the impact that the adoption of this standard will have on its consolidated financial statements.</w:t>
      </w:r>
    </w:p>
    <w:p>
      <w:pPr>
        <w:spacing w:after="0" w:line="13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Reporting Comprehensive Income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Expense Disaggregation Disclosures (Subtopic 220-40): Disaggregation of Income Statement Expenses” (“ASU 2024-03”), which requires incremental disclosures about specific expense categories, including but not limited to, purchases of inventory, employee compensation, depreciation, amortization and selling expenses. The amendments are effective for annual periods beginning after December 15, 2026, and for interim periods beginning after December 15, 2027. Early adoption is permitted and the amendments may be applied either prospectively or retrospectively. The Company is currently evaluating the impact that the adoption of this standard will have on its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8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 Assets acquired consisted primarily of property and equipment.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1,553,232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1,416,483</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1,277,010</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359,818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305,454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1,913,050</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1,721,937</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1,616,967</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 and services segment: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621,991</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624,581</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576,561</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Power generation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484,972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403,576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256,713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341,546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334,513</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1,352,826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1,167,787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-890905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-890905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Company’s revenue is measured based on consideration specified in its contracts with its customers. The Company recognizes revenue over time as it provides services to its customers, or at the point in time that control over a part or product transfers to its customer.</w:t>
      </w:r>
    </w:p>
    <w:p>
      <w:pPr>
        <w:spacing w:after="0" w:line="119"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 Contract liabilities represent advance consideration received from customers, and are recognized as revenue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a point in time as the related performance obligation is satisfied. Revenues recognized during the years ended December 31, 2024, 2023, and 2022, that were included in the opening contract liability balances were $113.8 million, $84.0 million and $61.7 million, respectively. The Company has recognized all contract liabilities within the deferred revenues financial statement caption on the balance sheet. The Company did not have any contract assets at December 31, 2024 or December 31, 2023. The Company applies the practical expedient that allows non-disclosure of information about remaining performance obligations that have original expected durations of one year or less.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Data</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w:t>
      </w:r>
      <w:r>
        <w:rPr>
          <w:rFonts w:ascii="Times New Roman" w:cs="Times New Roman" w:eastAsia="Times New Roman" w:hAnsi="Times New Roman"/>
          <w:sz w:val="18"/>
          <w:szCs w:val="18"/>
          <w:color w:val="auto"/>
        </w:rPr>
        <w:t>— Provides marine transportation by United States flagged vessels principally of liquid cargoes throughout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w:t>
      </w:r>
      <w:r>
        <w:rPr>
          <w:rFonts w:ascii="Times New Roman" w:cs="Times New Roman" w:eastAsia="Times New Roman" w:hAnsi="Times New Roman"/>
          <w:sz w:val="18"/>
          <w:szCs w:val="18"/>
          <w:color w:val="auto"/>
        </w:rPr>
        <w:t>— Provides after-market services and genuine replacement parts for engines, transmissions, reduction gears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used in oilfield services, marine, power generation, on-highway, and other industrial applications. The Company also rents equipment including generators, industrial compressors, high 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5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by the Company’s CODM, its Chief Executive Officer, based on fundamental differences in their operations. The Company’s accounting policies for the business segments are the same as those described in Note 1, Summary of Significant Accounting Policies. The CODM evaluates the performance of the Company’s segments based on the contributions to operating income of the respective segments, and before income taxes, interest, gains or losses on disposition of assets, other nonoperating income, noncontrolling interests, accounting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assets of each segment with one another.</w:t>
      </w:r>
    </w:p>
    <w:p>
      <w:pPr>
        <w:spacing w:after="0" w:line="1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Intersegment revenues, based on market-based pricing, of KDS from the marine transportation segment (“KMT”) of $26.1 million, $39.8 million, and $31.9 million in 2024, 2023, and 2022, respectively, as well as the related intersegment profit of $2.6 million, $4.0 million, and $3.2 million in 2024, 2023, and 2022, respectively, have been eliminated from the tables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1" w:name="page62"/>
    <w:bookmarkEnd w:id="61"/>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reportable segment the revenues, income or loss, depreciation and amortization, capital expenditures and total assets attributable to the principal activities of the Company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 from</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KMT</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KMT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KDS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KMT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KDS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60" w:type="dxa"/>
            <w:vAlign w:val="bottom"/>
            <w:vMerge w:val="continue"/>
          </w:tcPr>
          <w:p>
            <w:pPr>
              <w:spacing w:after="0"/>
              <w:rPr>
                <w:sz w:val="10"/>
                <w:szCs w:val="10"/>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1,913,050</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1,352,826</w:t>
            </w:r>
          </w:p>
        </w:tc>
        <w:tc>
          <w:tcPr>
            <w:tcW w:w="4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3,265,876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1,721,937</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1,369,703</w:t>
            </w: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3,091,640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1,616,967</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1,167,787</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2,784,754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external customers</w:t>
            </w: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Costs of sales and</w:t>
            </w:r>
          </w:p>
        </w:tc>
        <w:tc>
          <w:tcPr>
            <w:tcW w:w="1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1,188,794</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1,008,008</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2,196,802</w:t>
            </w: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1,136,526</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1,040,905</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2,177,431</w:t>
            </w:r>
          </w:p>
        </w:tc>
        <w:tc>
          <w:tcPr>
            <w:tcW w:w="10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1,146,657</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913,624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2,060,281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Administrative</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76,578</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89,512</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166,090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75,829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89,052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164,881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71,054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81,763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152,817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payroll expense</w:t>
            </w: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Taxes, other than</w:t>
            </w:r>
          </w:p>
        </w:tc>
        <w:tc>
          <w:tcPr>
            <w:tcW w:w="1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26,476</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34,805</w:t>
            </w: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27,602</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7,051</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34,653</w:t>
            </w:r>
          </w:p>
        </w:tc>
        <w:tc>
          <w:tcPr>
            <w:tcW w:w="10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28,235</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34,943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on income</w:t>
            </w:r>
          </w:p>
        </w:tc>
        <w:tc>
          <w:tcPr>
            <w:tcW w:w="1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Depreciation and</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197,347</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35,448</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232,795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184,225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19,842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204,067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177,551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194,327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Other segment</w:t>
            </w:r>
          </w:p>
        </w:tc>
        <w:tc>
          <w:tcPr>
            <w:tcW w:w="1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60,479</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102,927</w:t>
            </w: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163,406</w:t>
            </w: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58,812</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98,372</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157,184</w:t>
            </w:r>
          </w:p>
        </w:tc>
        <w:tc>
          <w:tcPr>
            <w:tcW w:w="10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57,286</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81,879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139,165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360" w:type="dxa"/>
            <w:vAlign w:val="bottom"/>
            <w:tcBorders>
              <w:bottom w:val="single" w:sz="8" w:color="CFF0FC"/>
            </w:tcBorders>
            <w:shd w:val="clear" w:color="auto" w:fill="CFF0FC"/>
          </w:tcPr>
          <w:p>
            <w:pPr>
              <w:ind w:left="200"/>
              <w:spacing w:after="0" w:line="158" w:lineRule="exact"/>
              <w:rPr>
                <w:sz w:val="20"/>
                <w:szCs w:val="20"/>
                <w:color w:val="auto"/>
              </w:rPr>
            </w:pPr>
            <w:r>
              <w:rPr>
                <w:rFonts w:ascii="Times New Roman" w:cs="Times New Roman" w:eastAsia="Times New Roman" w:hAnsi="Times New Roman"/>
                <w:sz w:val="14"/>
                <w:szCs w:val="14"/>
                <w:color w:val="auto"/>
              </w:rPr>
              <w:t>items (a)</w:t>
            </w:r>
          </w:p>
        </w:tc>
        <w:tc>
          <w:tcPr>
            <w:tcW w:w="1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60" w:type="dxa"/>
            <w:vAlign w:val="bottom"/>
          </w:tcPr>
          <w:p>
            <w:pPr>
              <w:ind w:left="380"/>
              <w:spacing w:after="0" w:line="119" w:lineRule="exact"/>
              <w:rPr>
                <w:sz w:val="20"/>
                <w:szCs w:val="20"/>
                <w:color w:val="auto"/>
              </w:rPr>
            </w:pPr>
            <w:r>
              <w:rPr>
                <w:rFonts w:ascii="Times New Roman" w:cs="Times New Roman" w:eastAsia="Times New Roman" w:hAnsi="Times New Roman"/>
                <w:sz w:val="13"/>
                <w:szCs w:val="13"/>
                <w:color w:val="auto"/>
              </w:rPr>
              <w:t>Segment</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363,376</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108,602</w:t>
            </w:r>
          </w:p>
        </w:tc>
        <w:tc>
          <w:tcPr>
            <w:tcW w:w="4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471,978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238,943</w:t>
            </w:r>
          </w:p>
        </w:tc>
        <w:tc>
          <w:tcPr>
            <w:tcW w:w="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114,481</w:t>
            </w: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353,424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136,184</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67,037</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203,221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Reconciliation of</w:t>
            </w: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segment operating</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Unallocated</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amounts: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ind w:left="300"/>
              <w:spacing w:after="0" w:line="126" w:lineRule="exact"/>
              <w:rPr>
                <w:sz w:val="20"/>
                <w:szCs w:val="20"/>
                <w:color w:val="auto"/>
              </w:rPr>
            </w:pPr>
            <w:r>
              <w:rPr>
                <w:rFonts w:ascii="Times New Roman" w:cs="Times New Roman" w:eastAsia="Times New Roman" w:hAnsi="Times New Roman"/>
                <w:sz w:val="14"/>
                <w:szCs w:val="14"/>
                <w:color w:val="auto"/>
              </w:rPr>
              <w:t>General corporate</w:t>
            </w: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(18,785 )</w:t>
            </w: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(23,341 )</w:t>
            </w: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(18,614 )</w:t>
            </w: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expenses</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Impairments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(56,303 )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60" w:type="dxa"/>
            <w:vAlign w:val="bottom"/>
            <w:shd w:val="clear" w:color="auto" w:fill="CFF0FC"/>
          </w:tcPr>
          <w:p>
            <w:pPr>
              <w:ind w:left="300"/>
              <w:spacing w:after="0" w:line="126" w:lineRule="exact"/>
              <w:rPr>
                <w:sz w:val="20"/>
                <w:szCs w:val="20"/>
                <w:color w:val="auto"/>
              </w:rPr>
            </w:pPr>
            <w:r>
              <w:rPr>
                <w:rFonts w:ascii="Times New Roman" w:cs="Times New Roman" w:eastAsia="Times New Roman" w:hAnsi="Times New Roman"/>
                <w:sz w:val="14"/>
                <w:szCs w:val="14"/>
                <w:color w:val="auto"/>
              </w:rPr>
              <w:t>Gain on</w:t>
            </w: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disposition of</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2,207</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0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60" w:type="dxa"/>
            <w:vAlign w:val="bottom"/>
            <w:tcBorders>
              <w:bottom w:val="single" w:sz="8" w:color="CFF0FC"/>
            </w:tcBorders>
            <w:shd w:val="clear" w:color="auto" w:fill="CFF0FC"/>
          </w:tcPr>
          <w:p>
            <w:pPr>
              <w:ind w:left="300"/>
              <w:spacing w:after="0" w:line="158" w:lineRule="exact"/>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60" w:type="dxa"/>
            <w:vAlign w:val="bottom"/>
          </w:tcPr>
          <w:p>
            <w:pPr>
              <w:ind w:left="380"/>
              <w:spacing w:after="0" w:line="119" w:lineRule="exact"/>
              <w:rPr>
                <w:sz w:val="20"/>
                <w:szCs w:val="20"/>
                <w:color w:val="auto"/>
              </w:rPr>
            </w:pPr>
            <w:r>
              <w:rPr>
                <w:rFonts w:ascii="Times New Roman" w:cs="Times New Roman" w:eastAsia="Times New Roman" w:hAnsi="Times New Roman"/>
                <w:sz w:val="13"/>
                <w:szCs w:val="13"/>
                <w:color w:val="auto"/>
              </w:rPr>
              <w:t>Operating</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399,097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335,092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192,886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11,041</w:t>
            </w: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(49,129 )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(52,008 )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(44,588 )</w:t>
            </w:r>
          </w:p>
        </w:tc>
        <w:tc>
          <w:tcPr>
            <w:tcW w:w="0" w:type="dxa"/>
            <w:vAlign w:val="bottom"/>
          </w:tcPr>
          <w:p>
            <w:pPr>
              <w:spacing w:after="0"/>
              <w:rPr>
                <w:sz w:val="1"/>
                <w:szCs w:val="1"/>
                <w:color w:val="auto"/>
              </w:rPr>
            </w:pPr>
          </w:p>
        </w:tc>
      </w:tr>
      <w:tr>
        <w:trPr>
          <w:trHeight w:val="119"/>
        </w:trPr>
        <w:tc>
          <w:tcPr>
            <w:tcW w:w="1360" w:type="dxa"/>
            <w:vAlign w:val="bottom"/>
            <w:shd w:val="clear" w:color="auto" w:fill="CFF0FC"/>
          </w:tcPr>
          <w:p>
            <w:pPr>
              <w:ind w:left="480"/>
              <w:spacing w:after="0" w:line="119" w:lineRule="exact"/>
              <w:rPr>
                <w:sz w:val="20"/>
                <w:szCs w:val="20"/>
                <w:color w:val="auto"/>
              </w:rPr>
            </w:pPr>
            <w:r>
              <w:rPr>
                <w:rFonts w:ascii="Times New Roman" w:cs="Times New Roman" w:eastAsia="Times New Roman" w:hAnsi="Times New Roman"/>
                <w:sz w:val="13"/>
                <w:szCs w:val="13"/>
                <w:color w:val="auto"/>
              </w:rPr>
              <w:t>Earnings</w:t>
            </w: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ind w:left="480"/>
              <w:spacing w:after="0" w:line="149" w:lineRule="exact"/>
              <w:rPr>
                <w:sz w:val="20"/>
                <w:szCs w:val="20"/>
                <w:color w:val="auto"/>
              </w:rPr>
            </w:pPr>
            <w:r>
              <w:rPr>
                <w:rFonts w:ascii="Times New Roman" w:cs="Times New Roman" w:eastAsia="Times New Roman" w:hAnsi="Times New Roman"/>
                <w:sz w:val="14"/>
                <w:szCs w:val="14"/>
                <w:color w:val="auto"/>
              </w:rPr>
              <w:t>before taxes</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362,763</w:t>
            </w: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294,125</w:t>
            </w:r>
          </w:p>
        </w:tc>
        <w:tc>
          <w:tcPr>
            <w:tcW w:w="10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tcBorders>
              <w:bottom w:val="single" w:sz="8" w:color="CFF0FC"/>
            </w:tcBorders>
            <w:shd w:val="clear" w:color="auto" w:fill="CFF0FC"/>
          </w:tcPr>
          <w:p>
            <w:pPr>
              <w:ind w:left="480"/>
              <w:spacing w:after="0" w:line="125" w:lineRule="exact"/>
              <w:rPr>
                <w:sz w:val="20"/>
                <w:szCs w:val="20"/>
                <w:color w:val="auto"/>
              </w:rPr>
            </w:pPr>
            <w:r>
              <w:rPr>
                <w:rFonts w:ascii="Times New Roman" w:cs="Times New Roman" w:eastAsia="Times New Roman" w:hAnsi="Times New Roman"/>
                <w:sz w:val="14"/>
                <w:szCs w:val="14"/>
                <w:color w:val="auto"/>
              </w:rPr>
              <w:t>on income</w:t>
            </w:r>
          </w:p>
        </w:tc>
        <w:tc>
          <w:tcPr>
            <w:tcW w:w="1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-2150745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-2150745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-2150745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-2150745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-2150745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-2150745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-2150745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-2150745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-702310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-702310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includes:</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KMT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selling expense, professional service expense, occupancy expense, and certain overhead expenses.</w:t>
      </w:r>
    </w:p>
    <w:p>
      <w:pPr>
        <w:spacing w:after="0" w:line="3" w:lineRule="exact"/>
        <w:rPr>
          <w:sz w:val="20"/>
          <w:szCs w:val="20"/>
          <w:color w:val="auto"/>
        </w:rPr>
      </w:pPr>
    </w:p>
    <w:p>
      <w:pPr>
        <w:ind w:left="1500" w:right="20"/>
        <w:spacing w:after="0" w:line="291" w:lineRule="auto"/>
        <w:rPr>
          <w:sz w:val="20"/>
          <w:szCs w:val="20"/>
          <w:color w:val="auto"/>
        </w:rPr>
      </w:pPr>
      <w:r>
        <w:rPr>
          <w:rFonts w:ascii="Times New Roman" w:cs="Times New Roman" w:eastAsia="Times New Roman" w:hAnsi="Times New Roman"/>
          <w:sz w:val="18"/>
          <w:szCs w:val="18"/>
          <w:color w:val="auto"/>
        </w:rPr>
        <w:t xml:space="preserve">KDS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inventory-related expense, warranty expense, selling expense, professional service expense, occupancy expense, and certain overhead expenses.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197,347</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184,225</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100" w:type="dxa"/>
            <w:vAlign w:val="bottom"/>
          </w:tcPr>
          <w:p>
            <w:pPr>
              <w:spacing w:after="0"/>
              <w:rPr>
                <w:sz w:val="18"/>
                <w:szCs w:val="18"/>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4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18"/>
                <w:szCs w:val="18"/>
                <w:color w:val="auto"/>
              </w:rPr>
            </w:pPr>
          </w:p>
        </w:tc>
      </w:tr>
      <w:tr>
        <w:trPr>
          <w:trHeight w:val="250"/>
        </w:trPr>
        <w:tc>
          <w:tcPr>
            <w:tcW w:w="5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240,322</w:t>
            </w:r>
          </w:p>
        </w:tc>
        <w:tc>
          <w:tcPr>
            <w:tcW w:w="7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211,156</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201,443</w:t>
            </w:r>
          </w:p>
        </w:tc>
        <w:tc>
          <w:tcPr>
            <w:tcW w:w="100" w:type="dxa"/>
            <w:vAlign w:val="bottom"/>
            <w:shd w:val="clear" w:color="auto" w:fill="CFF0FC"/>
          </w:tcPr>
          <w:p>
            <w:pPr>
              <w:spacing w:after="0"/>
              <w:rPr>
                <w:sz w:val="21"/>
                <w:szCs w:val="21"/>
                <w:color w:val="auto"/>
              </w:rPr>
            </w:pPr>
          </w:p>
        </w:tc>
      </w:tr>
      <w:tr>
        <w:trPr>
          <w:trHeight w:val="196"/>
        </w:trPr>
        <w:tc>
          <w:tcPr>
            <w:tcW w:w="54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KMT</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247,768</w:t>
            </w:r>
          </w:p>
        </w:tc>
        <w:tc>
          <w:tcPr>
            <w:tcW w:w="7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255,411</w:t>
            </w: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147,170</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KDS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140,769</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100" w:type="dxa"/>
            <w:vAlign w:val="bottom"/>
          </w:tcPr>
          <w:p>
            <w:pPr>
              <w:spacing w:after="0"/>
              <w:rPr>
                <w:sz w:val="18"/>
                <w:szCs w:val="18"/>
                <w:color w:val="auto"/>
              </w:rPr>
            </w:pPr>
          </w:p>
        </w:tc>
      </w:tr>
      <w:tr>
        <w:trPr>
          <w:trHeight w:val="216"/>
        </w:trPr>
        <w:tc>
          <w:tcPr>
            <w:tcW w:w="5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20" w:type="dxa"/>
            <w:vAlign w:val="bottom"/>
          </w:tcPr>
          <w:p>
            <w:pPr>
              <w:spacing w:after="0"/>
              <w:rPr>
                <w:sz w:val="18"/>
                <w:szCs w:val="18"/>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342,660</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401,730</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172,606</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5420" w:type="dxa"/>
            <w:vAlign w:val="bottom"/>
          </w:tcPr>
          <w:p>
            <w:pPr>
              <w:spacing w:after="0"/>
              <w:rPr>
                <w:sz w:val="24"/>
                <w:szCs w:val="24"/>
                <w:color w:val="auto"/>
              </w:rPr>
            </w:pPr>
          </w:p>
        </w:tc>
        <w:tc>
          <w:tcPr>
            <w:tcW w:w="100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62</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-1628140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-1610995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-1628140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-1610995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-1054100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-1054100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KMT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4,578,616</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4,454,931</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KDS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1,115,781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1,156,384</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157,555</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Pr>
          <w:p>
            <w:pPr>
              <w:spacing w:after="0"/>
              <w:rPr>
                <w:sz w:val="18"/>
                <w:szCs w:val="18"/>
                <w:color w:val="auto"/>
              </w:rPr>
            </w:pPr>
          </w:p>
        </w:tc>
      </w:tr>
      <w:tr>
        <w:trPr>
          <w:trHeight w:val="250"/>
        </w:trPr>
        <w:tc>
          <w:tcPr>
            <w:tcW w:w="8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5,851,952</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shd w:val="clear" w:color="auto" w:fill="CFF0FC"/>
          </w:tcPr>
          <w:p>
            <w:pPr>
              <w:spacing w:after="0"/>
              <w:rPr>
                <w:sz w:val="21"/>
                <w:szCs w:val="21"/>
                <w:color w:val="auto"/>
              </w:rPr>
            </w:pPr>
          </w:p>
        </w:tc>
      </w:tr>
      <w:tr>
        <w:trPr>
          <w:trHeight w:val="413"/>
        </w:trPr>
        <w:tc>
          <w:tcPr>
            <w:tcW w:w="82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64"/>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154,655</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108,306</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8"/>
                <w:szCs w:val="18"/>
                <w:color w:val="auto"/>
              </w:rPr>
            </w:pPr>
          </w:p>
        </w:tc>
      </w:tr>
      <w:tr>
        <w:trPr>
          <w:trHeight w:val="249"/>
        </w:trPr>
        <w:tc>
          <w:tcPr>
            <w:tcW w:w="8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157,555</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-1087755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-1071245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475,920</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49,955</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212,650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200,698</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1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 (b)</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(3,278 )</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(5,473 )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874,948</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835,755</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100" w:type="dxa"/>
            <w:vAlign w:val="bottom"/>
            <w:tcBorders>
              <w:top w:val="single" w:sz="8" w:color="CFF0FC"/>
            </w:tcBorders>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-453390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-453390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-170815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5.6% and 6.8% at December 31, 2024 and 2023, respectively.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$1.0 million attributable to the 2027 Revolving Credit Facility included in other assets at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aggregate payments due on the long-term debt in each of the next five years were as follows (in thousands):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00" w:type="dxa"/>
            <w:vAlign w:val="bottom"/>
            <w:shd w:val="clear" w:color="auto" w:fill="CFF0FC"/>
          </w:tcPr>
          <w:p>
            <w:pPr>
              <w:spacing w:after="0"/>
              <w:rPr>
                <w:sz w:val="18"/>
                <w:szCs w:val="18"/>
                <w:color w:val="auto"/>
              </w:rPr>
            </w:pP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FF0FC"/>
          </w:tcPr>
          <w:p>
            <w:pPr>
              <w:spacing w:after="0"/>
              <w:rPr>
                <w:sz w:val="18"/>
                <w:szCs w:val="18"/>
                <w:color w:val="auto"/>
              </w:rPr>
            </w:pP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r>
      <w:tr>
        <w:trPr>
          <w:trHeight w:val="216"/>
        </w:trPr>
        <w:tc>
          <w:tcPr>
            <w:tcW w:w="9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r>
      <w:tr>
        <w:trPr>
          <w:trHeight w:val="249"/>
        </w:trPr>
        <w:tc>
          <w:tcPr>
            <w:tcW w:w="98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the beginning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3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the fourth quarter of 2022, the Company repaid $80 million under the 2027 Term Loan prior to scheduled maturities. In the fourth quarter of 2024, the Company repaid $100 million under the 2027 Term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3" w:name="page64"/>
    <w:bookmarkEnd w:id="6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prior to scheduled maturities. As a result, no repayments are required until March 31, 2027. Outstanding letters of credit under the 2027 Revolving Credit Facility were $6,000 and available borrowing capacity was $500 million as of December 31, 2024.</w:t>
      </w:r>
    </w:p>
    <w:p>
      <w:pPr>
        <w:spacing w:after="0" w:line="13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2027 Term Loan is repayable in quarterly installments, with no repayments until March 31, 2027,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47" w:lineRule="exact"/>
        <w:rPr>
          <w:sz w:val="20"/>
          <w:szCs w:val="20"/>
          <w:color w:val="auto"/>
        </w:rPr>
      </w:pPr>
    </w:p>
    <w:p>
      <w:pPr>
        <w:jc w:val="both"/>
        <w:ind w:firstLine="433"/>
        <w:spacing w:after="0" w:line="256" w:lineRule="auto"/>
        <w:rPr>
          <w:sz w:val="20"/>
          <w:szCs w:val="20"/>
          <w:color w:val="auto"/>
        </w:rPr>
      </w:pPr>
      <w:r>
        <w:rPr>
          <w:rFonts w:ascii="Times New Roman" w:cs="Times New Roman" w:eastAsia="Times New Roman" w:hAnsi="Times New Roman"/>
          <w:sz w:val="18"/>
          <w:szCs w:val="18"/>
          <w:color w:val="auto"/>
        </w:rPr>
        <w:t>The Company has $500 million of 4.2% senior unsecured notes due March 1, 2028 (the “2028 Notes”) with U.S. Bank National Association, as trustee. No principal payments are required until maturity. Interest payments of $10.5 million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w:t>
      </w:r>
    </w:p>
    <w:p>
      <w:pPr>
        <w:spacing w:after="0" w:line="14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 Beginning in 2023, interest payments of $5.3 million are due semi-annually on January 19 and July 19 of each year, with the exception of the first payment on January 19, 2023, which was $0.5 million. The 2033 Notes are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were repaid using a combination of the proceeds from the issuance of the 2033 Notes and availability under the 2027 Revolving Credit Facility.</w:t>
      </w:r>
    </w:p>
    <w:p>
      <w:pPr>
        <w:spacing w:after="0" w:line="16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a $15.0 million line of credit (“Credit Line”) with Bank of America, N.A. (“Bank of America”) for short-term liquidity needs and letters of credit, with a maturity date of June 30, 2026. The Credit Line allows the Company to borrow at an interest rate agreed to by Bank of America and the Company at the time each borrowing is made or continued. The Company had no borrowings outstanding under the Credit Line as of December 31, 2024. Outstanding letters of credit under the Credit Line were $6.8 million and available borrowing capacity was $8.2 million as of December 31, 2024.</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also had $8.2 million and $8.1 million of short-term unsecured loans outstanding, as of December 31, 2024 and 2023, respectively, related to its Colombia operations.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all covenants under its debt instruments.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the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42,202</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38,115</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30,263</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22,860</w:t>
            </w: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76,621</w:t>
            </w:r>
          </w:p>
        </w:tc>
        <w:tc>
          <w:tcPr>
            <w:tcW w:w="100" w:type="dxa"/>
            <w:vAlign w:val="bottom"/>
          </w:tcPr>
          <w:p>
            <w:pPr>
              <w:spacing w:after="0"/>
              <w:rPr>
                <w:sz w:val="18"/>
                <w:szCs w:val="18"/>
                <w:color w:val="auto"/>
              </w:rPr>
            </w:pPr>
          </w:p>
        </w:tc>
      </w:tr>
      <w:tr>
        <w:trPr>
          <w:trHeight w:val="209"/>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222,544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(38,647 )</w:t>
            </w:r>
          </w:p>
        </w:tc>
      </w:tr>
      <w:tr>
        <w:trPr>
          <w:trHeight w:val="250"/>
        </w:trPr>
        <w:tc>
          <w:tcPr>
            <w:tcW w:w="66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183,897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86"/>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45,844</w:t>
            </w:r>
          </w:p>
        </w:tc>
        <w:tc>
          <w:tcPr>
            <w:tcW w:w="10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42,821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42,319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38,991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30,005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25,365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(3,396 )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(3,223 )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(305 )</w:t>
            </w:r>
          </w:p>
        </w:tc>
      </w:tr>
      <w:tr>
        <w:trPr>
          <w:trHeight w:val="249"/>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83,375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71,979</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806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9 years</w:t>
            </w:r>
          </w:p>
        </w:tc>
        <w:tc>
          <w:tcPr>
            <w:tcW w:w="28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-2248535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-2231390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-928370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-911225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-928370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-911225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-928370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-911225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Impairments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the fourth quarter of 2024, the Company recognized a $56.3 million non-cash impairment charge in the KDS segment primarily associated with conventional diesel fracturing equipment inventory. Based on the current market conditions and its view on the industry outlook, including decreased customer demand for conventional diesel fracturing equipment driven by an industry-wide shift to electric fracturing equipment, the Company determined that certain inventory had limited commercial opportunity, and the cost of these inventories exceeded its net realizable value. The Company determined the net realizable value of the inventory using a combination of the cost and market approaches.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Award Plans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share-based compensation plans which are described below. The compensation cost that has been charged against earnings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stock award plans and the income tax benefit recognized in the statement of earnings for stock awards were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15,549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00" w:type="dxa"/>
            <w:vAlign w:val="bottom"/>
            <w:shd w:val="clear" w:color="auto" w:fill="CFF0FC"/>
          </w:tcPr>
          <w:p>
            <w:pPr>
              <w:spacing w:after="0"/>
              <w:rPr>
                <w:sz w:val="18"/>
                <w:szCs w:val="18"/>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employee stock award plan for selected officers and other key employees which provides for the issuance of RSUs, stock options, restricted stock awards, and performance awards. Restricted stock and RSUs generally vest ratably over five years, however, the plan includes a provision for the continued vesting of unvested stock options and RSUs for employees who meet certain years of service and age requirements at the time of their retirement. The provision results in shorter expense accrual periods on stock options and RSUs granted to employees who are nearing retirement and meet the service and age requirements. At December 31, 2024, there were 1,892,334 shares available for future grants under the Plan.</w:t>
      </w:r>
    </w:p>
    <w:p>
      <w:pPr>
        <w:spacing w:after="0" w:line="14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jc w:val="both"/>
        <w:spacing w:after="0" w:line="282" w:lineRule="auto"/>
        <w:rPr>
          <w:sz w:val="20"/>
          <w:szCs w:val="20"/>
          <w:color w:val="auto"/>
        </w:rPr>
      </w:pPr>
      <w:r>
        <w:rPr>
          <w:rFonts w:ascii="Times New Roman" w:cs="Times New Roman" w:eastAsia="Times New Roman" w:hAnsi="Times New Roman"/>
          <w:sz w:val="18"/>
          <w:szCs w:val="18"/>
          <w:color w:val="auto"/>
        </w:rPr>
        <w:t>awards payable in stock have been awarded under the plan and no outstanding stock options under the employee plan were issued with stock appreciation rights.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employee plan described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or</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Nonincentive</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255,245</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(124,397 )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employee plan at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0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106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46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$73.29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70,038</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$73.93</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54,879</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$75.50</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$73.29 – $75.50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-170815</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unvested restricted stock awards under the employee plan at December 31, 2024 and 2023 and no restricted stock awards were granted under the employee plan during 2024, 2023, and 2022.</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RSU activity under the employee plan described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8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Unvested RSUs</w:t>
            </w: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554,604</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167,290</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(192,585 )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(13,930 )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515,379</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for the years ended December 31, 2024, 2023, and 2022 was $84.12, $72.23, and $66.13, respectively.</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January 2025, the Company granted 126,500 RSUs to selected officers and other key employees under its employee stock award plan, which all vest ratably over five years.</w:t>
      </w:r>
    </w:p>
    <w:p>
      <w:pPr>
        <w:spacing w:after="0" w:line="13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December 31, 2024, 354,736 shares were available for future grants under the director plan. The director stock award plan is intended as an incentive to attract and retain qualified independent directors.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director plan described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 or</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Nonincentive</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30,345</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(21,865 )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the Company’s outstanding and exercisable stock options under the director plan at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0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11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3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$84.90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$70.65 – $85.30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-170815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restricted stock award activity under the director plan described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28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w:t>
            </w: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(15,244 )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awards granted under the director plan for the years ended December 31, 2024, 2023, and 2022 were $109.99, $72.67, and $64.61, respectively.</w:t>
      </w:r>
    </w:p>
    <w:p>
      <w:pPr>
        <w:spacing w:after="0" w:line="13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stock options exercised under all of the Company’s plans was $5.4 million, $1.5 million, and $0.4 million for the years ended December 31, 2024, 2023, and 2022, respectively.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total fair value of all the restricted stock vestings under all of the Company’s plans was $1.9 million, $2.5 million, and $3.2 million for the years ended December 31, 2024, 2023, and 2022, respectively. The actual tax benefit realized for tax deductions from restricted stock vestings was $0.4 million, $0.6 million, and $0.8 million for the years ended December 31, 2024, 2023, and 2022, respectively.</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total fair value of all the RSU vestings under the Company’s employee plan was $15.4 million, $10.9 million, and $9.5 million for the years ended December 31, 2024, 2023, and 2022, respectively. The actual tax benefit realized for tax deductions from RSU vestings was $3.7 million, $2.6 million, and $2.4 million for the years ended December 31, 2024, 2023, and 2022, respectively.</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there was $14.6 million of unrecognized compensation cost related to nonvested RSUs and none related to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are expected to be recognized over a weighted average period of approximately 2.7 years.</w:t>
      </w:r>
    </w:p>
    <w:p>
      <w:pPr>
        <w:spacing w:after="0" w:line="16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were no stock options granted under the employee plan during the years ended December 31, 2024, 2023, and 2022. The weighted average per share fair value of stock options granted under the director plan during the year ended December 31, 2023 was $32.33 and the fair value of the stock options was $0.1 million. There were no stock options granted under the director plan during the years ended December 31, 2024 and 2022. The Company currently uses treasury stock shares for restricted stock grants, RSU vestings, and stock option exercises. The fair value of each stock option was determined using the Black-Scholes option pricing model.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ind w:left="380"/>
        <w:spacing w:after="0"/>
        <w:rPr>
          <w:sz w:val="20"/>
          <w:szCs w:val="20"/>
          <w:color w:val="auto"/>
        </w:rPr>
      </w:pPr>
      <w:r>
        <w:rPr>
          <w:rFonts w:ascii="Times New Roman" w:cs="Times New Roman" w:eastAsia="Times New Roman" w:hAnsi="Times New Roman"/>
          <w:sz w:val="18"/>
          <w:szCs w:val="18"/>
          <w:color w:val="auto"/>
        </w:rPr>
        <w:t>The key input variables used in valuing the stock options granted in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2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020" w:type="dxa"/>
            <w:vAlign w:val="bottom"/>
          </w:tcPr>
          <w:p>
            <w:pPr>
              <w:spacing w:after="0"/>
              <w:rPr>
                <w:sz w:val="12"/>
                <w:szCs w:val="12"/>
                <w:color w:val="auto"/>
              </w:rPr>
            </w:pPr>
          </w:p>
        </w:tc>
        <w:tc>
          <w:tcPr>
            <w:tcW w:w="2040" w:type="dxa"/>
            <w:vAlign w:val="bottom"/>
            <w:tcBorders>
              <w:top w:val="single" w:sz="8" w:color="auto"/>
              <w:bottom w:val="single" w:sz="8" w:color="auto"/>
            </w:tcBorders>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price volatility</w:t>
            </w:r>
          </w:p>
        </w:tc>
        <w:tc>
          <w:tcPr>
            <w:tcW w:w="2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option term</w:t>
            </w: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Taxes on Income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363,563</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293,011</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164,590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362,763</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294,125</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164,975</w:t>
            </w:r>
          </w:p>
        </w:tc>
        <w:tc>
          <w:tcPr>
            <w:tcW w:w="10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36,520</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61,205</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78,068</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35,493</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U.S. State: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(2,274 )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49"/>
        </w:trPr>
        <w:tc>
          <w:tcPr>
            <w:tcW w:w="66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r>
      <w:tr>
        <w:trPr>
          <w:trHeight w:val="197"/>
        </w:trPr>
        <w:tc>
          <w:tcPr>
            <w:tcW w:w="664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Consolidated:</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44,479</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37,782</w:t>
            </w: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-2639695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-2639695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-1782445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-1782445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-1199515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-1199515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-608330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-591185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-608330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April 2023, the Company received a federal income tax refund of $70.4 million plus accrued interest.</w:t>
      </w:r>
    </w:p>
    <w:p>
      <w:pPr>
        <w:spacing w:after="0" w:line="18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Tax reform legislation in Louisiana was signed in December 2024 that included reducing the corporate income tax rate from 7.5% to 5.5% effective January 1, 2025. As a result of the new legislation, the Company recognized a one-time deferred tax benefit of $10.9 million in the 2024 fourth quarter due to the remeasurement of the Company’s Louisiana and U.S. deferred tax assets and liabilities based on the new effective Louisiana state income tax rate.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provision (benefit) for taxes on income varied from the statutory federal income tax rate due to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3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income tax statutory rate</w:t>
            </w:r>
          </w:p>
        </w:tc>
        <w:tc>
          <w:tcPr>
            <w:tcW w:w="374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21.0 %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7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(0.5 )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 net</w:t>
            </w:r>
          </w:p>
        </w:tc>
        <w:tc>
          <w:tcPr>
            <w:tcW w:w="208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37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20.9 %</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24.2 %</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3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-1053465</wp:posOffset>
            </wp:positionV>
            <wp:extent cx="1200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200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-1053465</wp:posOffset>
            </wp:positionV>
            <wp:extent cx="1200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ind w:left="38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accruals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defined benefit plans</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(19,900 )</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(9,982 )</w:t>
            </w: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26,888</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39,719</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benefits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tcPr>
          <w:p>
            <w:pPr>
              <w:spacing w:after="0"/>
              <w:rPr>
                <w:sz w:val="18"/>
                <w:szCs w:val="18"/>
                <w:color w:val="auto"/>
              </w:rPr>
            </w:pPr>
          </w:p>
        </w:tc>
      </w:tr>
      <w:tr>
        <w:trPr>
          <w:trHeight w:val="209"/>
        </w:trPr>
        <w:tc>
          <w:tcPr>
            <w:tcW w:w="8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128,401</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allowances</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(13,667 )</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(22,073 )</w:t>
            </w:r>
          </w:p>
        </w:tc>
      </w:tr>
      <w:tr>
        <w:trPr>
          <w:trHeight w:val="210"/>
        </w:trPr>
        <w:tc>
          <w:tcPr>
            <w:tcW w:w="8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70,274</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(717,808 )</w:t>
            </w: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(695,233 )</w:t>
            </w:r>
          </w:p>
        </w:tc>
      </w:tr>
      <w:tr>
        <w:trPr>
          <w:trHeight w:val="216"/>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state taxes</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(78,633 )</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(90,457 )</w:t>
            </w:r>
          </w:p>
        </w:tc>
      </w:tr>
      <w:tr>
        <w:trPr>
          <w:trHeight w:val="216"/>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(13,305 )</w:t>
            </w:r>
          </w:p>
        </w:tc>
        <w:tc>
          <w:tcPr>
            <w:tcW w:w="4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(17,195 )</w:t>
            </w:r>
          </w:p>
        </w:tc>
      </w:tr>
      <w:tr>
        <w:trPr>
          <w:trHeight w:val="20"/>
        </w:trPr>
        <w:tc>
          <w:tcPr>
            <w:tcW w:w="8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(809,746 )</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(802,885 )</w:t>
            </w:r>
          </w:p>
        </w:tc>
      </w:tr>
      <w:tr>
        <w:trPr>
          <w:trHeight w:val="20"/>
        </w:trPr>
        <w:tc>
          <w:tcPr>
            <w:tcW w:w="8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(739,472 )</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(696,557 )</w:t>
            </w:r>
          </w:p>
        </w:tc>
      </w:tr>
      <w:tr>
        <w:trPr>
          <w:trHeight w:val="20"/>
        </w:trPr>
        <w:tc>
          <w:tcPr>
            <w:tcW w:w="8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-873760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-316230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2024, the Company generated federal taxable income which was partially offset by federal net operating loss carryforwards. The Company had no federal operating loss deferred tax assets at December 31, 2024. The Company had federal operating loss deferred tax assets of $19.8 million at December 31, 2023.</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had state operating loss deferred tax assets of $16.6 million and $27.2 million at December 31, 2024 and 2023, respectively. The valuation allowance for state deferred tax assets as of December 31, 2024 and 2023 was $8.9 million and $17.0 million, respectively, related to the Company’s state net operating loss carryforwards based on the Company’s determination that it is more likely than not that the deferred tax assets will not be realized. Expiration of these state net operating loss carryforwards vary by state through 2031 and none will expire in fiscal 2025.</w:t>
      </w:r>
    </w:p>
    <w:p>
      <w:pPr>
        <w:spacing w:after="0" w:line="1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a Canadian net operating loss carryforward of $4.7 million which expires between 2037 and 2044. A full valuation allowance has been provided for this asset.</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or one of its subsidiaries files income tax returns in the United States federal jurisdiction and various state jurisdictions. During the first quarter of 2023, the Internal Revenue Service (“IRS”) communicated to the Company that it had completed its examination of the Company’s federal income tax returns for the years 2013 through 2020. With few exceptions, the Company and its subsidiaries’ state income tax returns are open to audit under the statute of limitations for the 2018 through 2023 tax years.</w:t>
      </w:r>
    </w:p>
    <w:p>
      <w:pPr>
        <w:spacing w:after="0" w:line="1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provided a liability of $1.2 million for unrecognized tax benefits related to various income tax issues which includes interest and penalties. The amount that would impact the Company’s effective tax rate, if recognized, is $1.0 million,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2025 due to the uncertainty of possible examination results.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ind w:left="3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liability for unrecognized tax benefits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9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accounts for interest and penalties related to uncertain tax positions as part of its provision for federal and state income taxes. The Company had $0.2 million of accrued liabilities for the payment of interest and penalties at both December 31,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286,707</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222,935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286,670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222,873</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09"/>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286,671</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222,873</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122,258</w:t>
            </w:r>
          </w:p>
        </w:tc>
        <w:tc>
          <w:tcPr>
            <w:tcW w:w="10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1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59,531</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-1773555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-1773555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-624840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-607695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-624840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Diluted earnings per share was computed using the treasury stock method. Certain outstanding options to purchase approximately 33,000, and 381,000 shares of common stock were excluded in the computation of diluted earnings per share as of December 31, 2023, and 2022, respectively, as such stock options would have been antidilutive. No options were antidilutive at December 31, 2024. No RSUs were antidilutive at December 31, 2024, 2023 and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Inventories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5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328,540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351,050</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65,358</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103,339</w:t>
            </w:r>
          </w:p>
        </w:tc>
        <w:tc>
          <w:tcPr>
            <w:tcW w:w="100" w:type="dxa"/>
            <w:vAlign w:val="bottom"/>
          </w:tcPr>
          <w:p>
            <w:pPr>
              <w:spacing w:after="0"/>
              <w:rPr>
                <w:sz w:val="18"/>
                <w:szCs w:val="18"/>
                <w:color w:val="auto"/>
              </w:rPr>
            </w:pPr>
          </w:p>
        </w:tc>
      </w:tr>
      <w:tr>
        <w:trPr>
          <w:trHeight w:val="250"/>
        </w:trPr>
        <w:tc>
          <w:tcPr>
            <w:tcW w:w="3360" w:type="dxa"/>
            <w:vAlign w:val="bottom"/>
            <w:shd w:val="clear" w:color="auto" w:fill="CFF0FC"/>
          </w:tcPr>
          <w:p>
            <w:pPr>
              <w:spacing w:after="0"/>
              <w:rPr>
                <w:sz w:val="21"/>
                <w:szCs w:val="21"/>
                <w:color w:val="auto"/>
              </w:rPr>
            </w:pPr>
          </w:p>
        </w:tc>
        <w:tc>
          <w:tcPr>
            <w:tcW w:w="5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393,898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454,389</w:t>
            </w:r>
          </w:p>
        </w:tc>
        <w:tc>
          <w:tcPr>
            <w:tcW w:w="100" w:type="dxa"/>
            <w:vAlign w:val="bottom"/>
            <w:shd w:val="clear" w:color="auto" w:fill="CFF0FC"/>
          </w:tcPr>
          <w:p>
            <w:pPr>
              <w:spacing w:after="0"/>
              <w:rPr>
                <w:sz w:val="21"/>
                <w:szCs w:val="21"/>
                <w:color w:val="auto"/>
              </w:rPr>
            </w:pPr>
          </w:p>
        </w:tc>
      </w:tr>
      <w:tr>
        <w:trPr>
          <w:trHeight w:val="588"/>
        </w:trPr>
        <w:tc>
          <w:tcPr>
            <w:tcW w:w="3360" w:type="dxa"/>
            <w:vAlign w:val="bottom"/>
            <w:tcBorders>
              <w:top w:val="single" w:sz="8" w:color="CFF0FC"/>
            </w:tcBorders>
          </w:tcPr>
          <w:p>
            <w:pPr>
              <w:spacing w:after="0"/>
              <w:rPr>
                <w:sz w:val="24"/>
                <w:szCs w:val="24"/>
                <w:color w:val="auto"/>
              </w:rPr>
            </w:pPr>
          </w:p>
        </w:tc>
        <w:tc>
          <w:tcPr>
            <w:tcW w:w="4860" w:type="dxa"/>
            <w:vAlign w:val="bottom"/>
            <w:tcBorders>
              <w:top w:val="single" w:sz="8" w:color="CFF0FC"/>
            </w:tcBorders>
          </w:tcPr>
          <w:p>
            <w:pPr>
              <w:jc w:val="right"/>
              <w:ind w:right="241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-908050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-890905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(the “Kirby Pension Plan”) for its inland vessel personnel and shore based tankermen. The plan benefits are based on an employee’s years of service and compensation. The plan assets consist primarily of equity and fixed income securities.</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April 12, 2017, the Company amended the Kirby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(“Higman”), the Company assumed Higman’s pension plan (the “Higman Pension Plan”) for its inland vessel personnel and office staff. On March 27, 2018, the Company amended the Higman Pension Plan to close it to all new entrants and cease all benefit accruals for periods after May 15, 2018 for all participants. The Company made contributions to the Higman Pension Plan of $1.7 million, $8.2 million and $0.9 million for the years ended December 31, 2024, 2023, and 2022, respectively.</w:t>
      </w:r>
    </w:p>
    <w:p>
      <w:pPr>
        <w:spacing w:after="0" w:line="13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aggregate fair value of plan assets of the Company’s pension plans was $411.4 million and $375.9 million at December 31, 2024 and 2023, respectively. Pension assets were allocated among asset categories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gridSpan w:val="3"/>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2"/>
          </w:tcPr>
          <w:p>
            <w:pPr>
              <w:jc w:val="center"/>
              <w:ind w:left="718"/>
              <w:spacing w:after="0" w:line="149" w:lineRule="exact"/>
              <w:rPr>
                <w:sz w:val="20"/>
                <w:szCs w:val="20"/>
                <w:color w:val="auto"/>
              </w:rPr>
            </w:pPr>
            <w:r>
              <w:rPr>
                <w:rFonts w:ascii="Times New Roman" w:cs="Times New Roman" w:eastAsia="Times New Roman" w:hAnsi="Times New Roman"/>
                <w:sz w:val="14"/>
                <w:szCs w:val="14"/>
                <w:b w:val="1"/>
                <w:bCs w:val="1"/>
                <w:color w:val="auto"/>
              </w:rPr>
              <w:t>Minimum, Target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2"/>
          </w:tcPr>
          <w:p>
            <w:pPr>
              <w:jc w:val="center"/>
              <w:ind w:left="718"/>
              <w:spacing w:after="0" w:line="160" w:lineRule="exact"/>
              <w:rPr>
                <w:sz w:val="20"/>
                <w:szCs w:val="20"/>
                <w:color w:val="auto"/>
              </w:rPr>
            </w:pPr>
            <w:r>
              <w:rPr>
                <w:rFonts w:ascii="Times New Roman" w:cs="Times New Roman" w:eastAsia="Times New Roman" w:hAnsi="Times New Roman"/>
                <w:sz w:val="14"/>
                <w:szCs w:val="14"/>
                <w:b w:val="1"/>
                <w:bCs w:val="1"/>
                <w:color w:val="auto"/>
              </w:rPr>
              <w:t>and Maximum</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 Category</w:t>
            </w:r>
          </w:p>
        </w:tc>
        <w:tc>
          <w:tcPr>
            <w:tcW w:w="9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tcBorders>
              <w:bottom w:val="single" w:sz="8" w:color="auto"/>
            </w:tcBorders>
            <w:gridSpan w:val="2"/>
          </w:tcPr>
          <w:p>
            <w:pPr>
              <w:jc w:val="center"/>
              <w:ind w:left="698"/>
              <w:spacing w:after="0" w:line="142" w:lineRule="exact"/>
              <w:rPr>
                <w:sz w:val="20"/>
                <w:szCs w:val="20"/>
                <w:color w:val="auto"/>
              </w:rPr>
            </w:pPr>
            <w:r>
              <w:rPr>
                <w:rFonts w:ascii="Times New Roman" w:cs="Times New Roman" w:eastAsia="Times New Roman" w:hAnsi="Times New Roman"/>
                <w:sz w:val="14"/>
                <w:szCs w:val="14"/>
                <w:b w:val="1"/>
                <w:bCs w:val="1"/>
                <w:color w:val="auto"/>
              </w:rPr>
              <w:t>Allocation Policy</w:t>
            </w: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equity securities</w:t>
            </w: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51 %</w:t>
            </w:r>
          </w:p>
        </w:tc>
        <w:tc>
          <w:tcPr>
            <w:tcW w:w="12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45 %</w:t>
            </w:r>
          </w:p>
        </w:tc>
        <w:tc>
          <w:tcPr>
            <w:tcW w:w="1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50%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55%</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12 %</w:t>
            </w: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28%</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20 %</w:t>
            </w:r>
          </w:p>
        </w:tc>
        <w:tc>
          <w:tcPr>
            <w:tcW w:w="1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 30%</w:t>
            </w:r>
          </w:p>
        </w:tc>
        <w:tc>
          <w:tcPr>
            <w:tcW w:w="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40%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0%</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1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1200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12001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1200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1200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There were no investments within Level 3 of the valuation hierarchy at December 31, 2024 and 2023. All other plan assets are invested in common collective trusts and valued using the net asset value per share practical expedient and therefore not valued within the valuation hierarchy.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investing in asset classes offering sufficient liquidity and trading history.</w:t>
      </w:r>
    </w:p>
    <w:p>
      <w:pPr>
        <w:spacing w:after="0" w:line="13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6.75% in both 2024 and 2023.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16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The Company’s pension plan funding was 132% of the pension plans’ accumulated benefit obligation at December 31, 2024, including both the Kirby Pension Plan and the Higman Pension Plan.</w:t>
      </w:r>
    </w:p>
    <w:p>
      <w:pPr>
        <w:spacing w:after="0" w:line="14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benefit obligation and plan assets for the Company’s defined benefit plans and postretirement benefit plan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42"/>
        </w:trPr>
        <w:tc>
          <w:tcPr>
            <w:tcW w:w="3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6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r>
      <w:tr>
        <w:trPr>
          <w:trHeight w:val="19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342,749</w:t>
            </w:r>
          </w:p>
        </w:tc>
        <w:tc>
          <w:tcPr>
            <w:tcW w:w="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339,509</w:t>
            </w:r>
          </w:p>
        </w:tc>
        <w:tc>
          <w:tcPr>
            <w:tcW w:w="2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6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60" w:type="dxa"/>
            <w:vAlign w:val="bottom"/>
          </w:tcPr>
          <w:p>
            <w:pPr>
              <w:spacing w:after="0"/>
              <w:rPr>
                <w:sz w:val="17"/>
                <w:szCs w:val="17"/>
                <w:color w:val="auto"/>
              </w:rPr>
            </w:pPr>
          </w:p>
        </w:tc>
      </w:tr>
      <w:tr>
        <w:trPr>
          <w:trHeight w:val="203"/>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7"/>
                <w:szCs w:val="17"/>
                <w:color w:val="auto"/>
              </w:rPr>
            </w:pPr>
          </w:p>
        </w:tc>
      </w:tr>
      <w:tr>
        <w:trPr>
          <w:trHeight w:val="203"/>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Actuarial (gain) loss</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(26,541 )</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13,241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(33 )</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shd w:val="clear" w:color="auto" w:fill="CFF0FC"/>
          </w:tcPr>
          <w:p>
            <w:pPr>
              <w:spacing w:after="0"/>
              <w:rPr>
                <w:sz w:val="17"/>
                <w:szCs w:val="17"/>
                <w:color w:val="auto"/>
              </w:rPr>
            </w:pPr>
          </w:p>
        </w:tc>
      </w:tr>
      <w:tr>
        <w:trPr>
          <w:trHeight w:val="20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Gross benefits paid</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(15,572 )</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(32,052 )</w:t>
            </w: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(68 )</w:t>
            </w: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(153 )</w:t>
            </w:r>
          </w:p>
        </w:tc>
        <w:tc>
          <w:tcPr>
            <w:tcW w:w="1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(36 )</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(104 )</w:t>
            </w:r>
          </w:p>
        </w:tc>
      </w:tr>
      <w:tr>
        <w:trPr>
          <w:trHeight w:val="236"/>
        </w:trPr>
        <w:tc>
          <w:tcPr>
            <w:tcW w:w="3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321,210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342,749</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tcBorders>
              <w:bottom w:val="single" w:sz="8" w:color="CFF0FC"/>
            </w:tcBorders>
            <w:shd w:val="clear" w:color="auto" w:fill="CFF0FC"/>
          </w:tcPr>
          <w:p>
            <w:pPr>
              <w:spacing w:after="0"/>
              <w:rPr>
                <w:sz w:val="20"/>
                <w:szCs w:val="20"/>
                <w:color w:val="auto"/>
              </w:rPr>
            </w:pPr>
          </w:p>
        </w:tc>
      </w:tr>
      <w:tr>
        <w:trPr>
          <w:trHeight w:val="183"/>
        </w:trPr>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benefit obligation at end of year</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310,714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326,987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60" w:type="dxa"/>
            <w:vAlign w:val="bottom"/>
            <w:tcBorders>
              <w:bottom w:val="single" w:sz="8" w:color="CFF0FC"/>
            </w:tcBorders>
            <w:shd w:val="clear" w:color="auto" w:fill="CFF0FC"/>
          </w:tcPr>
          <w:p>
            <w:pPr>
              <w:spacing w:after="0"/>
              <w:rPr>
                <w:sz w:val="21"/>
                <w:szCs w:val="21"/>
                <w:color w:val="auto"/>
              </w:rPr>
            </w:pPr>
          </w:p>
        </w:tc>
      </w:tr>
      <w:tr>
        <w:trPr>
          <w:trHeight w:val="183"/>
        </w:trPr>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assumption used to determine</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18"/>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benefit obligation at end of year</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(a)</w:t>
            </w: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5.7 %</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5.7 %</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5.1 %</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5.7 %</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5.1 %</w:t>
            </w:r>
          </w:p>
        </w:tc>
      </w:tr>
      <w:tr>
        <w:trPr>
          <w:trHeight w:val="189"/>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2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Service-based</w:t>
            </w:r>
          </w:p>
        </w:tc>
        <w:tc>
          <w:tcPr>
            <w:tcW w:w="12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Service-based</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216"/>
        </w:trPr>
        <w:tc>
          <w:tcPr>
            <w:tcW w:w="3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table</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table</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 care cost trend rate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Initial rate</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6.75 %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6.25 %</w:t>
            </w:r>
          </w:p>
        </w:tc>
      </w:tr>
      <w:tr>
        <w:trPr>
          <w:trHeight w:val="20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Ultimate rate</w:t>
            </w:r>
          </w:p>
        </w:tc>
        <w:tc>
          <w:tcPr>
            <w:tcW w:w="2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5.0 %</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r>
      <w:tr>
        <w:trPr>
          <w:trHeight w:val="203"/>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Years to ultimate</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375,917</w:t>
            </w:r>
          </w:p>
        </w:tc>
        <w:tc>
          <w:tcPr>
            <w:tcW w:w="26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341,061</w:t>
            </w:r>
          </w:p>
        </w:tc>
        <w:tc>
          <w:tcPr>
            <w:tcW w:w="2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49,450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58,734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Employer contribution</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7"/>
                <w:szCs w:val="17"/>
                <w:color w:val="auto"/>
              </w:rPr>
            </w:pPr>
          </w:p>
        </w:tc>
      </w:tr>
      <w:tr>
        <w:trPr>
          <w:trHeight w:val="20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benefits paid</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(15,572 )</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(32,052 )</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(68 )</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(153 )</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(104 )</w:t>
            </w:r>
          </w:p>
        </w:tc>
      </w:tr>
      <w:tr>
        <w:trPr>
          <w:trHeight w:val="196"/>
        </w:trPr>
        <w:tc>
          <w:tcPr>
            <w:tcW w:w="3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411,449</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375,917</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FF0FC"/>
            </w:tcBorders>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-2528570</wp:posOffset>
            </wp:positionV>
            <wp:extent cx="1028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-2510790</wp:posOffset>
            </wp:positionV>
            <wp:extent cx="1028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-2528570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-2510790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-2528570</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-2510790</wp:posOffset>
            </wp:positionV>
            <wp:extent cx="1028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-2528570</wp:posOffset>
            </wp:positionV>
            <wp:extent cx="1028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-2510790</wp:posOffset>
            </wp:positionV>
            <wp:extent cx="1028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-2528570</wp:posOffset>
            </wp:positionV>
            <wp:extent cx="1028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-2510790</wp:posOffset>
            </wp:positionV>
            <wp:extent cx="1028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-2528570</wp:posOffset>
            </wp:positionV>
            <wp:extent cx="1028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-2510790</wp:posOffset>
            </wp:positionV>
            <wp:extent cx="1028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-2245360</wp:posOffset>
            </wp:positionV>
            <wp:extent cx="1028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-2228215</wp:posOffset>
            </wp:positionV>
            <wp:extent cx="1028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-2245360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-2228215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-2245360</wp:posOffset>
            </wp:positionV>
            <wp:extent cx="1028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-2228215</wp:posOffset>
            </wp:positionV>
            <wp:extent cx="1028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-2245360</wp:posOffset>
            </wp:positionV>
            <wp:extent cx="1028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-2228215</wp:posOffset>
            </wp:positionV>
            <wp:extent cx="1028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-2245360</wp:posOffset>
            </wp:positionV>
            <wp:extent cx="1028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-2228215</wp:posOffset>
            </wp:positionV>
            <wp:extent cx="1028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-2245360</wp:posOffset>
            </wp:positionV>
            <wp:extent cx="1028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-2228215</wp:posOffset>
            </wp:positionV>
            <wp:extent cx="1028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-162560</wp:posOffset>
            </wp:positionV>
            <wp:extent cx="10287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-162560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-162560</wp:posOffset>
            </wp:positionV>
            <wp:extent cx="1028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-162560</wp:posOffset>
            </wp:positionV>
            <wp:extent cx="1028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1028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-162560</wp:posOffset>
            </wp:positionV>
            <wp:extent cx="1028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discount rate was 5.7% for both the Kirby Pension Plan and the Higman Pension Plan. The 2023 discount rate was 5.1% for the Kirby Pension Plan and 5.2% for the Higman Pension Plan.</w:t>
      </w:r>
    </w:p>
    <w:p>
      <w:pPr>
        <w:spacing w:after="0" w:line="13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the years ending December 31, 2024 and 2023, actual returns on plan assets performed better than expected which improved the funding positions.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2" w:name="page73"/>
    <w:bookmarkEnd w:id="72"/>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funded status and amounts recognized in the Company’s consolidated balance sheet for the Company’s defined benefit plans and postretirement benefit plan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42"/>
        </w:trPr>
        <w:tc>
          <w:tcPr>
            <w:tcW w:w="38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6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Funded status at end of year</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411,449</w:t>
            </w:r>
          </w:p>
        </w:tc>
        <w:tc>
          <w:tcPr>
            <w:tcW w:w="2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375,917</w:t>
            </w:r>
          </w:p>
        </w:tc>
        <w:tc>
          <w:tcPr>
            <w:tcW w:w="2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Benefit obligations</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(321,210 )</w:t>
            </w:r>
          </w:p>
        </w:tc>
        <w:tc>
          <w:tcPr>
            <w:tcW w:w="3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(342,749 )</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(752 )</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(814 )</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(396 )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(415 )</w:t>
            </w:r>
          </w:p>
        </w:tc>
      </w:tr>
      <w:tr>
        <w:trPr>
          <w:trHeight w:val="20"/>
        </w:trPr>
        <w:tc>
          <w:tcPr>
            <w:tcW w:w="3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Funded status and amount recognized at end of year</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90,239</w:t>
            </w:r>
          </w:p>
        </w:tc>
        <w:tc>
          <w:tcPr>
            <w:tcW w:w="2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33,168</w:t>
            </w:r>
          </w:p>
        </w:tc>
        <w:tc>
          <w:tcPr>
            <w:tcW w:w="2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(752 )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(814 )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(396 )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(415 )</w:t>
            </w:r>
          </w:p>
        </w:tc>
      </w:tr>
      <w:tr>
        <w:trPr>
          <w:trHeight w:val="20"/>
        </w:trPr>
        <w:tc>
          <w:tcPr>
            <w:tcW w:w="3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the consolidated balance</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Noncurrent asset</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93,023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42,698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liability</w:t>
            </w:r>
          </w:p>
        </w:tc>
        <w:tc>
          <w:tcPr>
            <w:tcW w:w="2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(105 )</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(106 )</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(47 )</w:t>
            </w: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r>
      <w:tr>
        <w:trPr>
          <w:trHeight w:val="203"/>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liability</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(2,784 )</w:t>
            </w:r>
          </w:p>
        </w:tc>
        <w:tc>
          <w:tcPr>
            <w:tcW w:w="3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(9,530 )</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(647 )</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(708 )</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(349 )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(369 )</w:t>
            </w:r>
          </w:p>
        </w:tc>
      </w:tr>
      <w:tr>
        <w:trPr>
          <w:trHeight w:val="203"/>
        </w:trPr>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Amounts recognized in accumulated other</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8"/>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actuarial (gain)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(96,817 )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(48,033 )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(1,613 )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(1,890 )</w:t>
            </w:r>
          </w:p>
        </w:tc>
      </w:tr>
      <w:tr>
        <w:trPr>
          <w:trHeight w:val="203"/>
        </w:trPr>
        <w:tc>
          <w:tcPr>
            <w:tcW w:w="3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Prior service cost (credit)</w:t>
            </w:r>
          </w:p>
        </w:tc>
        <w:tc>
          <w:tcPr>
            <w:tcW w:w="2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compensation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(96,817 )</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(48,033 )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(1,613 )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(1,890 )</w:t>
            </w:r>
          </w:p>
        </w:tc>
      </w:tr>
      <w:tr>
        <w:trPr>
          <w:trHeight w:val="20"/>
        </w:trPr>
        <w:tc>
          <w:tcPr>
            <w:tcW w:w="3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-1739900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-1739900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-1739900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-1739900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-1739900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-162560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-162560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-162560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-162560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-162560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expected cash flows for the Company’s defined benefit plans and postretirement benefit plan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42"/>
        </w:trPr>
        <w:tc>
          <w:tcPr>
            <w:tcW w:w="38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6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8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4"/>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0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employer contributions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benefit payments (gross)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one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two</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three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four</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five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Next five years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109,082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108,717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8"/>
                <w:szCs w:val="18"/>
                <w:color w:val="auto"/>
              </w:rPr>
            </w:pPr>
          </w:p>
        </w:tc>
      </w:tr>
      <w:tr>
        <w:trPr>
          <w:trHeight w:val="608"/>
        </w:trPr>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3" w:name="page74"/>
    <w:bookmarkEnd w:id="73"/>
    <w:p>
      <w:pPr>
        <w:ind w:firstLine="37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plan assets and benefit obligations recognized in other comprehensive income for the Company’s defined benefit plans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net periodic benefit cost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w:t>
            </w: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2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8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(24,885 )</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(22,910 )</w:t>
            </w: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(28,399 )</w:t>
            </w:r>
          </w:p>
        </w:tc>
        <w:tc>
          <w:tcPr>
            <w:tcW w:w="22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actuarial (gain) loss</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(2,330 )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(6,641 )</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(859 )</w:t>
            </w: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(7,048 )</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changes in plan assets and benefit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obligations recognized in other comprehensive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year actuarial (gain) loss</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(51,114 )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(22,583 )</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(58,015 )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(32 )</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03"/>
        </w:trPr>
        <w:tc>
          <w:tcPr>
            <w:tcW w:w="3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Recognition of actuarial (gain) loss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(34 )</w:t>
            </w:r>
          </w:p>
        </w:tc>
        <w:tc>
          <w:tcPr>
            <w:tcW w:w="22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(32 )</w:t>
            </w:r>
          </w:p>
        </w:tc>
        <w:tc>
          <w:tcPr>
            <w:tcW w:w="2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(23 )</w:t>
            </w:r>
          </w:p>
        </w:tc>
        <w:tc>
          <w:tcPr>
            <w:tcW w:w="2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(48,784 )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(22,583 )</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(58,049 )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(64 )</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196"/>
        </w:trPr>
        <w:tc>
          <w:tcPr>
            <w:tcW w:w="37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recognized in net periodic benefit cost and</w:t>
            </w:r>
          </w:p>
        </w:tc>
        <w:tc>
          <w:tcPr>
            <w:tcW w:w="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(55,425 )</w:t>
            </w:r>
          </w:p>
        </w:tc>
        <w:tc>
          <w:tcPr>
            <w:tcW w:w="2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(23,442 )</w:t>
            </w: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(65,097 )</w:t>
            </w:r>
          </w:p>
        </w:tc>
        <w:tc>
          <w:tcPr>
            <w:tcW w:w="22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00"/>
              <w:spacing w:after="0" w:line="176" w:lineRule="exact"/>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assumptions used to determine</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 (a)</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 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5.1 %</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5.5 %</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2"/>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long-term rate of return on plan assets</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6.75 %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6.75 %</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6.75 %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Service-based</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Service-based</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Service-based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table</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table</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table</w:t>
            </w: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-2344420</wp:posOffset>
            </wp:positionV>
            <wp:extent cx="1028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-2344420</wp:posOffset>
            </wp:positionV>
            <wp:extent cx="1028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-2344420</wp:posOffset>
            </wp:positionV>
            <wp:extent cx="1028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-2344420</wp:posOffset>
            </wp:positionV>
            <wp:extent cx="1028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-2344420</wp:posOffset>
            </wp:positionV>
            <wp:extent cx="1028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-2344420</wp:posOffset>
            </wp:positionV>
            <wp:extent cx="1028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-1289685</wp:posOffset>
            </wp:positionV>
            <wp:extent cx="1028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-1289685</wp:posOffset>
            </wp:positionV>
            <wp:extent cx="1028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-1289685</wp:posOffset>
            </wp:positionV>
            <wp:extent cx="1028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-1289685</wp:posOffset>
            </wp:positionV>
            <wp:extent cx="1028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-1289685</wp:posOffset>
            </wp:positionV>
            <wp:extent cx="1028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-1289685</wp:posOffset>
            </wp:positionV>
            <wp:extent cx="1028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-921385</wp:posOffset>
            </wp:positionV>
            <wp:extent cx="1028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-904240</wp:posOffset>
            </wp:positionV>
            <wp:extent cx="1028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-921385</wp:posOffset>
            </wp:positionV>
            <wp:extent cx="1028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-904240</wp:posOffset>
            </wp:positionV>
            <wp:extent cx="1028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-921385</wp:posOffset>
            </wp:positionV>
            <wp:extent cx="1028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-904240</wp:posOffset>
            </wp:positionV>
            <wp:extent cx="1028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-921385</wp:posOffset>
            </wp:positionV>
            <wp:extent cx="1028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-904240</wp:posOffset>
            </wp:positionV>
            <wp:extent cx="1028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-921385</wp:posOffset>
            </wp:positionV>
            <wp:extent cx="1028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-904240</wp:posOffset>
            </wp:positionV>
            <wp:extent cx="1028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-921385</wp:posOffset>
            </wp:positionV>
            <wp:extent cx="1028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-904240</wp:posOffset>
            </wp:positionV>
            <wp:extent cx="1028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4"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discount rate for benefit cost is 5.1% for the Kirby Pension Plan and 5.2% for the Higman Pension Plan. The 2023 discount rate for benefit cost is 5.5% for both the Kirby Pension Plan and the Higman Pension Plan.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4" w:name="page75"/>
    <w:bookmarkEnd w:id="74"/>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and other changes in benefit obligations recognized in other comprehensive income for the Company’s postretirement benefit plan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(280 )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(344 )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60" w:type="dxa"/>
            <w:vAlign w:val="bottom"/>
          </w:tcPr>
          <w:p>
            <w:pPr>
              <w:spacing w:after="0"/>
              <w:rPr>
                <w:sz w:val="18"/>
                <w:szCs w:val="18"/>
                <w:color w:val="auto"/>
              </w:rPr>
            </w:pPr>
          </w:p>
        </w:tc>
        <w:tc>
          <w:tcPr>
            <w:tcW w:w="8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(260 )</w:t>
            </w:r>
          </w:p>
        </w:tc>
        <w:tc>
          <w:tcPr>
            <w:tcW w:w="30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(322 )</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changes in benefit obligations recognized in other comprehensive income</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year actuarial loss (gain)</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actuarial gain</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recognized in net periodic benefit cost and other</w:t>
            </w:r>
          </w:p>
        </w:tc>
        <w:tc>
          <w:tcPr>
            <w:tcW w:w="8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4"/>
        </w:trPr>
        <w:tc>
          <w:tcPr>
            <w:tcW w:w="644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vMerge w:val="continue"/>
            <w:shd w:val="clear" w:color="auto" w:fill="CFF0FC"/>
          </w:tcPr>
          <w:p>
            <w:pPr>
              <w:spacing w:after="0"/>
              <w:rPr>
                <w:sz w:val="20"/>
                <w:szCs w:val="20"/>
                <w:color w:val="auto"/>
              </w:rPr>
            </w:pPr>
          </w:p>
        </w:tc>
        <w:tc>
          <w:tcPr>
            <w:tcW w:w="46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5.1 %</w:t>
            </w: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5.5 %</w:t>
            </w: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cost trend rate:</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rate</w:t>
            </w:r>
          </w:p>
        </w:tc>
        <w:tc>
          <w:tcPr>
            <w:tcW w:w="860" w:type="dxa"/>
            <w:vAlign w:val="bottom"/>
          </w:tcPr>
          <w:p>
            <w:pPr>
              <w:spacing w:after="0"/>
              <w:rPr>
                <w:sz w:val="18"/>
                <w:szCs w:val="18"/>
                <w:color w:val="auto"/>
              </w:rPr>
            </w:pP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6.25 %</w:t>
            </w:r>
          </w:p>
        </w:tc>
        <w:tc>
          <w:tcPr>
            <w:tcW w:w="3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6.50 %</w:t>
            </w: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6.25 %</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Ultimate rate</w:t>
            </w:r>
          </w:p>
        </w:tc>
        <w:tc>
          <w:tcPr>
            <w:tcW w:w="8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5.0 %</w:t>
            </w: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5.0 %</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Years to ultimate</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-2239645</wp:posOffset>
            </wp:positionV>
            <wp:extent cx="1200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-2239645</wp:posOffset>
            </wp:positionV>
            <wp:extent cx="1200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-2239645</wp:posOffset>
            </wp:positionV>
            <wp:extent cx="1200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-1391285</wp:posOffset>
            </wp:positionV>
            <wp:extent cx="12001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-1391285</wp:posOffset>
            </wp:positionV>
            <wp:extent cx="12001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-1391285</wp:posOffset>
            </wp:positionV>
            <wp:extent cx="12001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-996950</wp:posOffset>
            </wp:positionV>
            <wp:extent cx="1200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-979805</wp:posOffset>
            </wp:positionV>
            <wp:extent cx="1200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-996950</wp:posOffset>
            </wp:positionV>
            <wp:extent cx="1200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-979805</wp:posOffset>
            </wp:positionV>
            <wp:extent cx="1200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-996950</wp:posOffset>
            </wp:positionV>
            <wp:extent cx="1200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-979805</wp:posOffset>
            </wp:positionV>
            <wp:extent cx="1200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3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vessel crew members of its coastal operations and expires on April 30, 2027. The Company began participation in the Seafarers Pension Trust (“SPT”) with the Penn Maritime, Inc. acquisition on December 14, 2012.</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Contributions to the SPT are made currently based on a per day worked basis and charged to expense as incurred and included in costs of sales and operating expenses in the consolidated statement of earnings. During 2024 and 2023, the Company made contributions of $0.7 million and $0.4 million, respectively, to the SPT. The Company’s contributions to the SPT did not exceed 5% of total contributions to the SPT in 2023. Total contributions for 2024 are not yet available. The Company did not pay any material surcharges in 2024 and 2023.</w:t>
      </w:r>
    </w:p>
    <w:p>
      <w:pPr>
        <w:spacing w:after="0" w:line="13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federal identification number of the SPT is 13-6100329 and the Certified Zone Status is Green at December 31, 2023. The Company’s future minimum contribution requirements under the SPT are unavailable because actuarial reports for the 2024 plan year are not yet complete and such contributions are subject to negotiations between the employers and the unions. The SPT was not in endangered or critical status for the 2023 plan year, the latest period for which a report is available, as the funded status was in excess of 100%. Based on the most recent communication from the SPT, there would be no withdrawal liability if the Company chose to withdraw from the SPT although the Company currently has no intention of terminating its participation in the SPT.</w:t>
      </w:r>
    </w:p>
    <w:p>
      <w:pPr>
        <w:spacing w:after="0" w:line="16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also contributes to a multiemployer pension plan pursuant to a collective bargaining agreement which covers certain employees of KDS in New Jersey and expires on October 8, 2028. The Company began participation in the Central Pension Fund of the International Union of Operating Engineers and Participating Employers (“CPF”) with the Stewart &amp; Stevenson LLC acquisition on September 13, 2017.</w:t>
      </w:r>
    </w:p>
    <w:p>
      <w:pPr>
        <w:spacing w:after="0" w:line="13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2024 and 2023, the Company made contributions of $0.6 million in each year to the CPF. Total contributions for the 2024 plan year are not yet available. The Company did not pay any material surcharges in 2024 and 2023.</w:t>
      </w:r>
    </w:p>
    <w:p>
      <w:pPr>
        <w:spacing w:after="0" w:line="13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federal identification number of the CPF is 36-6052390 and the Certified Zone Status is Green at January 31, 2024. The Company’s future minimum contribution requirements under the CPF are unavailable because actuarial reports for the 2024 plan year, which ended January 31, 2024, are not yet complete and such contributions are subject to negotiations between the employers and the unions. The CPF was not in endangered or critical status for the 2023 plan year, ending January 31, 2024, the latest period for which a</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5" w:name="page76"/>
    <w:bookmarkEnd w:id="75"/>
    <w:p>
      <w:pPr>
        <w:ind w:right="20"/>
        <w:spacing w:after="0" w:line="282" w:lineRule="auto"/>
        <w:rPr>
          <w:sz w:val="20"/>
          <w:szCs w:val="20"/>
          <w:color w:val="auto"/>
        </w:rPr>
      </w:pPr>
      <w:r>
        <w:rPr>
          <w:rFonts w:ascii="Times New Roman" w:cs="Times New Roman" w:eastAsia="Times New Roman" w:hAnsi="Times New Roman"/>
          <w:sz w:val="18"/>
          <w:szCs w:val="18"/>
          <w:color w:val="auto"/>
        </w:rPr>
        <w:t>report is available, as the funded status was 108%. There would be no withdrawal liability if the Company chose to withdraw from the CPF although the Company currently has no intention of terminating its participation in the CPF.</w:t>
      </w:r>
    </w:p>
    <w:p>
      <w:pPr>
        <w:spacing w:after="0" w:line="13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to the defined benefit plans, the Company sponsors various defined contribution plans for substantially all employees. The aggregate contributions to the plans were $31.6 million, $26.9 million, and $27.9 million in 2024,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Comprehensive Income (Loss)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changes in other comprehensive income (loss)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8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100" w:type="dxa"/>
            <w:vAlign w:val="bottom"/>
          </w:tcPr>
          <w:p>
            <w:pPr>
              <w:spacing w:after="0"/>
              <w:rPr>
                <w:sz w:val="10"/>
                <w:szCs w:val="10"/>
                <w:color w:val="auto"/>
              </w:rPr>
            </w:pPr>
          </w:p>
        </w:tc>
        <w:tc>
          <w:tcPr>
            <w:tcW w:w="8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120" w:type="dxa"/>
            <w:vAlign w:val="bottom"/>
          </w:tcPr>
          <w:p>
            <w:pPr>
              <w:spacing w:after="0"/>
              <w:rPr>
                <w:sz w:val="10"/>
                <w:szCs w:val="10"/>
                <w:color w:val="auto"/>
              </w:rPr>
            </w:pPr>
          </w:p>
        </w:tc>
        <w:tc>
          <w:tcPr>
            <w:tcW w:w="7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25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Pension and postretirement</w:t>
            </w: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benefits (a):</w:t>
            </w: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net actuarial</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(2,578 )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(1,926 )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(321 )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(243 )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51,149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(12,180 )</w:t>
            </w: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38,969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(5,467 )</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(14,030 )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(857 )</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(857 )</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(1,049 )</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(1,049 )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(11,528 )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(5,389 )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(13,949 )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-24765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12 – Retirement Plans)</w:t>
      </w:r>
    </w:p>
    <w:p>
      <w:pPr>
        <w:spacing w:after="0" w:line="19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2009, the Company was named by the Environmental Protection Agency (the “EPA”) as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EPA nor the named PRPs have performed an allocation of potential liability in connection with the site nor have they provided costs and expenses in connection with the site.</w:t>
      </w:r>
    </w:p>
    <w:p>
      <w:pPr>
        <w:spacing w:after="0" w:line="1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On February 20, 2015, the Company was served as a defendant in a Complaint originally filed on August 14, 2014, in the U.S. District Court of the Southern District of Texas - Houston Division, </w:t>
      </w:r>
      <w:r>
        <w:rPr>
          <w:rFonts w:ascii="Times New Roman" w:cs="Times New Roman" w:eastAsia="Times New Roman" w:hAnsi="Times New Roman"/>
          <w:sz w:val="18"/>
          <w:szCs w:val="18"/>
          <w:i w:val="1"/>
          <w:iCs w:val="1"/>
          <w:color w:val="auto"/>
        </w:rPr>
        <w:t>USOR Site PRP Group vs. A&amp;M Contractors, USES, Inc. et al.</w:t>
      </w:r>
      <w:r>
        <w:rPr>
          <w:rFonts w:ascii="Times New Roman" w:cs="Times New Roman" w:eastAsia="Times New Roman" w:hAnsi="Times New Roman"/>
          <w:sz w:val="18"/>
          <w:szCs w:val="18"/>
          <w:color w:val="auto"/>
        </w:rPr>
        <w:t xml:space="preserve"> This is a civil action pursuant to the provisions of CERCLA and the Texas Solid Waste Disposal Act for 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joined as a member of the PRP Group companies at its pro-rata allocated share.</w:t>
      </w:r>
    </w:p>
    <w:p>
      <w:pPr>
        <w:spacing w:after="0" w:line="1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October 13, 2016, the Company, as a successor to Hollywood Marine, Inc. (“Hollywood Marine”), was issued a General Notice under CERCLA by the EPA in which it was named as a PRP for liabilities associated with the SBA Shipyard Site located near Jennings, Louisiana (the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t>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joined the PRP Group Companies. The PRP Group Companies have submitted a draft Study work plan to EPA for their review and comment. Higman was named as a PRP in connection with its activities at the Site but is not currently a participant in the PRP Group Companies, but the PRP Group’s position is under consideration.</w:t>
      </w:r>
    </w:p>
    <w:p>
      <w:pPr>
        <w:spacing w:after="0" w:line="16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With respect to the above sites, the Company has accrued a liability, if applicable, for its estimated potential liability for its portion of the EPA’s past costs claim based on information developed to date including various factors such as the Company’s liability in proportion to other PRPs and the extent to which such costs are recoverable from third parties.</w:t>
      </w:r>
    </w:p>
    <w:p>
      <w:pPr>
        <w:spacing w:after="0" w:line="13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4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Significant Risks and Uncertainties. </w:t>
      </w:r>
      <w:r>
        <w:rPr>
          <w:rFonts w:ascii="Times New Roman" w:cs="Times New Roman" w:eastAsia="Times New Roman" w:hAnsi="Times New Roman"/>
          <w:sz w:val="18"/>
          <w:szCs w:val="18"/>
          <w:color w:val="auto"/>
        </w:rPr>
        <w:t>The preparation of financial statements in conformity with United States generally accepted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$32.3 million at December 31, 2024, including $11.6 million in letters of credit and $20.6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David W. Grzebinski, Chief Executive Officer of the Company, is a member of the board of directors for ABS, a not-for-profit that provides global classification services to the marine, offshore and gas industries. The Company paid ABS $1.4 million in 2024, $1.5 million in 2023, and $1.3 million in 2022 to perform audits and surveys of the Company’s vessels in the ordinary course of business.</w:t>
      </w:r>
    </w:p>
    <w:p>
      <w:pPr>
        <w:spacing w:after="0" w:line="13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Mr. Grzebinski is a member of the board of directors of UK Protection &amp; Indemnity Association (“UK P&amp;I”), a mutual marine protection and indemnity organization that provides protection and indemnity insurance for third party liabilities and expenses arising from vessel operations. The Company’s marine fleet is insured on a pro rata share basis through UK P&amp;I and Standard Mutual. The Company paid $3.6 million during 2024 in premiums for coverage in the 2024-2025 policy period, $3.6 million during 2023 in premiums for coverage in the 2023-2024 policy period, and $3.4 million in 2022 in premiums for coverage in the 2022-2023 policy period in the ordinary course of business.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7" w:name="page78"/>
    <w:bookmarkEnd w:id="77"/>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Amy D. Husted, Executive Vice President, General Counsel and Secretary of the Company, is a member of the board of directors of Signal Mutual Indemnity Association Ltd (“Signal”), a group self-insurance not-for-profit organization authorized by the U.S. Department of Labor as a longshore worker’s compensation insurance provider. The Company has been a member of Signal since it was established in 1986. The Company paid Signal $0.6 million in 2024, $0.7 million in 2023 and $0.5 million in 2022 in the ordinary course of business.</w:t>
      </w:r>
    </w:p>
    <w:p>
      <w:pPr>
        <w:spacing w:after="0" w:line="15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husband of Ms. Husted is a partner in the law firm of Clark Hill PLC. The Company paid the law firm $2.6 million in 2024, $0.9 million in 2023, and $1.0 million in 2022 for legal services in connection with matters in the ordinary course of business.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brother of Christian G. O’Neil, President and Chief Operating Officer, is a partner in the law firm of W. Sean O’Neil Attorney at Law. The Company paid the law firm $0.2 million in 2024, $0.1 million in 2023, and $0.1 million in 2022 for legal services in the ordinary course of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00"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Part III of this report on pages 49 to 78:</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(KPMG LLP, Houston, TX, PCAOB ID 185).</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Balance Sheets, December 31, 2024 and 2023.</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Earnings, for the years ended December 31, 2024, 2023, and 2022.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2024, 2023, and 2022.</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2024, 2023, and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Financial Statement Schedules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schedules are omitted as the required information is inapplicable or the information is presented in the consolidated financial statements or related notes.</w:t>
      </w:r>
    </w:p>
    <w:p>
      <w:pPr>
        <w:spacing w:after="0" w:line="119"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40" w:type="dxa"/>
            <w:vAlign w:val="bottom"/>
            <w:gridSpan w:val="13"/>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10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40" w:type="dxa"/>
            <w:vAlign w:val="bottom"/>
            <w:gridSpan w:val="1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4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220" w:type="dxa"/>
            <w:vAlign w:val="bottom"/>
            <w:tcBorders>
              <w:right w:val="single" w:sz="8" w:color="CFF0FC"/>
            </w:tcBorders>
            <w:gridSpan w:val="18"/>
            <w:shd w:val="clear" w:color="auto" w:fill="CFF0FC"/>
          </w:tcPr>
          <w:p>
            <w:pPr>
              <w:ind w:left="8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27">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217"/>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5960" w:type="dxa"/>
            <w:vAlign w:val="bottom"/>
            <w:tcBorders>
              <w:top w:val="single" w:sz="8" w:color="0000FF"/>
              <w:bottom w:val="single" w:sz="8" w:color="0000FF"/>
            </w:tcBorders>
            <w:gridSpan w:val="11"/>
            <w:shd w:val="clear" w:color="auto" w:fill="CFF0FC"/>
          </w:tcPr>
          <w:p>
            <w:pPr>
              <w:spacing w:after="0" w:line="196" w:lineRule="exact"/>
              <w:rPr>
                <w:rFonts w:ascii="Times New Roman" w:cs="Times New Roman" w:eastAsia="Times New Roman" w:hAnsi="Times New Roman"/>
                <w:sz w:val="18"/>
                <w:szCs w:val="18"/>
                <w:color w:val="0000FF"/>
                <w:w w:val="99"/>
              </w:rPr>
            </w:pPr>
            <w:hyperlink r:id="rId527">
              <w:r>
                <w:rPr>
                  <w:rFonts w:ascii="Times New Roman" w:cs="Times New Roman" w:eastAsia="Times New Roman" w:hAnsi="Times New Roman"/>
                  <w:sz w:val="18"/>
                  <w:szCs w:val="18"/>
                  <w:color w:val="0000FF"/>
                  <w:w w:val="99"/>
                </w:rPr>
                <w:t>Registrant’s Annual Report on Form 10-K for the year ended December 31, 2014).</w:t>
              </w:r>
            </w:hyperlink>
          </w:p>
        </w:tc>
        <w:tc>
          <w:tcPr>
            <w:tcW w:w="3900" w:type="dxa"/>
            <w:vAlign w:val="bottom"/>
            <w:tcBorders>
              <w:top w:val="single" w:sz="8" w:color="0000FF"/>
              <w:bottom w:val="single" w:sz="8" w:color="CFF0FC"/>
              <w:right w:val="single" w:sz="8" w:color="CFF0FC"/>
            </w:tcBorders>
            <w:gridSpan w:val="6"/>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8"/>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28">
              <w:r>
                <w:rPr>
                  <w:rFonts w:ascii="Times New Roman" w:cs="Times New Roman" w:eastAsia="Times New Roman" w:hAnsi="Times New Roman"/>
                  <w:sz w:val="18"/>
                  <w:szCs w:val="18"/>
                  <w:color w:val="0000FF"/>
                </w:rPr>
                <w:t>Bylaws of the Company, as amended to April 25, 2024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Form 8-K filed with the Commission on October 28, 2022).</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220" w:type="dxa"/>
            <w:vAlign w:val="bottom"/>
            <w:tcBorders>
              <w:right w:val="single" w:sz="8" w:color="CFF0FC"/>
            </w:tcBorders>
            <w:gridSpan w:val="18"/>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29">
              <w:r>
                <w:rPr>
                  <w:rFonts w:ascii="Times New Roman" w:cs="Times New Roman" w:eastAsia="Times New Roman" w:hAnsi="Times New Roman"/>
                  <w:sz w:val="18"/>
                  <w:szCs w:val="18"/>
                  <w:color w:val="0000FF"/>
                </w:rPr>
                <w:t>Amendment to Bylaws of Kirby Corporation dated April 26, 2024 (incorporated by reference to Exhibit 3.2 to the Registrant’s Current</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4860" w:type="dxa"/>
            <w:vAlign w:val="bottom"/>
            <w:tcBorders>
              <w:top w:val="single" w:sz="8" w:color="0000FF"/>
              <w:bottom w:val="single" w:sz="8" w:color="0000FF"/>
            </w:tcBorders>
            <w:gridSpan w:val="8"/>
            <w:shd w:val="clear" w:color="auto" w:fill="CFF0FC"/>
          </w:tcPr>
          <w:p>
            <w:pPr>
              <w:spacing w:after="0" w:line="196" w:lineRule="exact"/>
              <w:rPr>
                <w:rFonts w:ascii="Times New Roman" w:cs="Times New Roman" w:eastAsia="Times New Roman" w:hAnsi="Times New Roman"/>
                <w:sz w:val="18"/>
                <w:szCs w:val="18"/>
                <w:color w:val="0000FF"/>
                <w:w w:val="99"/>
              </w:rPr>
            </w:pPr>
            <w:hyperlink r:id="rId529">
              <w:r>
                <w:rPr>
                  <w:rFonts w:ascii="Times New Roman" w:cs="Times New Roman" w:eastAsia="Times New Roman" w:hAnsi="Times New Roman"/>
                  <w:sz w:val="18"/>
                  <w:szCs w:val="18"/>
                  <w:color w:val="0000FF"/>
                  <w:w w:val="99"/>
                </w:rPr>
                <w:t>Report on Form 8-K filed with the Commission on April 26, 2024).</w:t>
              </w:r>
            </w:hyperlink>
          </w:p>
        </w:tc>
        <w:tc>
          <w:tcPr>
            <w:tcW w:w="4880" w:type="dxa"/>
            <w:vAlign w:val="bottom"/>
            <w:tcBorders>
              <w:top w:val="single" w:sz="8" w:color="0000FF"/>
              <w:bottom w:val="single" w:sz="8" w:color="CFF0FC"/>
            </w:tcBorders>
            <w:gridSpan w:val="8"/>
            <w:shd w:val="clear" w:color="auto" w:fill="CFF0FC"/>
          </w:tcPr>
          <w:p>
            <w:pPr>
              <w:spacing w:after="0"/>
              <w:rPr>
                <w:sz w:val="18"/>
                <w:szCs w:val="18"/>
                <w:color w:val="auto"/>
              </w:rPr>
            </w:pPr>
          </w:p>
        </w:tc>
        <w:tc>
          <w:tcPr>
            <w:tcW w:w="12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10220" w:type="dxa"/>
            <w:vAlign w:val="bottom"/>
            <w:gridSpan w:val="18"/>
          </w:tcPr>
          <w:p>
            <w:pPr>
              <w:ind w:left="80"/>
              <w:spacing w:after="0" w:line="198" w:lineRule="exact"/>
              <w:rPr>
                <w:sz w:val="20"/>
                <w:szCs w:val="20"/>
                <w:color w:val="auto"/>
              </w:rPr>
            </w:pPr>
            <w:r>
              <w:rPr>
                <w:rFonts w:ascii="Times New Roman" w:cs="Times New Roman" w:eastAsia="Times New Roman" w:hAnsi="Times New Roman"/>
                <w:sz w:val="18"/>
                <w:szCs w:val="18"/>
                <w:color w:val="auto"/>
              </w:rPr>
              <w:t>— See Exhibits 3.1, 3.2 and 3.3 hereof for provisions of the Restated Articles of Incorporation of the Company with all amendments to date</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6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Bylaws of the Company with all amendments to date (incorporated, respectively, by reference to Exhibit </w:t>
            </w:r>
            <w:hyperlink r:id="rId52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gridSpan w:val="17"/>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Exhibit </w:t>
            </w:r>
            <w:hyperlink r:id="rId52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right w:val="single" w:sz="8" w:color="0000EE"/>
            </w:tcBorders>
            <w:gridSpan w:val="3"/>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gridSpan w:val="17"/>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Commission on October 28, 2022, and Exhibit </w:t>
            </w:r>
            <w:hyperlink r:id="rId529">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 with the Commission</w:t>
            </w: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 April 26, 2024).</w:t>
            </w:r>
          </w:p>
        </w:tc>
        <w:tc>
          <w:tcPr>
            <w:tcW w:w="220" w:type="dxa"/>
            <w:vAlign w:val="bottom"/>
            <w:tcBorders>
              <w:top w:val="single" w:sz="8" w:color="0000FF"/>
            </w:tcBorders>
          </w:tcPr>
          <w:p>
            <w:pPr>
              <w:spacing w:after="0"/>
              <w:rPr>
                <w:sz w:val="20"/>
                <w:szCs w:val="20"/>
                <w:color w:val="auto"/>
              </w:rPr>
            </w:pPr>
          </w:p>
        </w:tc>
        <w:tc>
          <w:tcPr>
            <w:tcW w:w="56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4.2</w:t>
            </w:r>
          </w:p>
        </w:tc>
        <w:tc>
          <w:tcPr>
            <w:tcW w:w="10220" w:type="dxa"/>
            <w:vAlign w:val="bottom"/>
            <w:tcBorders>
              <w:right w:val="single" w:sz="8" w:color="CFF0FC"/>
            </w:tcBorders>
            <w:gridSpan w:val="18"/>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 Long-term debt instruments are omitted pursuant to Item 601(b)(4) of Regulation S-K. The Registrant will furnish copies of such</w:t>
            </w:r>
          </w:p>
        </w:tc>
        <w:tc>
          <w:tcPr>
            <w:tcW w:w="0" w:type="dxa"/>
            <w:vAlign w:val="bottom"/>
          </w:tcPr>
          <w:p>
            <w:pPr>
              <w:spacing w:after="0"/>
              <w:rPr>
                <w:sz w:val="1"/>
                <w:szCs w:val="1"/>
                <w:color w:val="auto"/>
              </w:rPr>
            </w:pPr>
          </w:p>
        </w:tc>
      </w:tr>
      <w:tr>
        <w:trPr>
          <w:trHeight w:val="234"/>
        </w:trPr>
        <w:tc>
          <w:tcPr>
            <w:tcW w:w="1020" w:type="dxa"/>
            <w:vAlign w:val="bottom"/>
            <w:shd w:val="clear" w:color="auto" w:fill="CFF0FC"/>
          </w:tcPr>
          <w:p>
            <w:pPr>
              <w:spacing w:after="0"/>
              <w:rPr>
                <w:sz w:val="20"/>
                <w:szCs w:val="20"/>
                <w:color w:val="auto"/>
              </w:rPr>
            </w:pPr>
          </w:p>
        </w:tc>
        <w:tc>
          <w:tcPr>
            <w:tcW w:w="360" w:type="dxa"/>
            <w:vAlign w:val="bottom"/>
            <w:tcBorders>
              <w:right w:val="single" w:sz="8" w:color="CFF0FC"/>
            </w:tcBorders>
            <w:shd w:val="clear" w:color="auto" w:fill="CFF0FC"/>
          </w:tcPr>
          <w:p>
            <w:pPr>
              <w:spacing w:after="0"/>
              <w:rPr>
                <w:sz w:val="20"/>
                <w:szCs w:val="20"/>
                <w:color w:val="auto"/>
              </w:rPr>
            </w:pPr>
          </w:p>
        </w:tc>
        <w:tc>
          <w:tcPr>
            <w:tcW w:w="9860" w:type="dxa"/>
            <w:vAlign w:val="bottom"/>
            <w:tcBorders>
              <w:right w:val="single" w:sz="8" w:color="CFF0FC"/>
            </w:tcBorders>
            <w:gridSpan w:val="17"/>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 to the Commission upon request.</w:t>
            </w: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18"/>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0">
              <w:r>
                <w:rPr>
                  <w:rFonts w:ascii="Times New Roman" w:cs="Times New Roman" w:eastAsia="Times New Roman" w:hAnsi="Times New Roman"/>
                  <w:sz w:val="18"/>
                  <w:szCs w:val="18"/>
                  <w:color w:val="0000FF"/>
                </w:rPr>
                <w:t>Credit Agreement dated July 29, 2022 among Kirby Corporation, JPMorgan Chase Bank, N.A., as Administrative Agent, and the banks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78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80" w:type="dxa"/>
            <w:vAlign w:val="bottom"/>
            <w:tcBorders>
              <w:right w:val="single" w:sz="8" w:color="0000EE"/>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named therein (incorporated by reference to Exhibit 10.1 to the Registrant’s Current Report on Form 8-K filed with the Commission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gridSpan w:val="17"/>
          </w:tcPr>
          <w:p>
            <w:pPr>
              <w:spacing w:after="0" w:line="196"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July 29,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220" w:type="dxa"/>
            <w:vAlign w:val="bottom"/>
            <w:tcBorders>
              <w:right w:val="single" w:sz="8" w:color="CFF0FC"/>
            </w:tcBorders>
            <w:gridSpan w:val="18"/>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1">
              <w:r>
                <w:rPr>
                  <w:rFonts w:ascii="Times New Roman" w:cs="Times New Roman" w:eastAsia="Times New Roman" w:hAnsi="Times New Roman"/>
                  <w:sz w:val="18"/>
                  <w:szCs w:val="18"/>
                  <w:color w:val="0000FF"/>
                </w:rPr>
                <w:t>Incentive and Retention Award Agreement of David W. Grzebinski dated February 25, 2021 (incorporated by reference to Exhibit 10.1</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right w:val="single" w:sz="8" w:color="CFF0FC"/>
            </w:tcBorders>
            <w:shd w:val="clear" w:color="auto" w:fill="CFF0FC"/>
          </w:tcPr>
          <w:p>
            <w:pPr>
              <w:spacing w:after="0"/>
              <w:rPr>
                <w:sz w:val="17"/>
                <w:szCs w:val="17"/>
                <w:color w:val="auto"/>
              </w:rPr>
            </w:pPr>
          </w:p>
        </w:tc>
        <w:tc>
          <w:tcPr>
            <w:tcW w:w="9860" w:type="dxa"/>
            <w:vAlign w:val="bottom"/>
            <w:tcBorders>
              <w:top w:val="single" w:sz="8" w:color="0000FF"/>
              <w:right w:val="single" w:sz="8" w:color="CFF0FC"/>
            </w:tcBorders>
            <w:gridSpan w:val="17"/>
            <w:shd w:val="clear" w:color="auto" w:fill="CFF0FC"/>
          </w:tcPr>
          <w:p>
            <w:pPr>
              <w:spacing w:after="0" w:line="196"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to the Registrant’s Current Report on Form 8-K filed with the Commission on February 26, 2021).</w:t>
              </w:r>
            </w:hyperlink>
          </w:p>
        </w:tc>
        <w:tc>
          <w:tcPr>
            <w:tcW w:w="0" w:type="dxa"/>
            <w:vAlign w:val="bottom"/>
          </w:tcPr>
          <w:p>
            <w:pPr>
              <w:spacing w:after="0"/>
              <w:rPr>
                <w:sz w:val="1"/>
                <w:szCs w:val="1"/>
                <w:color w:val="auto"/>
              </w:rPr>
            </w:pPr>
          </w:p>
        </w:tc>
      </w:tr>
      <w:tr>
        <w:trPr>
          <w:trHeight w:val="21"/>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0000FF"/>
            </w:tcBorders>
            <w:shd w:val="clear" w:color="auto" w:fill="CFF0FC"/>
          </w:tcPr>
          <w:p>
            <w:pPr>
              <w:spacing w:after="0" w:line="20" w:lineRule="exact"/>
              <w:rPr>
                <w:sz w:val="1"/>
                <w:szCs w:val="1"/>
                <w:color w:val="auto"/>
              </w:rPr>
            </w:pPr>
          </w:p>
        </w:tc>
        <w:tc>
          <w:tcPr>
            <w:tcW w:w="126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90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180" w:type="dxa"/>
            <w:vAlign w:val="bottom"/>
            <w:tcBorders>
              <w:top w:val="single" w:sz="8" w:color="0000FF"/>
            </w:tcBorders>
            <w:shd w:val="clear" w:color="auto" w:fill="CFF0FC"/>
          </w:tcPr>
          <w:p>
            <w:pPr>
              <w:spacing w:after="0" w:line="20" w:lineRule="exact"/>
              <w:rPr>
                <w:sz w:val="1"/>
                <w:szCs w:val="1"/>
                <w:color w:val="auto"/>
              </w:rPr>
            </w:pPr>
          </w:p>
        </w:tc>
        <w:tc>
          <w:tcPr>
            <w:tcW w:w="10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18"/>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2">
              <w:r>
                <w:rPr>
                  <w:rFonts w:ascii="Times New Roman" w:cs="Times New Roman" w:eastAsia="Times New Roman" w:hAnsi="Times New Roman"/>
                  <w:sz w:val="18"/>
                  <w:szCs w:val="18"/>
                  <w:color w:val="0000FF"/>
                </w:rPr>
                <w:t>Incentive and Retention Award Agreement of Christian G. O’Neil dated February 25, 2021 (incorporated by reference to Exhibit 10.2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the Registrant’s Current Report on Form 8-K filed with the Commission on February 26,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220" w:type="dxa"/>
            <w:vAlign w:val="bottom"/>
            <w:tcBorders>
              <w:right w:val="single" w:sz="8" w:color="CFF0FC"/>
            </w:tcBorders>
            <w:gridSpan w:val="18"/>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3">
              <w:r>
                <w:rPr>
                  <w:rFonts w:ascii="Times New Roman" w:cs="Times New Roman" w:eastAsia="Times New Roman" w:hAnsi="Times New Roman"/>
                  <w:sz w:val="18"/>
                  <w:szCs w:val="18"/>
                  <w:color w:val="0000FF"/>
                </w:rPr>
                <w:t>Annual Incentive Plan Guidelines for 2024 (incorporated by reference to Exhibit 10.7 to the Registrant’s Annual Report on Form 10-K</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2860" w:type="dxa"/>
            <w:vAlign w:val="bottom"/>
            <w:tcBorders>
              <w:top w:val="single" w:sz="8" w:color="0000FF"/>
              <w:bottom w:val="single" w:sz="8" w:color="0000FF"/>
            </w:tcBorders>
            <w:gridSpan w:val="3"/>
            <w:shd w:val="clear" w:color="auto" w:fill="CFF0FC"/>
          </w:tcPr>
          <w:p>
            <w:pPr>
              <w:spacing w:after="0" w:line="196" w:lineRule="exact"/>
              <w:rPr>
                <w:rFonts w:ascii="Times New Roman" w:cs="Times New Roman" w:eastAsia="Times New Roman" w:hAnsi="Times New Roman"/>
                <w:sz w:val="18"/>
                <w:szCs w:val="18"/>
                <w:color w:val="0000FF"/>
                <w:w w:val="98"/>
              </w:rPr>
            </w:pPr>
            <w:hyperlink r:id="rId533">
              <w:r>
                <w:rPr>
                  <w:rFonts w:ascii="Times New Roman" w:cs="Times New Roman" w:eastAsia="Times New Roman" w:hAnsi="Times New Roman"/>
                  <w:sz w:val="18"/>
                  <w:szCs w:val="18"/>
                  <w:color w:val="0000FF"/>
                  <w:w w:val="98"/>
                </w:rPr>
                <w:t>for the year ended December 31, 2023).</w:t>
              </w:r>
            </w:hyperlink>
          </w:p>
        </w:tc>
        <w:tc>
          <w:tcPr>
            <w:tcW w:w="7000" w:type="dxa"/>
            <w:vAlign w:val="bottom"/>
            <w:tcBorders>
              <w:top w:val="single" w:sz="8" w:color="0000FF"/>
              <w:bottom w:val="single" w:sz="8" w:color="CFF0FC"/>
              <w:right w:val="single" w:sz="8" w:color="CFF0FC"/>
            </w:tcBorders>
            <w:gridSpan w:val="14"/>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18"/>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Annual Incentive Plan Guidelines for 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220" w:type="dxa"/>
            <w:vAlign w:val="bottom"/>
            <w:tcBorders>
              <w:right w:val="single" w:sz="8" w:color="CFF0FC"/>
            </w:tcBorders>
            <w:gridSpan w:val="18"/>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4">
              <w:r>
                <w:rPr>
                  <w:rFonts w:ascii="Times New Roman" w:cs="Times New Roman" w:eastAsia="Times New Roman" w:hAnsi="Times New Roman"/>
                  <w:sz w:val="18"/>
                  <w:szCs w:val="18"/>
                  <w:color w:val="0000FF"/>
                </w:rPr>
                <w:t>2005 Stock and Incentive Plan (incorporated by reference to Exhibit 10.1 to the Registrant’s Current Report on Form 8-K filed with the</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2340" w:type="dxa"/>
            <w:vAlign w:val="bottom"/>
            <w:tcBorders>
              <w:top w:val="single" w:sz="8" w:color="0000FF"/>
              <w:bottom w:val="single" w:sz="8" w:color="0000FF"/>
            </w:tcBorders>
            <w:gridSpan w:val="2"/>
            <w:shd w:val="clear" w:color="auto" w:fill="CFF0FC"/>
          </w:tcPr>
          <w:p>
            <w:pPr>
              <w:spacing w:after="0" w:line="196" w:lineRule="exact"/>
              <w:rPr>
                <w:rFonts w:ascii="Times New Roman" w:cs="Times New Roman" w:eastAsia="Times New Roman" w:hAnsi="Times New Roman"/>
                <w:sz w:val="18"/>
                <w:szCs w:val="18"/>
                <w:color w:val="0000FF"/>
                <w:w w:val="99"/>
              </w:rPr>
            </w:pPr>
            <w:hyperlink r:id="rId534">
              <w:r>
                <w:rPr>
                  <w:rFonts w:ascii="Times New Roman" w:cs="Times New Roman" w:eastAsia="Times New Roman" w:hAnsi="Times New Roman"/>
                  <w:sz w:val="18"/>
                  <w:szCs w:val="18"/>
                  <w:color w:val="0000FF"/>
                  <w:w w:val="99"/>
                </w:rPr>
                <w:t>Commission on April 29, 2021).</w:t>
              </w:r>
            </w:hyperlink>
          </w:p>
        </w:tc>
        <w:tc>
          <w:tcPr>
            <w:tcW w:w="7520" w:type="dxa"/>
            <w:vAlign w:val="bottom"/>
            <w:tcBorders>
              <w:top w:val="single" w:sz="8" w:color="0000FF"/>
              <w:bottom w:val="single" w:sz="8" w:color="CFF0FC"/>
              <w:right w:val="single" w:sz="8" w:color="CFF0FC"/>
            </w:tcBorders>
            <w:gridSpan w:val="15"/>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020" w:type="dxa"/>
            <w:vAlign w:val="bottom"/>
          </w:tcPr>
          <w:p>
            <w:pPr>
              <w:spacing w:after="0"/>
              <w:rPr>
                <w:sz w:val="24"/>
                <w:szCs w:val="24"/>
                <w:color w:val="auto"/>
              </w:rPr>
            </w:pPr>
          </w:p>
        </w:tc>
        <w:tc>
          <w:tcPr>
            <w:tcW w:w="5220" w:type="dxa"/>
            <w:vAlign w:val="bottom"/>
            <w:gridSpan w:val="9"/>
          </w:tcPr>
          <w:p>
            <w:pPr>
              <w:ind w:left="4520"/>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20" w:type="dxa"/>
            <w:vAlign w:val="bottom"/>
            <w:gridSpan w:val="2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220" w:type="dxa"/>
            <w:vAlign w:val="bottom"/>
            <w:gridSpan w:val="30"/>
            <w:shd w:val="clear" w:color="auto" w:fill="CFF0FC"/>
          </w:tcPr>
          <w:p>
            <w:pPr>
              <w:ind w:left="8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7">
              <w:r>
                <w:rPr>
                  <w:rFonts w:ascii="Times New Roman" w:cs="Times New Roman" w:eastAsia="Times New Roman" w:hAnsi="Times New Roman"/>
                  <w:sz w:val="18"/>
                  <w:szCs w:val="18"/>
                  <w:color w:val="0000FF"/>
                </w:rPr>
                <w:t>2000 Nonemployee Director Stock Plan (incorporated by reference to Exhibit 10.2 to the Registrant’s Current Report on Form 8-K filed</w:t>
              </w:r>
            </w:hyperlink>
          </w:p>
        </w:tc>
        <w:tc>
          <w:tcPr>
            <w:tcW w:w="0" w:type="dxa"/>
            <w:vAlign w:val="bottom"/>
          </w:tcPr>
          <w:p>
            <w:pPr>
              <w:spacing w:after="0"/>
              <w:rPr>
                <w:sz w:val="1"/>
                <w:szCs w:val="1"/>
                <w:color w:val="auto"/>
              </w:rPr>
            </w:pPr>
          </w:p>
        </w:tc>
      </w:tr>
      <w:tr>
        <w:trPr>
          <w:trHeight w:val="196"/>
        </w:trPr>
        <w:tc>
          <w:tcPr>
            <w:tcW w:w="10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right w:val="single" w:sz="8" w:color="CFF0FC"/>
            </w:tcBorders>
            <w:shd w:val="clear" w:color="auto" w:fill="CFF0FC"/>
          </w:tcPr>
          <w:p>
            <w:pPr>
              <w:spacing w:after="0"/>
              <w:rPr>
                <w:sz w:val="17"/>
                <w:szCs w:val="17"/>
                <w:color w:val="auto"/>
              </w:rPr>
            </w:pPr>
          </w:p>
        </w:tc>
        <w:tc>
          <w:tcPr>
            <w:tcW w:w="9840" w:type="dxa"/>
            <w:vAlign w:val="bottom"/>
            <w:tcBorders>
              <w:top w:val="single" w:sz="8" w:color="0000FF"/>
            </w:tcBorders>
            <w:gridSpan w:val="28"/>
            <w:shd w:val="clear" w:color="auto" w:fill="CFF0FC"/>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with the Commission on April 29, 2021).</w:t>
              </w:r>
            </w:hyperlink>
          </w:p>
        </w:tc>
        <w:tc>
          <w:tcPr>
            <w:tcW w:w="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220" w:type="dxa"/>
            <w:vAlign w:val="bottom"/>
            <w:gridSpan w:val="30"/>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8">
              <w:r>
                <w:rPr>
                  <w:rFonts w:ascii="Times New Roman" w:cs="Times New Roman" w:eastAsia="Times New Roman" w:hAnsi="Times New Roman"/>
                  <w:sz w:val="18"/>
                  <w:szCs w:val="18"/>
                  <w:color w:val="0000FF"/>
                </w:rPr>
                <w:t>Nonemployee Director Compensation Program effective April 24, 2018 (incorporated by reference to Exhibit 10.2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538">
              <w:r>
                <w:rPr>
                  <w:rFonts w:ascii="Times New Roman" w:cs="Times New Roman" w:eastAsia="Times New Roman" w:hAnsi="Times New Roman"/>
                  <w:sz w:val="18"/>
                  <w:szCs w:val="18"/>
                  <w:color w:val="0000FF"/>
                </w:rPr>
                <w:t>Quarterly Report on Form 10-Q for the quarter ended March 31,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220" w:type="dxa"/>
            <w:vAlign w:val="bottom"/>
            <w:gridSpan w:val="30"/>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9">
              <w:r>
                <w:rPr>
                  <w:rFonts w:ascii="Times New Roman" w:cs="Times New Roman" w:eastAsia="Times New Roman" w:hAnsi="Times New Roman"/>
                  <w:sz w:val="18"/>
                  <w:szCs w:val="18"/>
                  <w:color w:val="0000FF"/>
                </w:rPr>
                <w:t>Nonemployee Director Compensation Program effective January 29, 2024 (incorporated by reference to Exhibit 10.11 to the</w:t>
              </w:r>
            </w:hyperlink>
          </w:p>
        </w:tc>
        <w:tc>
          <w:tcPr>
            <w:tcW w:w="0" w:type="dxa"/>
            <w:vAlign w:val="bottom"/>
          </w:tcPr>
          <w:p>
            <w:pPr>
              <w:spacing w:after="0"/>
              <w:rPr>
                <w:sz w:val="1"/>
                <w:szCs w:val="1"/>
                <w:color w:val="auto"/>
              </w:rPr>
            </w:pPr>
          </w:p>
        </w:tc>
      </w:tr>
      <w:tr>
        <w:trPr>
          <w:trHeight w:val="217"/>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5960" w:type="dxa"/>
            <w:vAlign w:val="bottom"/>
            <w:tcBorders>
              <w:top w:val="single" w:sz="8" w:color="0000FF"/>
              <w:bottom w:val="single" w:sz="8" w:color="0000FF"/>
            </w:tcBorders>
            <w:gridSpan w:val="11"/>
            <w:shd w:val="clear" w:color="auto" w:fill="CFF0FC"/>
          </w:tcPr>
          <w:p>
            <w:pPr>
              <w:spacing w:after="0" w:line="196" w:lineRule="exact"/>
              <w:rPr>
                <w:rFonts w:ascii="Times New Roman" w:cs="Times New Roman" w:eastAsia="Times New Roman" w:hAnsi="Times New Roman"/>
                <w:sz w:val="18"/>
                <w:szCs w:val="18"/>
                <w:color w:val="0000FF"/>
                <w:w w:val="99"/>
              </w:rPr>
            </w:pPr>
            <w:hyperlink r:id="rId539">
              <w:r>
                <w:rPr>
                  <w:rFonts w:ascii="Times New Roman" w:cs="Times New Roman" w:eastAsia="Times New Roman" w:hAnsi="Times New Roman"/>
                  <w:sz w:val="18"/>
                  <w:szCs w:val="18"/>
                  <w:color w:val="0000FF"/>
                  <w:w w:val="99"/>
                </w:rPr>
                <w:t>Registrant’s Annual Report on Form 10-K for the year ended December 31, 2023).</w:t>
              </w:r>
            </w:hyperlink>
          </w:p>
        </w:tc>
        <w:tc>
          <w:tcPr>
            <w:tcW w:w="3880" w:type="dxa"/>
            <w:vAlign w:val="bottom"/>
            <w:tcBorders>
              <w:top w:val="single" w:sz="8" w:color="0000FF"/>
              <w:bottom w:val="single" w:sz="8" w:color="CFF0FC"/>
            </w:tcBorders>
            <w:gridSpan w:val="17"/>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220" w:type="dxa"/>
            <w:vAlign w:val="bottom"/>
            <w:gridSpan w:val="30"/>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0">
              <w:r>
                <w:rPr>
                  <w:rFonts w:ascii="Times New Roman" w:cs="Times New Roman" w:eastAsia="Times New Roman" w:hAnsi="Times New Roman"/>
                  <w:sz w:val="18"/>
                  <w:szCs w:val="18"/>
                  <w:color w:val="0000FF"/>
                </w:rPr>
                <w:t>Deferred Compensation Plan for Key Employees (As Amended and Restated Effective April 1, 2022 and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8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540">
              <w:r>
                <w:rPr>
                  <w:rFonts w:ascii="Times New Roman" w:cs="Times New Roman" w:eastAsia="Times New Roman" w:hAnsi="Times New Roman"/>
                  <w:sz w:val="18"/>
                  <w:szCs w:val="18"/>
                  <w:color w:val="0000FF"/>
                </w:rPr>
                <w:t>Exhibit 10.3 to the Registrant’s Quarterly Report on Form 10-Q filed with the Commission on May 9, 2022).</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30"/>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1">
              <w:r>
                <w:rPr>
                  <w:rFonts w:ascii="Times New Roman" w:cs="Times New Roman" w:eastAsia="Times New Roman" w:hAnsi="Times New Roman"/>
                  <w:sz w:val="18"/>
                  <w:szCs w:val="18"/>
                  <w:color w:val="0000FF"/>
                </w:rPr>
                <w:t>Change of Control Agreement by and between Kirby Corporation and David W. Grzebinski dated May 16, 2022 (incorporated by</w:t>
              </w:r>
            </w:hyperlink>
          </w:p>
        </w:tc>
        <w:tc>
          <w:tcPr>
            <w:tcW w:w="0" w:type="dxa"/>
            <w:vAlign w:val="bottom"/>
          </w:tcPr>
          <w:p>
            <w:pPr>
              <w:spacing w:after="0"/>
              <w:rPr>
                <w:sz w:val="1"/>
                <w:szCs w:val="1"/>
                <w:color w:val="auto"/>
              </w:rPr>
            </w:pPr>
          </w:p>
        </w:tc>
      </w:tr>
      <w:tr>
        <w:trPr>
          <w:trHeight w:val="217"/>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8600" w:type="dxa"/>
            <w:vAlign w:val="bottom"/>
            <w:tcBorders>
              <w:top w:val="single" w:sz="8" w:color="0000FF"/>
              <w:bottom w:val="single" w:sz="8" w:color="0000FF"/>
            </w:tcBorders>
            <w:gridSpan w:val="15"/>
            <w:shd w:val="clear" w:color="auto" w:fill="CFF0FC"/>
          </w:tcPr>
          <w:p>
            <w:pPr>
              <w:spacing w:after="0" w:line="196" w:lineRule="exact"/>
              <w:rPr>
                <w:rFonts w:ascii="Times New Roman" w:cs="Times New Roman" w:eastAsia="Times New Roman" w:hAnsi="Times New Roman"/>
                <w:sz w:val="18"/>
                <w:szCs w:val="18"/>
                <w:color w:val="0000FF"/>
                <w:w w:val="99"/>
              </w:rPr>
            </w:pPr>
            <w:hyperlink r:id="rId541">
              <w:r>
                <w:rPr>
                  <w:rFonts w:ascii="Times New Roman" w:cs="Times New Roman" w:eastAsia="Times New Roman" w:hAnsi="Times New Roman"/>
                  <w:sz w:val="18"/>
                  <w:szCs w:val="18"/>
                  <w:color w:val="0000FF"/>
                  <w:w w:val="99"/>
                </w:rPr>
                <w:t>reference to Exhibit 10.1 to the Registrant’s Current Report on Form 8-K filed with the Commission on May 20, 2022).</w:t>
              </w:r>
            </w:hyperlink>
          </w:p>
        </w:tc>
        <w:tc>
          <w:tcPr>
            <w:tcW w:w="780" w:type="dxa"/>
            <w:vAlign w:val="bottom"/>
            <w:tcBorders>
              <w:top w:val="single" w:sz="8" w:color="0000FF"/>
              <w:bottom w:val="single" w:sz="8" w:color="CFF0FC"/>
            </w:tcBorders>
            <w:gridSpan w:val="8"/>
            <w:shd w:val="clear" w:color="auto" w:fill="CFF0FC"/>
          </w:tcPr>
          <w:p>
            <w:pPr>
              <w:spacing w:after="0"/>
              <w:rPr>
                <w:sz w:val="18"/>
                <w:szCs w:val="18"/>
                <w:color w:val="auto"/>
              </w:rPr>
            </w:pPr>
          </w:p>
        </w:tc>
        <w:tc>
          <w:tcPr>
            <w:tcW w:w="480" w:type="dxa"/>
            <w:vAlign w:val="bottom"/>
            <w:tcBorders>
              <w:top w:val="single" w:sz="8" w:color="CFF0FC"/>
              <w:bottom w:val="single" w:sz="8" w:color="CFF0FC"/>
            </w:tcBorders>
            <w:gridSpan w:val="6"/>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30"/>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2">
              <w:r>
                <w:rPr>
                  <w:rFonts w:ascii="Times New Roman" w:cs="Times New Roman" w:eastAsia="Times New Roman" w:hAnsi="Times New Roman"/>
                  <w:sz w:val="18"/>
                  <w:szCs w:val="18"/>
                  <w:color w:val="0000FF"/>
                </w:rPr>
                <w:t>Change of Control Agreement by and between Kirby Corporation and Raj Kumar dated May 16, 2022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Exhibit 10.2 to the Registrant’s Current Report on Form 8-K filed with the Commission on May 20, 2022).</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220" w:type="dxa"/>
            <w:vAlign w:val="bottom"/>
            <w:gridSpan w:val="30"/>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3">
              <w:r>
                <w:rPr>
                  <w:rFonts w:ascii="Times New Roman" w:cs="Times New Roman" w:eastAsia="Times New Roman" w:hAnsi="Times New Roman"/>
                  <w:sz w:val="18"/>
                  <w:szCs w:val="18"/>
                  <w:color w:val="0000FF"/>
                </w:rPr>
                <w:t>Change of Control Agreement by and between Kirby Corporation and Christian G. O’Neil dated May 16, 2022 (incorporated by</w:t>
              </w:r>
            </w:hyperlink>
          </w:p>
        </w:tc>
        <w:tc>
          <w:tcPr>
            <w:tcW w:w="0" w:type="dxa"/>
            <w:vAlign w:val="bottom"/>
          </w:tcPr>
          <w:p>
            <w:pPr>
              <w:spacing w:after="0"/>
              <w:rPr>
                <w:sz w:val="1"/>
                <w:szCs w:val="1"/>
                <w:color w:val="auto"/>
              </w:rPr>
            </w:pPr>
          </w:p>
        </w:tc>
      </w:tr>
      <w:tr>
        <w:trPr>
          <w:trHeight w:val="216"/>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8600" w:type="dxa"/>
            <w:vAlign w:val="bottom"/>
            <w:tcBorders>
              <w:top w:val="single" w:sz="8" w:color="0000FF"/>
              <w:bottom w:val="single" w:sz="8" w:color="0000FF"/>
            </w:tcBorders>
            <w:gridSpan w:val="15"/>
            <w:shd w:val="clear" w:color="auto" w:fill="CFF0FC"/>
          </w:tcPr>
          <w:p>
            <w:pPr>
              <w:spacing w:after="0" w:line="196" w:lineRule="exact"/>
              <w:rPr>
                <w:rFonts w:ascii="Times New Roman" w:cs="Times New Roman" w:eastAsia="Times New Roman" w:hAnsi="Times New Roman"/>
                <w:sz w:val="18"/>
                <w:szCs w:val="18"/>
                <w:color w:val="0000FF"/>
                <w:w w:val="99"/>
              </w:rPr>
            </w:pPr>
            <w:hyperlink r:id="rId543">
              <w:r>
                <w:rPr>
                  <w:rFonts w:ascii="Times New Roman" w:cs="Times New Roman" w:eastAsia="Times New Roman" w:hAnsi="Times New Roman"/>
                  <w:sz w:val="18"/>
                  <w:szCs w:val="18"/>
                  <w:color w:val="0000FF"/>
                  <w:w w:val="99"/>
                </w:rPr>
                <w:t>reference to Exhibit 10.3 to the Registrant’s Current Report on Form 8-K filed with the Commission on May 20, 2022).</w:t>
              </w:r>
            </w:hyperlink>
          </w:p>
        </w:tc>
        <w:tc>
          <w:tcPr>
            <w:tcW w:w="680" w:type="dxa"/>
            <w:vAlign w:val="bottom"/>
            <w:tcBorders>
              <w:top w:val="single" w:sz="8" w:color="0000FF"/>
              <w:bottom w:val="single" w:sz="8" w:color="CFF0FC"/>
            </w:tcBorders>
            <w:gridSpan w:val="6"/>
            <w:shd w:val="clear" w:color="auto" w:fill="CFF0FC"/>
          </w:tcPr>
          <w:p>
            <w:pPr>
              <w:spacing w:after="0"/>
              <w:rPr>
                <w:sz w:val="18"/>
                <w:szCs w:val="18"/>
                <w:color w:val="auto"/>
              </w:rPr>
            </w:pPr>
          </w:p>
        </w:tc>
        <w:tc>
          <w:tcPr>
            <w:tcW w:w="580" w:type="dxa"/>
            <w:vAlign w:val="bottom"/>
            <w:tcBorders>
              <w:top w:val="single" w:sz="8" w:color="CFF0FC"/>
              <w:bottom w:val="single" w:sz="8" w:color="CFF0FC"/>
            </w:tcBorders>
            <w:gridSpan w:val="8"/>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220" w:type="dxa"/>
            <w:vAlign w:val="bottom"/>
            <w:gridSpan w:val="30"/>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4">
              <w:r>
                <w:rPr>
                  <w:rFonts w:ascii="Times New Roman" w:cs="Times New Roman" w:eastAsia="Times New Roman" w:hAnsi="Times New Roman"/>
                  <w:sz w:val="18"/>
                  <w:szCs w:val="18"/>
                  <w:color w:val="0000FF"/>
                </w:rPr>
                <w:t>Change of Control Agreement by and between Kirby Corporation and Amy D. Husted dated May 16, 2022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4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Exhibit 10.4 to the Registrant’s Current Report on Form 8-K filed with the Commission on May 20,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30"/>
            <w:shd w:val="clear" w:color="auto" w:fill="CFF0FC"/>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Change of Control Agreement by and between Kirby Corporation and Scott P. Miller dated May 16, 2022.</w:t>
            </w:r>
          </w:p>
        </w:tc>
        <w:tc>
          <w:tcPr>
            <w:tcW w:w="0" w:type="dxa"/>
            <w:vAlign w:val="bottom"/>
          </w:tcPr>
          <w:p>
            <w:pPr>
              <w:spacing w:after="0"/>
              <w:rPr>
                <w:sz w:val="1"/>
                <w:szCs w:val="1"/>
                <w:color w:val="auto"/>
              </w:rPr>
            </w:pPr>
          </w:p>
        </w:tc>
      </w:tr>
      <w:tr>
        <w:trPr>
          <w:trHeight w:val="21"/>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17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220" w:type="dxa"/>
            <w:vAlign w:val="bottom"/>
            <w:gridSpan w:val="30"/>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5">
              <w:r>
                <w:rPr>
                  <w:rFonts w:ascii="Times New Roman" w:cs="Times New Roman" w:eastAsia="Times New Roman" w:hAnsi="Times New Roman"/>
                  <w:sz w:val="18"/>
                  <w:szCs w:val="18"/>
                  <w:color w:val="0000FF"/>
                </w:rPr>
                <w:t>Amendment to Change of Control Agreement by and between Kirby Corporation and David W. Grzebinski dated March 6,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4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(incorporated by reference to Exhibit 10.4 to the Registrant’s Quarterly Report on Form 10-Q filed with the Commission on May 8,</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020" w:type="dxa"/>
            <w:vAlign w:val="bottom"/>
            <w:gridSpan w:val="3"/>
          </w:tcPr>
          <w:p>
            <w:pPr>
              <w:ind w:left="360"/>
              <w:spacing w:after="0" w:line="196" w:lineRule="exact"/>
              <w:rPr>
                <w:rFonts w:ascii="Times New Roman" w:cs="Times New Roman" w:eastAsia="Times New Roman" w:hAnsi="Times New Roman"/>
                <w:sz w:val="18"/>
                <w:szCs w:val="18"/>
                <w:color w:val="0000FF"/>
              </w:rPr>
            </w:pPr>
            <w:hyperlink r:id="rId545">
              <w:r>
                <w:rPr>
                  <w:rFonts w:ascii="Times New Roman" w:cs="Times New Roman" w:eastAsia="Times New Roman" w:hAnsi="Times New Roman"/>
                  <w:sz w:val="18"/>
                  <w:szCs w:val="18"/>
                  <w:color w:val="0000FF"/>
                </w:rPr>
                <w:t>2023).</w:t>
              </w:r>
            </w:hyperlink>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220" w:type="dxa"/>
            <w:vAlign w:val="bottom"/>
            <w:gridSpan w:val="30"/>
            <w:shd w:val="clear" w:color="auto" w:fill="CFF0FC"/>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6">
              <w:r>
                <w:rPr>
                  <w:rFonts w:ascii="Times New Roman" w:cs="Times New Roman" w:eastAsia="Times New Roman" w:hAnsi="Times New Roman"/>
                  <w:sz w:val="18"/>
                  <w:szCs w:val="18"/>
                  <w:color w:val="0000FF"/>
                </w:rPr>
                <w:t>Amendment to Change of Control Agreement by and between Kirby Corporation and Raj Kumar dated March 6, 2023 (incorporated by</w:t>
              </w:r>
            </w:hyperlink>
          </w:p>
        </w:tc>
        <w:tc>
          <w:tcPr>
            <w:tcW w:w="0" w:type="dxa"/>
            <w:vAlign w:val="bottom"/>
          </w:tcPr>
          <w:p>
            <w:pPr>
              <w:spacing w:after="0"/>
              <w:rPr>
                <w:sz w:val="1"/>
                <w:szCs w:val="1"/>
                <w:color w:val="auto"/>
              </w:rPr>
            </w:pPr>
          </w:p>
        </w:tc>
      </w:tr>
      <w:tr>
        <w:trPr>
          <w:trHeight w:val="217"/>
        </w:trPr>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8740" w:type="dxa"/>
            <w:vAlign w:val="bottom"/>
            <w:tcBorders>
              <w:top w:val="single" w:sz="8" w:color="0000FF"/>
              <w:bottom w:val="single" w:sz="8" w:color="0000FF"/>
            </w:tcBorders>
            <w:gridSpan w:val="16"/>
            <w:shd w:val="clear" w:color="auto" w:fill="CFF0FC"/>
          </w:tcPr>
          <w:p>
            <w:pPr>
              <w:spacing w:after="0" w:line="196" w:lineRule="exact"/>
              <w:rPr>
                <w:rFonts w:ascii="Times New Roman" w:cs="Times New Roman" w:eastAsia="Times New Roman" w:hAnsi="Times New Roman"/>
                <w:sz w:val="18"/>
                <w:szCs w:val="18"/>
                <w:color w:val="0000FF"/>
                <w:w w:val="99"/>
              </w:rPr>
            </w:pPr>
            <w:hyperlink r:id="rId546">
              <w:r>
                <w:rPr>
                  <w:rFonts w:ascii="Times New Roman" w:cs="Times New Roman" w:eastAsia="Times New Roman" w:hAnsi="Times New Roman"/>
                  <w:sz w:val="18"/>
                  <w:szCs w:val="18"/>
                  <w:color w:val="0000FF"/>
                  <w:w w:val="99"/>
                </w:rPr>
                <w:t>reference to Exhibit 10.5 to the Registrant’s Quarterly Report on Form 10-Q filed with the Commission on May 8, 2023).</w:t>
              </w:r>
            </w:hyperlink>
          </w:p>
        </w:tc>
        <w:tc>
          <w:tcPr>
            <w:tcW w:w="1080" w:type="dxa"/>
            <w:vAlign w:val="bottom"/>
            <w:tcBorders>
              <w:top w:val="single" w:sz="8" w:color="0000FF"/>
              <w:bottom w:val="single" w:sz="8" w:color="CFF0FC"/>
            </w:tcBorders>
            <w:gridSpan w:val="11"/>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220" w:type="dxa"/>
            <w:vAlign w:val="bottom"/>
            <w:gridSpan w:val="30"/>
          </w:tcPr>
          <w:p>
            <w:pPr>
              <w:ind w:left="8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7">
              <w:r>
                <w:rPr>
                  <w:rFonts w:ascii="Times New Roman" w:cs="Times New Roman" w:eastAsia="Times New Roman" w:hAnsi="Times New Roman"/>
                  <w:sz w:val="18"/>
                  <w:szCs w:val="18"/>
                  <w:color w:val="0000FF"/>
                </w:rPr>
                <w:t>Amendment to Change of Control Agreement by and between Kirby Corporation and Christian G. O’Neil dated March 6,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960" w:type="dxa"/>
            <w:vAlign w:val="bottom"/>
            <w:tcBorders>
              <w:right w:val="single" w:sz="8" w:color="0000FF"/>
            </w:tcBorders>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(incorporated by reference to Exhibit 10.6 to the Registrant’s Quarterly Report on Form 10-Q filed with the Commission on May 8,</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020" w:type="dxa"/>
            <w:vAlign w:val="bottom"/>
            <w:gridSpan w:val="3"/>
          </w:tcPr>
          <w:p>
            <w:pPr>
              <w:ind w:left="360"/>
              <w:spacing w:after="0" w:line="196" w:lineRule="exact"/>
              <w:rPr>
                <w:rFonts w:ascii="Times New Roman" w:cs="Times New Roman" w:eastAsia="Times New Roman" w:hAnsi="Times New Roman"/>
                <w:sz w:val="18"/>
                <w:szCs w:val="18"/>
                <w:color w:val="0000FF"/>
              </w:rPr>
            </w:pPr>
            <w:hyperlink r:id="rId547">
              <w:r>
                <w:rPr>
                  <w:rFonts w:ascii="Times New Roman" w:cs="Times New Roman" w:eastAsia="Times New Roman" w:hAnsi="Times New Roman"/>
                  <w:sz w:val="18"/>
                  <w:szCs w:val="18"/>
                  <w:color w:val="0000FF"/>
                </w:rPr>
                <w:t>2023).</w:t>
              </w:r>
            </w:hyperlink>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220" w:type="dxa"/>
            <w:vAlign w:val="bottom"/>
            <w:gridSpan w:val="30"/>
            <w:shd w:val="clear" w:color="auto" w:fill="CFF0FC"/>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Amendment to Change of Control Agreement by and between Kirby Corporation and Amy D. Husted dated January 29, 2025.</w:t>
            </w:r>
          </w:p>
        </w:tc>
        <w:tc>
          <w:tcPr>
            <w:tcW w:w="0" w:type="dxa"/>
            <w:vAlign w:val="bottom"/>
          </w:tcPr>
          <w:p>
            <w:pPr>
              <w:spacing w:after="0"/>
              <w:rPr>
                <w:sz w:val="1"/>
                <w:szCs w:val="1"/>
                <w:color w:val="auto"/>
              </w:rPr>
            </w:pP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17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220" w:type="dxa"/>
            <w:vAlign w:val="bottom"/>
            <w:gridSpan w:val="30"/>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Amendment to Change of Control Agreement by and between Kirby Corporation and Scott P. Miller dated January 29, 2025.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220" w:type="dxa"/>
            <w:vAlign w:val="bottom"/>
            <w:gridSpan w:val="30"/>
            <w:shd w:val="clear" w:color="auto" w:fill="CFF0FC"/>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Long-Term Performance Award Agreement.</w:t>
            </w:r>
          </w:p>
        </w:tc>
        <w:tc>
          <w:tcPr>
            <w:tcW w:w="0" w:type="dxa"/>
            <w:vAlign w:val="bottom"/>
          </w:tcPr>
          <w:p>
            <w:pPr>
              <w:spacing w:after="0"/>
              <w:rPr>
                <w:sz w:val="1"/>
                <w:szCs w:val="1"/>
                <w:color w:val="auto"/>
              </w:rPr>
            </w:pPr>
          </w:p>
        </w:tc>
      </w:tr>
      <w:tr>
        <w:trPr>
          <w:trHeight w:val="21"/>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220" w:type="dxa"/>
            <w:vAlign w:val="bottom"/>
            <w:gridSpan w:val="30"/>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Insider Trading Policy.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19.2*</w:t>
            </w:r>
          </w:p>
        </w:tc>
        <w:tc>
          <w:tcPr>
            <w:tcW w:w="10220" w:type="dxa"/>
            <w:vAlign w:val="bottom"/>
            <w:gridSpan w:val="30"/>
            <w:shd w:val="clear" w:color="auto" w:fill="CFF0FC"/>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Supplemental Insider Trading Policy.</w:t>
            </w:r>
          </w:p>
        </w:tc>
        <w:tc>
          <w:tcPr>
            <w:tcW w:w="0" w:type="dxa"/>
            <w:vAlign w:val="bottom"/>
          </w:tcPr>
          <w:p>
            <w:pPr>
              <w:spacing w:after="0"/>
              <w:rPr>
                <w:sz w:val="1"/>
                <w:szCs w:val="1"/>
                <w:color w:val="auto"/>
              </w:rPr>
            </w:pP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220" w:type="dxa"/>
            <w:vAlign w:val="bottom"/>
            <w:gridSpan w:val="30"/>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Subsidiaries of the Registrant.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220" w:type="dxa"/>
            <w:vAlign w:val="bottom"/>
            <w:gridSpan w:val="30"/>
            <w:shd w:val="clear" w:color="auto" w:fill="CFF0FC"/>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30"/>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30"/>
            <w:shd w:val="clear" w:color="auto" w:fill="CFF0FC"/>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02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8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5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30"/>
          </w:tcPr>
          <w:p>
            <w:pPr>
              <w:ind w:left="8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right="20" w:hanging="1359"/>
        <w:spacing w:after="0" w:line="261" w:lineRule="auto"/>
        <w:tabs>
          <w:tab w:leader="none" w:pos="1108" w:val="left"/>
        </w:tabs>
        <w:numPr>
          <w:ilvl w:val="0"/>
          <w:numId w:val="1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548">
        <w:r>
          <w:rPr>
            <w:rFonts w:ascii="Times New Roman" w:cs="Times New Roman" w:eastAsia="Times New Roman" w:hAnsi="Times New Roman"/>
            <w:sz w:val="18"/>
            <w:szCs w:val="18"/>
            <w:u w:val="single" w:color="auto"/>
            <w:color w:val="0000FF"/>
          </w:rPr>
          <w:t>Kirby Corporation Clawback Policy (incorporated by reference to Exhibit 97 to the Registrant’s Annual Report on Form 10-K for the</w:t>
        </w:r>
      </w:hyperlink>
      <w:r>
        <w:rPr>
          <w:rFonts w:ascii="Times New Roman" w:cs="Times New Roman" w:eastAsia="Times New Roman" w:hAnsi="Times New Roman"/>
          <w:sz w:val="18"/>
          <w:szCs w:val="18"/>
          <w:color w:val="auto"/>
        </w:rPr>
        <w:t xml:space="preserve"> </w:t>
      </w:r>
      <w:hyperlink r:id="rId548">
        <w:r>
          <w:rPr>
            <w:rFonts w:ascii="Times New Roman" w:cs="Times New Roman" w:eastAsia="Times New Roman" w:hAnsi="Times New Roman"/>
            <w:sz w:val="18"/>
            <w:szCs w:val="18"/>
            <w:u w:val="single" w:color="auto"/>
            <w:color w:val="0000FF"/>
          </w:rPr>
          <w:t>year ended December 31, 2023).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3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34"/>
        </w:trPr>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6"/>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21"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6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Raj Kumar</w:t>
      </w:r>
    </w:p>
    <w:p>
      <w:pPr>
        <w:spacing w:after="0" w:line="2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6"/>
          <w:szCs w:val="16"/>
          <w:color w:val="auto"/>
        </w:rPr>
        <w:t>February 18, 2025</w:t>
      </w:r>
    </w:p>
    <w:p>
      <w:pPr>
        <w:spacing w:after="0" w:line="21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0" w:type="dxa"/>
            <w:vAlign w:val="bottom"/>
          </w:tcPr>
          <w:p>
            <w:pPr>
              <w:spacing w:after="0"/>
              <w:rPr>
                <w:sz w:val="18"/>
                <w:szCs w:val="18"/>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220" w:type="dxa"/>
            <w:vAlign w:val="bottom"/>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49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J. ALARIO</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J. Alario</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8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DAVID W. GRZEBINSKI</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David W. Grzebinski</w:t>
            </w:r>
          </w:p>
        </w:tc>
        <w:tc>
          <w:tcPr>
            <w:tcW w:w="20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and Director</w:t>
            </w:r>
          </w:p>
        </w:tc>
        <w:tc>
          <w:tcPr>
            <w:tcW w:w="2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0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RAJ KUMAR</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Raj Kumar</w:t>
            </w:r>
          </w:p>
        </w:tc>
        <w:tc>
          <w:tcPr>
            <w:tcW w:w="20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2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0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RONALD A. DRAGG</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Vice President, Controller and</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Ronald A. Dragg</w:t>
            </w:r>
          </w:p>
        </w:tc>
        <w:tc>
          <w:tcPr>
            <w:tcW w:w="20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Assistant Secretary</w:t>
            </w:r>
          </w:p>
        </w:tc>
        <w:tc>
          <w:tcPr>
            <w:tcW w:w="2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10"/>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4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ANNE-MARIE N. AINSWORTH</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Anne-Marie N. Ainsworth</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TANYA S. BEDER</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Tanya S. Beder</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BARRY E. DAVIS</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Barry E. Davis</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SUSAN W. DIO</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Susan W. Dio</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8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R. STEWART</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R. Stewart</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WILLIAM M. WATERMAN</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William M. Waterman</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SHAWN D. WILLIAMS</w:t>
            </w:r>
          </w:p>
        </w:tc>
        <w:tc>
          <w:tcPr>
            <w:tcW w:w="2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2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2025</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Shawn D. Williams</w:t>
            </w:r>
          </w:p>
        </w:tc>
        <w:tc>
          <w:tcPr>
            <w:tcW w:w="2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ind w:left="3420"/>
        <w:spacing w:after="0" w:line="237" w:lineRule="auto"/>
        <w:rPr>
          <w:sz w:val="20"/>
          <w:szCs w:val="20"/>
          <w:color w:val="auto"/>
        </w:rPr>
      </w:pPr>
      <w:r>
        <w:rPr>
          <w:rFonts w:ascii="Calibri" w:cs="Calibri" w:eastAsia="Calibri" w:hAnsi="Calibri"/>
          <w:sz w:val="20"/>
          <w:szCs w:val="20"/>
          <w:b w:val="1"/>
          <w:bCs w:val="1"/>
          <w:color w:val="auto"/>
        </w:rPr>
        <w:t>ANNUAL INCENTIVE PLAN</w:t>
      </w:r>
    </w:p>
    <w:p>
      <w:pPr>
        <w:spacing w:after="0" w:line="242" w:lineRule="exact"/>
        <w:rPr>
          <w:sz w:val="20"/>
          <w:szCs w:val="20"/>
          <w:color w:val="auto"/>
        </w:rPr>
      </w:pPr>
    </w:p>
    <w:p>
      <w:pPr>
        <w:ind w:left="3900"/>
        <w:spacing w:after="0"/>
        <w:rPr>
          <w:sz w:val="20"/>
          <w:szCs w:val="20"/>
          <w:color w:val="auto"/>
        </w:rPr>
      </w:pPr>
      <w:r>
        <w:rPr>
          <w:rFonts w:ascii="Calibri" w:cs="Calibri" w:eastAsia="Calibri" w:hAnsi="Calibri"/>
          <w:sz w:val="20"/>
          <w:szCs w:val="20"/>
          <w:color w:val="auto"/>
        </w:rPr>
        <w:t>2025 Plan Year</w:t>
      </w:r>
    </w:p>
    <w:p>
      <w:pPr>
        <w:spacing w:after="0" w:line="242" w:lineRule="exact"/>
        <w:rPr>
          <w:sz w:val="20"/>
          <w:szCs w:val="20"/>
          <w:color w:val="auto"/>
        </w:rPr>
      </w:pPr>
    </w:p>
    <w:p>
      <w:pPr>
        <w:ind w:left="4060"/>
        <w:spacing w:after="0"/>
        <w:rPr>
          <w:sz w:val="20"/>
          <w:szCs w:val="20"/>
          <w:color w:val="auto"/>
        </w:rPr>
      </w:pPr>
      <w:r>
        <w:rPr>
          <w:rFonts w:ascii="Calibri" w:cs="Calibri" w:eastAsia="Calibri" w:hAnsi="Calibri"/>
          <w:sz w:val="20"/>
          <w:szCs w:val="20"/>
          <w:b w:val="1"/>
          <w:bCs w:val="1"/>
          <w:color w:val="auto"/>
        </w:rPr>
        <w:t>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0"/>
        <w:spacing w:after="0"/>
        <w:rPr>
          <w:sz w:val="20"/>
          <w:szCs w:val="20"/>
          <w:color w:val="auto"/>
        </w:rPr>
      </w:pPr>
      <w:r>
        <w:rPr>
          <w:rFonts w:ascii="Calibri" w:cs="Calibri" w:eastAsia="Calibri" w:hAnsi="Calibri"/>
          <w:sz w:val="20"/>
          <w:szCs w:val="20"/>
          <w:b w:val="1"/>
          <w:bCs w:val="1"/>
          <w:color w:val="auto"/>
        </w:rPr>
        <w:t>KIRBY CORPORATION</w:t>
      </w:r>
    </w:p>
    <w:p>
      <w:pPr>
        <w:spacing w:after="0" w:line="200" w:lineRule="exact"/>
        <w:rPr>
          <w:sz w:val="20"/>
          <w:szCs w:val="20"/>
          <w:color w:val="auto"/>
        </w:rPr>
      </w:pPr>
    </w:p>
    <w:p>
      <w:pPr>
        <w:spacing w:after="0" w:line="285" w:lineRule="exact"/>
        <w:rPr>
          <w:sz w:val="20"/>
          <w:szCs w:val="20"/>
          <w:color w:val="auto"/>
        </w:rPr>
      </w:pPr>
    </w:p>
    <w:p>
      <w:pPr>
        <w:ind w:left="3960"/>
        <w:spacing w:after="0"/>
        <w:rPr>
          <w:sz w:val="20"/>
          <w:szCs w:val="20"/>
          <w:color w:val="auto"/>
        </w:rPr>
      </w:pPr>
      <w:r>
        <w:rPr>
          <w:rFonts w:ascii="Calibri" w:cs="Calibri" w:eastAsia="Calibri" w:hAnsi="Calibri"/>
          <w:sz w:val="20"/>
          <w:szCs w:val="20"/>
          <w:color w:val="auto"/>
        </w:rPr>
        <w:t>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762635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8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4"/>
        </w:trPr>
        <w:tc>
          <w:tcPr>
            <w:tcW w:w="8820" w:type="dxa"/>
            <w:vAlign w:val="bottom"/>
          </w:tcPr>
          <w:p>
            <w:pPr>
              <w:ind w:left="4760"/>
              <w:spacing w:after="0"/>
              <w:rPr>
                <w:sz w:val="20"/>
                <w:szCs w:val="20"/>
                <w:color w:val="auto"/>
              </w:rPr>
            </w:pPr>
            <w:r>
              <w:rPr>
                <w:rFonts w:ascii="Calibri" w:cs="Calibri" w:eastAsia="Calibri" w:hAnsi="Calibri"/>
                <w:sz w:val="20"/>
                <w:szCs w:val="20"/>
                <w:b w:val="1"/>
                <w:bCs w:val="1"/>
                <w:i w:val="1"/>
                <w:iCs w:val="1"/>
                <w:color w:val="auto"/>
              </w:rPr>
              <w:t>TABLE OF CONTENTS</w:t>
            </w:r>
          </w:p>
        </w:tc>
        <w:tc>
          <w:tcPr>
            <w:tcW w:w="2420" w:type="dxa"/>
            <w:vAlign w:val="bottom"/>
          </w:tcPr>
          <w:p>
            <w:pPr>
              <w:spacing w:after="0"/>
              <w:rPr>
                <w:sz w:val="21"/>
                <w:szCs w:val="21"/>
                <w:color w:val="auto"/>
              </w:rPr>
            </w:pPr>
          </w:p>
        </w:tc>
      </w:tr>
      <w:tr>
        <w:trPr>
          <w:trHeight w:val="735"/>
        </w:trPr>
        <w:tc>
          <w:tcPr>
            <w:tcW w:w="8820" w:type="dxa"/>
            <w:vAlign w:val="bottom"/>
          </w:tcPr>
          <w:p>
            <w:pPr>
              <w:ind w:left="20"/>
              <w:spacing w:after="0"/>
              <w:rPr>
                <w:sz w:val="20"/>
                <w:szCs w:val="20"/>
                <w:color w:val="auto"/>
              </w:rPr>
            </w:pPr>
            <w:r>
              <w:rPr>
                <w:rFonts w:ascii="Calibri" w:cs="Calibri" w:eastAsia="Calibri" w:hAnsi="Calibri"/>
                <w:sz w:val="20"/>
                <w:szCs w:val="20"/>
                <w:color w:val="auto"/>
              </w:rPr>
              <w:t>Introducton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The 2025 Annual Incentve Plan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Plan Objectves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Business Groups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Performance Period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Eligibility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Individual Bonus Targets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Aggregate Payment Amount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Performance Measures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Business Group Weightng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Performance Standards for Interim Incentve Payment Calculatons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86"/>
        </w:trPr>
        <w:tc>
          <w:tcPr>
            <w:tcW w:w="8820" w:type="dxa"/>
            <w:vAlign w:val="bottom"/>
          </w:tcPr>
          <w:p>
            <w:pPr>
              <w:ind w:left="20"/>
              <w:spacing w:after="0"/>
              <w:rPr>
                <w:sz w:val="20"/>
                <w:szCs w:val="20"/>
                <w:color w:val="auto"/>
              </w:rPr>
            </w:pPr>
            <w:r>
              <w:rPr>
                <w:rFonts w:ascii="Calibri" w:cs="Calibri" w:eastAsia="Calibri" w:hAnsi="Calibri"/>
                <w:sz w:val="20"/>
                <w:szCs w:val="20"/>
                <w:color w:val="auto"/>
              </w:rPr>
              <w:t>Administraton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945"/>
        </w:trPr>
        <w:tc>
          <w:tcPr>
            <w:tcW w:w="88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tcPr>
          <w:p>
            <w:pPr>
              <w:spacing w:after="0"/>
              <w:rPr>
                <w:sz w:val="24"/>
                <w:szCs w:val="24"/>
                <w:color w:val="auto"/>
              </w:rPr>
            </w:pPr>
          </w:p>
        </w:tc>
      </w:tr>
      <w:tr>
        <w:trPr>
          <w:trHeight w:val="763"/>
        </w:trPr>
        <w:tc>
          <w:tcPr>
            <w:tcW w:w="88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83" w:name="page84"/>
    <w:bookmarkEnd w:id="83"/>
    <w:p>
      <w:pPr>
        <w:jc w:val="center"/>
        <w:spacing w:after="0"/>
        <w:rPr>
          <w:sz w:val="20"/>
          <w:szCs w:val="20"/>
          <w:color w:val="auto"/>
        </w:rPr>
      </w:pPr>
      <w:r>
        <w:rPr>
          <w:rFonts w:ascii="Calibri" w:cs="Calibri" w:eastAsia="Calibri" w:hAnsi="Calibri"/>
          <w:sz w:val="20"/>
          <w:szCs w:val="20"/>
          <w:b w:val="1"/>
          <w:bCs w:val="1"/>
          <w:i w:val="1"/>
          <w:iCs w:val="1"/>
          <w:color w:val="auto"/>
        </w:rPr>
        <w:t>Introducton</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Kirby Corporaton (together with its subsidiaries, “</w:t>
      </w:r>
      <w:r>
        <w:rPr>
          <w:rFonts w:ascii="Calibri" w:cs="Calibri" w:eastAsia="Calibri" w:hAnsi="Calibri"/>
          <w:sz w:val="20"/>
          <w:szCs w:val="20"/>
          <w:u w:val="single" w:color="auto"/>
          <w:color w:val="auto"/>
        </w:rPr>
        <w:t>Kirby</w:t>
      </w:r>
      <w:r>
        <w:rPr>
          <w:rFonts w:ascii="Calibri" w:cs="Calibri" w:eastAsia="Calibri" w:hAnsi="Calibri"/>
          <w:sz w:val="20"/>
          <w:szCs w:val="20"/>
          <w:color w:val="auto"/>
        </w:rPr>
        <w:t>” or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established the Annual Incentve Plan (the “</w:t>
      </w:r>
      <w:r>
        <w:rPr>
          <w:rFonts w:ascii="Calibri" w:cs="Calibri" w:eastAsia="Calibri" w:hAnsi="Calibri"/>
          <w:sz w:val="20"/>
          <w:szCs w:val="20"/>
          <w:u w:val="single" w:color="auto"/>
          <w:color w:val="auto"/>
        </w:rPr>
        <w:t>Plan</w:t>
      </w:r>
      <w:r>
        <w:rPr>
          <w:rFonts w:ascii="Calibri" w:cs="Calibri" w:eastAsia="Calibri" w:hAnsi="Calibri"/>
          <w:sz w:val="20"/>
          <w:szCs w:val="20"/>
          <w:color w:val="auto"/>
        </w:rPr>
        <w:t>”) to focus employees of the Company on identfying and achieving business strategies that lead to increased stockholder value. The Plan is also intended to reward superior performance by employees and their contributon to achieving Kirby’s objectves.</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Certain aspects of this Plan are complex. The following provides Guidelines that establish rules for Plan operaton, however, those rules may not work in all circumstances. Therefore, the Compensaton Commitee of the Kirby Board of Directors has discreton to interpret these Guidelines to assure the awards are consistent with the Plan’s purposes and the Company’s interests. All decisions by the Compensaton Commitee shall be fnal and binding.</w:t>
      </w:r>
    </w:p>
    <w:p>
      <w:pPr>
        <w:spacing w:after="0" w:line="25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Plan may be amended, modifed or terminated at any tme without prior notce by writen authorizaton of the Compensaton Commitee or the Board of Directors of Kirby Corporaton.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84" w:name="page85"/>
    <w:bookmarkEnd w:id="84"/>
    <w:p>
      <w:pPr>
        <w:spacing w:after="0"/>
        <w:rPr>
          <w:sz w:val="20"/>
          <w:szCs w:val="20"/>
          <w:color w:val="auto"/>
        </w:rPr>
      </w:pPr>
      <w:r>
        <w:rPr>
          <w:rFonts w:ascii="Calibri" w:cs="Calibri" w:eastAsia="Calibri" w:hAnsi="Calibri"/>
          <w:sz w:val="20"/>
          <w:szCs w:val="20"/>
          <w:b w:val="1"/>
          <w:bCs w:val="1"/>
          <w:i w:val="1"/>
          <w:iCs w:val="1"/>
          <w:color w:val="auto"/>
        </w:rPr>
        <w:t>The 2025 Annual Incentve Plan</w:t>
      </w:r>
    </w:p>
    <w:p>
      <w:pPr>
        <w:spacing w:after="0" w:line="252"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Each award granted under the Plan is an award for Company performance or a combinaton of Company and Business Group performance. Awards are generally based on achieving the Company Performance Goal as well as additonal Company, Business Group and individual performance measures and objectves. Once the Company Performance Goal is reached, partcipants in the Plan become eligible for an incentve bonus payment.</w:t>
      </w:r>
    </w:p>
    <w:p>
      <w:pPr>
        <w:spacing w:after="0" w:line="25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All amounts paid to partcipants pursuant to the Plan shall be subject to any policy relatng to the recovery of erroneously awarded incentve compensaton that may hereafer be adopted by the Company to comply with Securites and Exchange Commission rules or New York Stock Exchange listng standards.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Plan Objectves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key objectves of the Plan are:</w:t>
      </w:r>
    </w:p>
    <w:p>
      <w:pPr>
        <w:spacing w:after="0" w:line="255" w:lineRule="exact"/>
        <w:rPr>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an annual incentve plan that drives performance toward objectves critcal to creatng stockholder value.</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Ofer compettve cash compensaton opportunites to key Kirby employees.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Reward outstanding achievement by employees who directly afect Kirby’s results.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Assist Kirby in atractng and retaining high quality employees.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Refect both quanttatve and qualitatve performance factors in actual bonus payouts.</w:t>
      </w:r>
    </w:p>
    <w:p>
      <w:pPr>
        <w:spacing w:after="0" w:line="12" w:lineRule="exact"/>
        <w:rPr>
          <w:rFonts w:ascii="Times New Roman" w:cs="Times New Roman" w:eastAsia="Times New Roman" w:hAnsi="Times New Roman"/>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20"/>
          <w:szCs w:val="20"/>
          <w:color w:val="auto"/>
        </w:rPr>
      </w:pPr>
      <w:r>
        <w:rPr>
          <w:rFonts w:ascii="Calibri" w:cs="Calibri" w:eastAsia="Calibri" w:hAnsi="Calibri"/>
          <w:sz w:val="20"/>
          <w:szCs w:val="20"/>
          <w:color w:val="auto"/>
        </w:rPr>
        <w:t>Ensure that incentve payments made by the Company are fully deductble by the Company.</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Groups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Business Groups are designated for purposes of the Plan:</w:t>
      </w:r>
    </w:p>
    <w:p>
      <w:pPr>
        <w:spacing w:after="0" w:line="253" w:lineRule="exact"/>
        <w:rPr>
          <w:sz w:val="20"/>
          <w:szCs w:val="20"/>
          <w:color w:val="auto"/>
        </w:rPr>
      </w:pPr>
    </w:p>
    <w:tbl>
      <w:tblPr>
        <w:tblLayout w:type="fixed"/>
        <w:tblInd w:w="1250" w:type="dxa"/>
        <w:tblCellMar>
          <w:top w:w="0" w:type="dxa"/>
          <w:left w:w="0" w:type="dxa"/>
          <w:bottom w:w="0" w:type="dxa"/>
          <w:right w:w="0" w:type="dxa"/>
        </w:tblCellMar>
      </w:tblPr>
      <w:tr>
        <w:trPr>
          <w:trHeight w:val="215"/>
        </w:trPr>
        <w:tc>
          <w:tcPr>
            <w:tcW w:w="4420" w:type="dxa"/>
            <w:vAlign w:val="bottom"/>
            <w:tcBorders>
              <w:top w:val="single" w:sz="8" w:color="auto"/>
              <w:left w:val="single" w:sz="8" w:color="auto"/>
            </w:tcBorders>
          </w:tcPr>
          <w:p>
            <w:pPr>
              <w:ind w:left="120"/>
              <w:spacing w:after="0" w:line="215" w:lineRule="exact"/>
              <w:rPr>
                <w:sz w:val="20"/>
                <w:szCs w:val="20"/>
                <w:color w:val="auto"/>
              </w:rPr>
            </w:pPr>
            <w:r>
              <w:rPr>
                <w:rFonts w:ascii="Calibri" w:cs="Calibri" w:eastAsia="Calibri" w:hAnsi="Calibri"/>
                <w:sz w:val="20"/>
                <w:szCs w:val="20"/>
                <w:color w:val="auto"/>
              </w:rPr>
              <w:t>Kirby Corporate Services (“KCS”)</w:t>
            </w:r>
          </w:p>
        </w:tc>
        <w:tc>
          <w:tcPr>
            <w:tcW w:w="40" w:type="dxa"/>
            <w:vAlign w:val="bottom"/>
            <w:tcBorders>
              <w:top w:val="single" w:sz="8" w:color="auto"/>
              <w:right w:val="single" w:sz="8" w:color="auto"/>
            </w:tcBorders>
            <w:shd w:val="clear" w:color="auto" w:fill="000000"/>
          </w:tcPr>
          <w:p>
            <w:pPr>
              <w:spacing w:after="0"/>
              <w:rPr>
                <w:sz w:val="18"/>
                <w:szCs w:val="18"/>
                <w:color w:val="auto"/>
              </w:rPr>
            </w:pPr>
          </w:p>
        </w:tc>
        <w:tc>
          <w:tcPr>
            <w:tcW w:w="4300" w:type="dxa"/>
            <w:vAlign w:val="bottom"/>
            <w:tcBorders>
              <w:top w:val="single" w:sz="8" w:color="auto"/>
              <w:right w:val="single" w:sz="8" w:color="auto"/>
            </w:tcBorders>
          </w:tcPr>
          <w:p>
            <w:pPr>
              <w:ind w:left="80"/>
              <w:spacing w:after="0" w:line="215" w:lineRule="exact"/>
              <w:rPr>
                <w:sz w:val="20"/>
                <w:szCs w:val="20"/>
                <w:color w:val="auto"/>
              </w:rPr>
            </w:pPr>
            <w:r>
              <w:rPr>
                <w:rFonts w:ascii="Calibri" w:cs="Calibri" w:eastAsia="Calibri" w:hAnsi="Calibri"/>
                <w:sz w:val="20"/>
                <w:szCs w:val="20"/>
                <w:color w:val="auto"/>
              </w:rPr>
              <w:t>ThermoKing (“TK/CON”)</w:t>
            </w:r>
          </w:p>
        </w:tc>
        <w:tc>
          <w:tcPr>
            <w:tcW w:w="0" w:type="dxa"/>
            <w:vAlign w:val="bottom"/>
          </w:tcPr>
          <w:p>
            <w:pPr>
              <w:spacing w:after="0"/>
              <w:rPr>
                <w:sz w:val="1"/>
                <w:szCs w:val="1"/>
                <w:color w:val="auto"/>
              </w:rPr>
            </w:pPr>
          </w:p>
        </w:tc>
      </w:tr>
      <w:tr>
        <w:trPr>
          <w:trHeight w:val="64"/>
        </w:trPr>
        <w:tc>
          <w:tcPr>
            <w:tcW w:w="4420" w:type="dxa"/>
            <w:vAlign w:val="bottom"/>
            <w:tcBorders>
              <w:left w:val="single" w:sz="8" w:color="auto"/>
            </w:tcBorders>
            <w:vMerge w:val="restart"/>
          </w:tcPr>
          <w:p>
            <w:pPr>
              <w:ind w:left="120"/>
              <w:spacing w:after="0" w:line="306" w:lineRule="exact"/>
              <w:rPr>
                <w:sz w:val="20"/>
                <w:szCs w:val="20"/>
                <w:color w:val="auto"/>
              </w:rPr>
            </w:pPr>
            <w:r>
              <w:rPr>
                <w:rFonts w:ascii="Calibri" w:cs="Calibri" w:eastAsia="Calibri" w:hAnsi="Calibri"/>
                <w:sz w:val="20"/>
                <w:szCs w:val="20"/>
                <w:color w:val="auto"/>
              </w:rPr>
              <w:t>Kirby Inland Marine, LP (“KIM”)</w:t>
            </w:r>
            <w:r>
              <w:rPr>
                <w:rFonts w:ascii="Calibri" w:cs="Calibri" w:eastAsia="Calibri" w:hAnsi="Calibri"/>
                <w:sz w:val="26"/>
                <w:szCs w:val="26"/>
                <w:color w:val="auto"/>
                <w:vertAlign w:val="superscript"/>
              </w:rPr>
              <w:t>1</w:t>
            </w:r>
          </w:p>
        </w:tc>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4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4420" w:type="dxa"/>
            <w:vAlign w:val="bottom"/>
            <w:tcBorders>
              <w:left w:val="single" w:sz="8" w:color="auto"/>
            </w:tcBorders>
            <w:vMerge w:val="continue"/>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80"/>
              <w:spacing w:after="0" w:line="214" w:lineRule="exact"/>
              <w:rPr>
                <w:sz w:val="20"/>
                <w:szCs w:val="20"/>
                <w:color w:val="auto"/>
              </w:rPr>
            </w:pPr>
            <w:r>
              <w:rPr>
                <w:rFonts w:ascii="Calibri" w:cs="Calibri" w:eastAsia="Calibri" w:hAnsi="Calibri"/>
                <w:sz w:val="20"/>
                <w:szCs w:val="20"/>
                <w:color w:val="auto"/>
              </w:rPr>
              <w:t>Kirby Engine Systems, Inc. (“KES”)</w:t>
            </w:r>
          </w:p>
        </w:tc>
        <w:tc>
          <w:tcPr>
            <w:tcW w:w="0" w:type="dxa"/>
            <w:vAlign w:val="bottom"/>
          </w:tcPr>
          <w:p>
            <w:pPr>
              <w:spacing w:after="0"/>
              <w:rPr>
                <w:sz w:val="1"/>
                <w:szCs w:val="1"/>
                <w:color w:val="auto"/>
              </w:rPr>
            </w:pPr>
          </w:p>
        </w:tc>
      </w:tr>
      <w:tr>
        <w:trPr>
          <w:trHeight w:val="62"/>
        </w:trPr>
        <w:tc>
          <w:tcPr>
            <w:tcW w:w="4460" w:type="dxa"/>
            <w:vAlign w:val="bottom"/>
            <w:tcBorders>
              <w:left w:val="single" w:sz="8" w:color="auto"/>
              <w:bottom w:val="single" w:sz="8" w:color="auto"/>
              <w:right w:val="single" w:sz="8" w:color="auto"/>
            </w:tcBorders>
            <w:gridSpan w:val="2"/>
          </w:tcPr>
          <w:p>
            <w:pPr>
              <w:spacing w:after="0"/>
              <w:rPr>
                <w:sz w:val="5"/>
                <w:szCs w:val="5"/>
                <w:color w:val="auto"/>
              </w:rPr>
            </w:pPr>
          </w:p>
        </w:tc>
        <w:tc>
          <w:tcPr>
            <w:tcW w:w="4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460" w:type="dxa"/>
            <w:vAlign w:val="bottom"/>
            <w:tcBorders>
              <w:left w:val="single" w:sz="8" w:color="auto"/>
              <w:right w:val="single" w:sz="8" w:color="auto"/>
            </w:tcBorders>
            <w:gridSpan w:val="2"/>
          </w:tcPr>
          <w:p>
            <w:pPr>
              <w:ind w:left="120"/>
              <w:spacing w:after="0" w:line="212" w:lineRule="exact"/>
              <w:rPr>
                <w:sz w:val="20"/>
                <w:szCs w:val="20"/>
                <w:color w:val="auto"/>
              </w:rPr>
            </w:pPr>
            <w:r>
              <w:rPr>
                <w:rFonts w:ascii="Calibri" w:cs="Calibri" w:eastAsia="Calibri" w:hAnsi="Calibri"/>
                <w:sz w:val="20"/>
                <w:szCs w:val="20"/>
                <w:color w:val="auto"/>
              </w:rPr>
              <w:t>Kirby Ofshore Marine, LLC (“KOM”)</w:t>
            </w:r>
          </w:p>
        </w:tc>
        <w:tc>
          <w:tcPr>
            <w:tcW w:w="4300" w:type="dxa"/>
            <w:vAlign w:val="bottom"/>
            <w:tcBorders>
              <w:right w:val="single" w:sz="8" w:color="auto"/>
            </w:tcBorders>
          </w:tcPr>
          <w:p>
            <w:pPr>
              <w:ind w:left="80"/>
              <w:spacing w:after="0" w:line="212" w:lineRule="exact"/>
              <w:rPr>
                <w:sz w:val="20"/>
                <w:szCs w:val="20"/>
                <w:color w:val="auto"/>
              </w:rPr>
            </w:pPr>
            <w:r>
              <w:rPr>
                <w:rFonts w:ascii="Calibri" w:cs="Calibri" w:eastAsia="Calibri" w:hAnsi="Calibri"/>
                <w:sz w:val="20"/>
                <w:szCs w:val="20"/>
                <w:color w:val="auto"/>
              </w:rPr>
              <w:t>Atlantc and Florida Detroit Diesel Allison</w:t>
            </w:r>
          </w:p>
        </w:tc>
        <w:tc>
          <w:tcPr>
            <w:tcW w:w="0" w:type="dxa"/>
            <w:vAlign w:val="bottom"/>
          </w:tcPr>
          <w:p>
            <w:pPr>
              <w:spacing w:after="0"/>
              <w:rPr>
                <w:sz w:val="1"/>
                <w:szCs w:val="1"/>
                <w:color w:val="auto"/>
              </w:rPr>
            </w:pPr>
          </w:p>
        </w:tc>
      </w:tr>
      <w:tr>
        <w:trPr>
          <w:trHeight w:val="234"/>
        </w:trPr>
        <w:tc>
          <w:tcPr>
            <w:tcW w:w="4420" w:type="dxa"/>
            <w:vAlign w:val="bottom"/>
            <w:tcBorders>
              <w:lef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300" w:type="dxa"/>
            <w:vAlign w:val="bottom"/>
            <w:tcBorders>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(“DDAs”)</w:t>
            </w:r>
          </w:p>
        </w:tc>
        <w:tc>
          <w:tcPr>
            <w:tcW w:w="0" w:type="dxa"/>
            <w:vAlign w:val="bottom"/>
          </w:tcPr>
          <w:p>
            <w:pPr>
              <w:spacing w:after="0"/>
              <w:rPr>
                <w:sz w:val="1"/>
                <w:szCs w:val="1"/>
                <w:color w:val="auto"/>
              </w:rPr>
            </w:pPr>
          </w:p>
        </w:tc>
      </w:tr>
      <w:tr>
        <w:trPr>
          <w:trHeight w:val="100"/>
        </w:trPr>
        <w:tc>
          <w:tcPr>
            <w:tcW w:w="4460" w:type="dxa"/>
            <w:vAlign w:val="bottom"/>
            <w:tcBorders>
              <w:left w:val="single" w:sz="8" w:color="auto"/>
              <w:bottom w:val="single" w:sz="8" w:color="auto"/>
              <w:right w:val="single" w:sz="8" w:color="auto"/>
            </w:tcBorders>
            <w:gridSpan w:val="2"/>
          </w:tcPr>
          <w:p>
            <w:pPr>
              <w:spacing w:after="0"/>
              <w:rPr>
                <w:sz w:val="8"/>
                <w:szCs w:val="8"/>
                <w:color w:val="auto"/>
              </w:rPr>
            </w:pPr>
          </w:p>
        </w:tc>
        <w:tc>
          <w:tcPr>
            <w:tcW w:w="4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460" w:type="dxa"/>
            <w:vAlign w:val="bottom"/>
            <w:tcBorders>
              <w:left w:val="single" w:sz="8" w:color="auto"/>
              <w:right w:val="single" w:sz="8" w:color="auto"/>
            </w:tcBorders>
            <w:gridSpan w:val="2"/>
          </w:tcPr>
          <w:p>
            <w:pPr>
              <w:ind w:left="120"/>
              <w:spacing w:after="0" w:line="228" w:lineRule="exact"/>
              <w:rPr>
                <w:sz w:val="20"/>
                <w:szCs w:val="20"/>
                <w:color w:val="auto"/>
              </w:rPr>
            </w:pPr>
            <w:r>
              <w:rPr>
                <w:rFonts w:ascii="Calibri" w:cs="Calibri" w:eastAsia="Calibri" w:hAnsi="Calibri"/>
                <w:sz w:val="20"/>
                <w:szCs w:val="20"/>
                <w:color w:val="auto"/>
              </w:rPr>
              <w:t>S&amp;S and United (S&amp;S UE)</w:t>
            </w:r>
          </w:p>
        </w:tc>
        <w:tc>
          <w:tcPr>
            <w:tcW w:w="4300" w:type="dxa"/>
            <w:vAlign w:val="bottom"/>
            <w:tcBorders>
              <w:right w:val="single" w:sz="8" w:color="auto"/>
            </w:tcBorders>
          </w:tcPr>
          <w:p>
            <w:pPr>
              <w:ind w:left="80"/>
              <w:spacing w:after="0" w:line="228" w:lineRule="exact"/>
              <w:rPr>
                <w:sz w:val="20"/>
                <w:szCs w:val="20"/>
                <w:color w:val="auto"/>
              </w:rPr>
            </w:pPr>
            <w:r>
              <w:rPr>
                <w:rFonts w:ascii="Calibri" w:cs="Calibri" w:eastAsia="Calibri" w:hAnsi="Calibri"/>
                <w:sz w:val="20"/>
                <w:szCs w:val="20"/>
                <w:color w:val="auto"/>
              </w:rPr>
              <w:t>KDS Consolidated (KDS)</w:t>
            </w:r>
          </w:p>
        </w:tc>
        <w:tc>
          <w:tcPr>
            <w:tcW w:w="0" w:type="dxa"/>
            <w:vAlign w:val="bottom"/>
          </w:tcPr>
          <w:p>
            <w:pPr>
              <w:spacing w:after="0"/>
              <w:rPr>
                <w:sz w:val="1"/>
                <w:szCs w:val="1"/>
                <w:color w:val="auto"/>
              </w:rPr>
            </w:pPr>
          </w:p>
        </w:tc>
      </w:tr>
      <w:tr>
        <w:trPr>
          <w:trHeight w:val="76"/>
        </w:trPr>
        <w:tc>
          <w:tcPr>
            <w:tcW w:w="442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-781685</wp:posOffset>
            </wp:positionV>
            <wp:extent cx="2815590" cy="127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7">
                      <a:extLst>
                        <a:ext uri="{28A0092B-C50C-407E-A947-70E740481C1C}"/>
                      </a:extLst>
                    </a:blip>
                    <a:srcRect/>
                    <a:stretch>
                      <a:fillRect/>
                    </a:stretch>
                  </pic:blipFill>
                  <pic:spPr bwMode="auto">
                    <a:xfrm>
                      <a:off x="0" y="0"/>
                      <a:ext cx="2815590" cy="1270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18"/>
        </w:numPr>
        <w:rPr>
          <w:rFonts w:ascii="Calibri" w:cs="Calibri" w:eastAsia="Calibri" w:hAnsi="Calibri"/>
          <w:sz w:val="27"/>
          <w:szCs w:val="27"/>
          <w:color w:val="auto"/>
          <w:vertAlign w:val="superscript"/>
        </w:rPr>
      </w:pPr>
      <w:r>
        <w:rPr>
          <w:rFonts w:ascii="Calibri" w:cs="Calibri" w:eastAsia="Calibri" w:hAnsi="Calibri"/>
          <w:sz w:val="20"/>
          <w:szCs w:val="20"/>
          <w:color w:val="auto"/>
        </w:rPr>
        <w:t>KIM includes Kirby Ocean Transport Company, San Jac Marine and Osprey Line, LLC.</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Performance Period</w:t>
      </w:r>
    </w:p>
    <w:p>
      <w:pPr>
        <w:spacing w:after="0" w:line="252" w:lineRule="exact"/>
        <w:rPr>
          <w:sz w:val="20"/>
          <w:szCs w:val="20"/>
          <w:color w:val="auto"/>
        </w:rPr>
      </w:pPr>
    </w:p>
    <w:p>
      <w:pPr>
        <w:jc w:val="both"/>
        <w:ind w:right="100"/>
        <w:spacing w:after="0" w:line="237" w:lineRule="auto"/>
        <w:rPr>
          <w:sz w:val="20"/>
          <w:szCs w:val="20"/>
          <w:color w:val="auto"/>
        </w:rPr>
      </w:pPr>
      <w:r>
        <w:rPr>
          <w:rFonts w:ascii="Calibri" w:cs="Calibri" w:eastAsia="Calibri" w:hAnsi="Calibri"/>
          <w:sz w:val="20"/>
          <w:szCs w:val="20"/>
          <w:color w:val="auto"/>
        </w:rPr>
        <w:t>Performance is measured on a calendar year basis for the Plan. The Performance Period begins on January 1, 2025 and ends on December 31, 2025. Except as expressly provided in these Guidelines in the case of new employees or terminaton of employment, incentve compensaton payments under the Plan are for the full year 2025 and shall not be reduced for the period between the commencement of the Performance Period and the date on which the Compensaton Commitee approves these Guidelines and the individual bonus targets for partcipants in the Plan.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85" w:name="page86"/>
    <w:bookmarkEnd w:id="85"/>
    <w:p>
      <w:pPr>
        <w:spacing w:after="0"/>
        <w:rPr>
          <w:sz w:val="20"/>
          <w:szCs w:val="20"/>
          <w:color w:val="auto"/>
        </w:rPr>
      </w:pPr>
      <w:r>
        <w:rPr>
          <w:rFonts w:ascii="Calibri" w:cs="Calibri" w:eastAsia="Calibri" w:hAnsi="Calibri"/>
          <w:sz w:val="20"/>
          <w:szCs w:val="20"/>
          <w:b w:val="1"/>
          <w:bCs w:val="1"/>
          <w:i w:val="1"/>
          <w:iCs w:val="1"/>
          <w:color w:val="auto"/>
        </w:rPr>
        <w:t>Eligibility</w:t>
      </w:r>
    </w:p>
    <w:p>
      <w:pPr>
        <w:spacing w:after="0" w:line="265" w:lineRule="exact"/>
        <w:rPr>
          <w:sz w:val="20"/>
          <w:szCs w:val="20"/>
          <w:color w:val="auto"/>
        </w:rPr>
      </w:pPr>
    </w:p>
    <w:p>
      <w:pPr>
        <w:jc w:val="both"/>
        <w:ind w:left="760" w:hanging="378"/>
        <w:spacing w:after="0" w:line="236"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Generally, managerial employees and KIM wheelhouse employees classifed as Captain, Relief Captain or Pilot, are eligible for partcipaton. Selecton for partcipaton in the Plan is based upon each positon’s ability to impact long-term fnancial results of the Company and designaton by management.</w:t>
      </w:r>
    </w:p>
    <w:p>
      <w:pPr>
        <w:spacing w:after="0" w:line="265" w:lineRule="exact"/>
        <w:rPr>
          <w:rFonts w:ascii="Times New Roman" w:cs="Times New Roman" w:eastAsia="Times New Roman" w:hAnsi="Times New Roman"/>
          <w:sz w:val="20"/>
          <w:szCs w:val="20"/>
          <w:color w:val="auto"/>
        </w:rPr>
      </w:pPr>
    </w:p>
    <w:p>
      <w:pPr>
        <w:jc w:val="both"/>
        <w:ind w:left="760" w:hanging="378"/>
        <w:spacing w:after="0"/>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 be eligible to receive an incentve payment under the Plan, partcipants must be employed on the last day of the Performance Period and on the date bonuses are paid for the Performance Period, unless their terminaton reason is death or disability or if they meet the requirements of a retrement. For the purposes of the Plan, the defniton of retrement is a calculaton resultng in either 1) 65 years of age on terminaton date or 2) age plus years of service with the Company is greater than or equal to 80.</w:t>
      </w:r>
    </w:p>
    <w:p>
      <w:pPr>
        <w:spacing w:after="0" w:line="200" w:lineRule="exact"/>
        <w:rPr>
          <w:rFonts w:ascii="Times New Roman" w:cs="Times New Roman" w:eastAsia="Times New Roman" w:hAnsi="Times New Roman"/>
          <w:sz w:val="20"/>
          <w:szCs w:val="20"/>
          <w:color w:val="auto"/>
        </w:rPr>
      </w:pPr>
    </w:p>
    <w:p>
      <w:pPr>
        <w:spacing w:after="0" w:line="294"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19"/>
        </w:numPr>
        <w:rPr>
          <w:rFonts w:ascii="Times New Roman" w:cs="Times New Roman" w:eastAsia="Times New Roman" w:hAnsi="Times New Roman"/>
          <w:sz w:val="20"/>
          <w:szCs w:val="20"/>
          <w:color w:val="auto"/>
        </w:rPr>
      </w:pPr>
      <w:r>
        <w:rPr>
          <w:rFonts w:ascii="Calibri" w:cs="Calibri" w:eastAsia="Calibri" w:hAnsi="Calibri"/>
          <w:sz w:val="20"/>
          <w:szCs w:val="20"/>
          <w:color w:val="auto"/>
        </w:rPr>
        <w:t>Partcipaton in the Plan in 2025 does not guarantee partcipaton in similar plans in future years. Partcipants in the Plan or in similar plans in future years will be notfed annually of their selecton for partcipaton.</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Individual Bonus Targets</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Each partcipant will be assigned a target bonus level defned as a percentage of base salary earned during the Performance Period. This bonus target is based on compettve market practces, as well as the employee’s ability to impact long-term Company performance. Market practces will be determined using data from either general industry, the marine transportaton industry or the distributon and services industry, depending upon the individual positon being considered.</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Aggregate Payment Amount</w:t>
      </w:r>
    </w:p>
    <w:p>
      <w:pPr>
        <w:spacing w:after="0" w:line="252"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At the end of the year, a preliminary incentve payment amount will frst be calculated for each partcipant in the Plan to determine the Aggregate Payment Amount for all partcipants for the year. The preliminary incentve payment amount for each partcipant will be calculated as of December 31, 2025 based on the target incentve level for such partcipant and the calculaton formulas described in these Guidelines. The Aggregate Payment Amount under the Plan shall equal the sum of all such preliminary incentve payment amounts.</w:t>
      </w:r>
    </w:p>
    <w:p>
      <w:pPr>
        <w:spacing w:after="0" w:line="200" w:lineRule="exact"/>
        <w:rPr>
          <w:sz w:val="20"/>
          <w:szCs w:val="20"/>
          <w:color w:val="auto"/>
        </w:rPr>
      </w:pPr>
    </w:p>
    <w:p>
      <w:pPr>
        <w:spacing w:after="0" w:line="281"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will be obligated to pay out the full Aggregate Payment Amount to eligible partcipants, subject to the discreton of the Compensaton Commitee, and the Chief Executve Ofcer to the extent authorized under these Guidelines, with respect to the allocaton of the Aggregate Payment Amount among individual partcipants. Therefore, the Company’s obligaton to pay out the Aggregate Payment Amount becomes fxed on the last day of the Performance Period.</w:t>
      </w:r>
    </w:p>
    <w:p>
      <w:pPr>
        <w:spacing w:after="0" w:line="25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Compensaton Commitee, and the Chief Executve Ofcer if applicable, may determine the amount of the bonus paid to any partcipant based on the performance measures described in the Plan or any other criteria deemed appropriate in its discreton, provided that in no event will the aggregate incentve payments made pursuant to the Plan exceed the Aggregate Payment Amount.</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Performance Measures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performance measures for the Plan are:</w:t>
      </w:r>
    </w:p>
    <w:p>
      <w:pPr>
        <w:spacing w:after="0" w:line="12"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EBITDA (Earnings before interest, taxes, depreciaton and amortzaton)</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EPS (Earnings per share)</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Return on Total Capital (Earnings before interest and taxes divided by average capital)</w:t>
      </w:r>
    </w:p>
    <w:p>
      <w:pPr>
        <w:spacing w:after="0" w:line="1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Calibri" w:cs="Calibri" w:eastAsia="Calibri" w:hAnsi="Calibri"/>
          <w:sz w:val="20"/>
          <w:szCs w:val="20"/>
          <w:color w:val="auto"/>
        </w:rPr>
        <w:t>OP/ESG (metrics set on annual basis)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86" w:name="page87"/>
    <w:bookmarkEnd w:id="86"/>
    <w:p>
      <w:pPr>
        <w:spacing w:after="0" w:line="234" w:lineRule="auto"/>
        <w:rPr>
          <w:sz w:val="20"/>
          <w:szCs w:val="20"/>
          <w:color w:val="auto"/>
        </w:rPr>
      </w:pPr>
      <w:r>
        <w:rPr>
          <w:rFonts w:ascii="Calibri" w:cs="Calibri" w:eastAsia="Calibri" w:hAnsi="Calibri"/>
          <w:sz w:val="20"/>
          <w:szCs w:val="20"/>
          <w:color w:val="auto"/>
        </w:rPr>
        <w:t>Annual performance targets will be established for each measure based on Kirby’s budget for the year and each of the performance measures will have the following weight in calculatng the preliminary incentve payment amount for each partcipant: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45020" cy="3130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0">
                      <a:extLst>
                        <a:ext uri="{28A0092B-C50C-407E-A947-70E740481C1C}"/>
                      </a:extLst>
                    </a:blip>
                    <a:srcRect/>
                    <a:stretch>
                      <a:fillRect/>
                    </a:stretch>
                  </pic:blipFill>
                  <pic:spPr bwMode="auto">
                    <a:xfrm>
                      <a:off x="0" y="0"/>
                      <a:ext cx="7145020" cy="313055"/>
                    </a:xfrm>
                    <a:prstGeom prst="rect">
                      <a:avLst/>
                    </a:prstGeom>
                    <a:noFill/>
                  </pic:spPr>
                </pic:pic>
              </a:graphicData>
            </a:graphic>
          </wp:anchor>
        </w:drawing>
      </w:r>
    </w:p>
    <w:p>
      <w:pPr>
        <w:spacing w:after="0" w:line="244" w:lineRule="exact"/>
        <w:rPr>
          <w:sz w:val="20"/>
          <w:szCs w:val="20"/>
          <w:color w:val="auto"/>
        </w:rPr>
      </w:pPr>
    </w:p>
    <w:p>
      <w:pPr>
        <w:ind w:left="4160"/>
        <w:spacing w:after="0"/>
        <w:rPr>
          <w:sz w:val="20"/>
          <w:szCs w:val="20"/>
          <w:color w:val="auto"/>
        </w:rPr>
      </w:pPr>
      <w:r>
        <w:rPr>
          <w:rFonts w:ascii="Calibri" w:cs="Calibri" w:eastAsia="Calibri" w:hAnsi="Calibri"/>
          <w:sz w:val="18"/>
          <w:szCs w:val="18"/>
          <w:b w:val="1"/>
          <w:bCs w:val="1"/>
          <w:color w:val="auto"/>
        </w:rPr>
        <w:t>Performance Measures for Incentve Payment Calculatons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360" w:type="dxa"/>
            <w:vAlign w:val="bottom"/>
            <w:tcBorders>
              <w:left w:val="single" w:sz="8" w:color="auto"/>
              <w:bottom w:val="single" w:sz="8" w:color="auto"/>
              <w:right w:val="single" w:sz="8" w:color="auto"/>
            </w:tcBorders>
          </w:tcPr>
          <w:p>
            <w:pPr>
              <w:ind w:left="400"/>
              <w:spacing w:after="0"/>
              <w:rPr>
                <w:sz w:val="20"/>
                <w:szCs w:val="20"/>
                <w:color w:val="auto"/>
              </w:rPr>
            </w:pPr>
            <w:r>
              <w:rPr>
                <w:rFonts w:ascii="Calibri" w:cs="Calibri" w:eastAsia="Calibri" w:hAnsi="Calibri"/>
                <w:sz w:val="18"/>
                <w:szCs w:val="18"/>
                <w:b w:val="1"/>
                <w:bCs w:val="1"/>
                <w:color w:val="auto"/>
              </w:rPr>
              <w:t>Division</w:t>
            </w:r>
          </w:p>
        </w:tc>
        <w:tc>
          <w:tcPr>
            <w:tcW w:w="3720" w:type="dxa"/>
            <w:vAlign w:val="bottom"/>
            <w:tcBorders>
              <w:top w:val="single" w:sz="8" w:color="auto"/>
              <w:bottom w:val="single" w:sz="8" w:color="auto"/>
              <w:right w:val="single" w:sz="8" w:color="auto"/>
            </w:tcBorders>
            <w:shd w:val="clear" w:color="auto" w:fill="D6DCE4"/>
          </w:tcPr>
          <w:p>
            <w:pPr>
              <w:ind w:left="1280"/>
              <w:spacing w:after="0"/>
              <w:rPr>
                <w:sz w:val="20"/>
                <w:szCs w:val="20"/>
                <w:color w:val="auto"/>
              </w:rPr>
            </w:pPr>
            <w:r>
              <w:rPr>
                <w:rFonts w:ascii="Calibri" w:cs="Calibri" w:eastAsia="Calibri" w:hAnsi="Calibri"/>
                <w:sz w:val="18"/>
                <w:szCs w:val="18"/>
                <w:b w:val="1"/>
                <w:bCs w:val="1"/>
                <w:color w:val="auto"/>
              </w:rPr>
              <w:t>Business Group</w:t>
            </w:r>
          </w:p>
        </w:tc>
        <w:tc>
          <w:tcPr>
            <w:tcW w:w="1580" w:type="dxa"/>
            <w:vAlign w:val="bottom"/>
            <w:tcBorders>
              <w:top w:val="single" w:sz="8" w:color="auto"/>
              <w:bottom w:val="single" w:sz="8" w:color="auto"/>
              <w:right w:val="single" w:sz="8" w:color="auto"/>
            </w:tcBorders>
            <w:shd w:val="clear" w:color="auto" w:fill="D6DCE4"/>
          </w:tcPr>
          <w:p>
            <w:pPr>
              <w:ind w:left="380"/>
              <w:spacing w:after="0"/>
              <w:rPr>
                <w:sz w:val="20"/>
                <w:szCs w:val="20"/>
                <w:color w:val="auto"/>
              </w:rPr>
            </w:pPr>
            <w:r>
              <w:rPr>
                <w:rFonts w:ascii="Calibri" w:cs="Calibri" w:eastAsia="Calibri" w:hAnsi="Calibri"/>
                <w:sz w:val="18"/>
                <w:szCs w:val="18"/>
                <w:b w:val="1"/>
                <w:bCs w:val="1"/>
                <w:color w:val="auto"/>
              </w:rPr>
              <w:t>Measure 1</w:t>
            </w:r>
          </w:p>
        </w:tc>
        <w:tc>
          <w:tcPr>
            <w:tcW w:w="1460" w:type="dxa"/>
            <w:vAlign w:val="bottom"/>
            <w:tcBorders>
              <w:top w:val="single" w:sz="8" w:color="auto"/>
              <w:bottom w:val="single" w:sz="8" w:color="auto"/>
              <w:right w:val="single" w:sz="8" w:color="auto"/>
            </w:tcBorders>
            <w:shd w:val="clear" w:color="auto" w:fill="D6DCE4"/>
          </w:tcPr>
          <w:p>
            <w:pPr>
              <w:ind w:left="320"/>
              <w:spacing w:after="0"/>
              <w:rPr>
                <w:sz w:val="20"/>
                <w:szCs w:val="20"/>
                <w:color w:val="auto"/>
              </w:rPr>
            </w:pPr>
            <w:r>
              <w:rPr>
                <w:rFonts w:ascii="Calibri" w:cs="Calibri" w:eastAsia="Calibri" w:hAnsi="Calibri"/>
                <w:sz w:val="18"/>
                <w:szCs w:val="18"/>
                <w:b w:val="1"/>
                <w:bCs w:val="1"/>
                <w:color w:val="auto"/>
              </w:rPr>
              <w:t>Measure 2</w:t>
            </w:r>
          </w:p>
        </w:tc>
        <w:tc>
          <w:tcPr>
            <w:tcW w:w="1460" w:type="dxa"/>
            <w:vAlign w:val="bottom"/>
            <w:tcBorders>
              <w:top w:val="single" w:sz="8" w:color="auto"/>
              <w:bottom w:val="single" w:sz="8" w:color="auto"/>
              <w:right w:val="single" w:sz="8" w:color="auto"/>
            </w:tcBorders>
            <w:shd w:val="clear" w:color="auto" w:fill="D6DCE4"/>
          </w:tcPr>
          <w:p>
            <w:pPr>
              <w:ind w:left="320"/>
              <w:spacing w:after="0"/>
              <w:rPr>
                <w:sz w:val="20"/>
                <w:szCs w:val="20"/>
                <w:color w:val="auto"/>
              </w:rPr>
            </w:pPr>
            <w:r>
              <w:rPr>
                <w:rFonts w:ascii="Calibri" w:cs="Calibri" w:eastAsia="Calibri" w:hAnsi="Calibri"/>
                <w:sz w:val="18"/>
                <w:szCs w:val="18"/>
                <w:b w:val="1"/>
                <w:bCs w:val="1"/>
                <w:color w:val="auto"/>
              </w:rPr>
              <w:t>Measure 3</w:t>
            </w:r>
          </w:p>
        </w:tc>
        <w:tc>
          <w:tcPr>
            <w:tcW w:w="1660" w:type="dxa"/>
            <w:vAlign w:val="bottom"/>
            <w:tcBorders>
              <w:top w:val="single" w:sz="8" w:color="auto"/>
              <w:bottom w:val="single" w:sz="8" w:color="auto"/>
              <w:right w:val="single" w:sz="8" w:color="D6DCE4"/>
            </w:tcBorders>
            <w:shd w:val="clear" w:color="auto" w:fill="D6DCE4"/>
          </w:tcPr>
          <w:p>
            <w:pPr>
              <w:ind w:left="400"/>
              <w:spacing w:after="0"/>
              <w:rPr>
                <w:sz w:val="20"/>
                <w:szCs w:val="20"/>
                <w:color w:val="auto"/>
              </w:rPr>
            </w:pPr>
            <w:r>
              <w:rPr>
                <w:rFonts w:ascii="Calibri" w:cs="Calibri" w:eastAsia="Calibri" w:hAnsi="Calibri"/>
                <w:sz w:val="18"/>
                <w:szCs w:val="18"/>
                <w:b w:val="1"/>
                <w:bCs w:val="1"/>
                <w:color w:val="auto"/>
              </w:rPr>
              <w:t>Measure 4</w:t>
            </w:r>
          </w:p>
        </w:tc>
      </w:tr>
      <w:tr>
        <w:trPr>
          <w:trHeight w:val="193"/>
        </w:trPr>
        <w:tc>
          <w:tcPr>
            <w:tcW w:w="1360" w:type="dxa"/>
            <w:vAlign w:val="bottom"/>
            <w:tcBorders>
              <w:right w:val="single" w:sz="8" w:color="auto"/>
            </w:tcBorders>
          </w:tcPr>
          <w:p>
            <w:pPr>
              <w:ind w:left="120"/>
              <w:spacing w:after="0" w:line="193" w:lineRule="exact"/>
              <w:rPr>
                <w:sz w:val="20"/>
                <w:szCs w:val="20"/>
                <w:color w:val="auto"/>
              </w:rPr>
            </w:pPr>
            <w:r>
              <w:rPr>
                <w:rFonts w:ascii="Calibri" w:cs="Calibri" w:eastAsia="Calibri" w:hAnsi="Calibri"/>
                <w:sz w:val="20"/>
                <w:szCs w:val="20"/>
                <w:color w:val="auto"/>
              </w:rPr>
              <w:t>Corporate</w:t>
            </w:r>
          </w:p>
        </w:tc>
        <w:tc>
          <w:tcPr>
            <w:tcW w:w="3720" w:type="dxa"/>
            <w:vAlign w:val="bottom"/>
            <w:tcBorders>
              <w:right w:val="single" w:sz="8" w:color="auto"/>
            </w:tcBorders>
          </w:tcPr>
          <w:p>
            <w:pPr>
              <w:ind w:left="100"/>
              <w:spacing w:after="0" w:line="193" w:lineRule="exact"/>
              <w:rPr>
                <w:sz w:val="20"/>
                <w:szCs w:val="20"/>
                <w:color w:val="auto"/>
              </w:rPr>
            </w:pPr>
            <w:r>
              <w:rPr>
                <w:rFonts w:ascii="Calibri" w:cs="Calibri" w:eastAsia="Calibri" w:hAnsi="Calibri"/>
                <w:sz w:val="20"/>
                <w:szCs w:val="20"/>
                <w:color w:val="auto"/>
              </w:rPr>
              <w:t>Kirby Corporate Services (KCS)</w:t>
            </w:r>
          </w:p>
        </w:tc>
        <w:tc>
          <w:tcPr>
            <w:tcW w:w="158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EBITDA 40%</w:t>
            </w:r>
          </w:p>
        </w:tc>
        <w:tc>
          <w:tcPr>
            <w:tcW w:w="146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EPS 30%</w:t>
            </w:r>
          </w:p>
        </w:tc>
        <w:tc>
          <w:tcPr>
            <w:tcW w:w="146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ROTC 10%</w:t>
            </w:r>
          </w:p>
        </w:tc>
        <w:tc>
          <w:tcPr>
            <w:tcW w:w="1660" w:type="dxa"/>
            <w:vAlign w:val="bottom"/>
            <w:tcBorders>
              <w:right w:val="single" w:sz="8" w:color="auto"/>
            </w:tcBorders>
          </w:tcPr>
          <w:p>
            <w:pPr>
              <w:ind w:left="80"/>
              <w:spacing w:after="0" w:line="193" w:lineRule="exact"/>
              <w:rPr>
                <w:sz w:val="20"/>
                <w:szCs w:val="20"/>
                <w:color w:val="auto"/>
              </w:rPr>
            </w:pPr>
            <w:r>
              <w:rPr>
                <w:rFonts w:ascii="Calibri" w:cs="Calibri" w:eastAsia="Calibri" w:hAnsi="Calibri"/>
                <w:sz w:val="20"/>
                <w:szCs w:val="20"/>
                <w:color w:val="auto"/>
              </w:rPr>
              <w:t>OP/ESG 20%</w:t>
            </w:r>
          </w:p>
        </w:tc>
      </w:tr>
      <w:tr>
        <w:trPr>
          <w:trHeight w:val="301"/>
        </w:trPr>
        <w:tc>
          <w:tcPr>
            <w:tcW w:w="1360" w:type="dxa"/>
            <w:vAlign w:val="bottom"/>
            <w:tcBorders>
              <w:bottom w:val="single" w:sz="8" w:color="auto"/>
              <w:right w:val="single" w:sz="8" w:color="auto"/>
            </w:tcBorders>
          </w:tcPr>
          <w:p>
            <w:pPr>
              <w:ind w:left="120"/>
              <w:spacing w:after="0"/>
              <w:rPr>
                <w:sz w:val="20"/>
                <w:szCs w:val="20"/>
                <w:color w:val="auto"/>
              </w:rPr>
            </w:pPr>
            <w:r>
              <w:rPr>
                <w:rFonts w:ascii="Calibri" w:cs="Calibri" w:eastAsia="Calibri" w:hAnsi="Calibri"/>
                <w:sz w:val="20"/>
                <w:szCs w:val="20"/>
                <w:color w:val="auto"/>
              </w:rPr>
              <w:t>Marine</w:t>
            </w:r>
          </w:p>
        </w:tc>
        <w:tc>
          <w:tcPr>
            <w:tcW w:w="3720" w:type="dxa"/>
            <w:vAlign w:val="bottom"/>
            <w:tcBorders>
              <w:bottom w:val="single" w:sz="8" w:color="auto"/>
              <w:right w:val="single" w:sz="8" w:color="auto"/>
            </w:tcBorders>
          </w:tcPr>
          <w:p>
            <w:pPr>
              <w:ind w:left="100"/>
              <w:spacing w:after="0" w:line="301" w:lineRule="exact"/>
              <w:rPr>
                <w:sz w:val="20"/>
                <w:szCs w:val="20"/>
                <w:color w:val="auto"/>
              </w:rPr>
            </w:pPr>
            <w:r>
              <w:rPr>
                <w:rFonts w:ascii="Calibri" w:cs="Calibri" w:eastAsia="Calibri" w:hAnsi="Calibri"/>
                <w:sz w:val="20"/>
                <w:szCs w:val="20"/>
                <w:color w:val="auto"/>
              </w:rPr>
              <w:t>Kirby Inland Marine (KIM)</w:t>
            </w:r>
            <w:r>
              <w:rPr>
                <w:rFonts w:ascii="Calibri" w:cs="Calibri" w:eastAsia="Calibri" w:hAnsi="Calibri"/>
                <w:sz w:val="26"/>
                <w:szCs w:val="26"/>
                <w:color w:val="auto"/>
                <w:vertAlign w:val="superscript"/>
              </w:rPr>
              <w:t>1</w:t>
            </w:r>
          </w:p>
        </w:tc>
        <w:tc>
          <w:tcPr>
            <w:tcW w:w="158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EBITDA 80%</w:t>
            </w: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OP/ESG 20%</w:t>
            </w:r>
          </w:p>
        </w:tc>
      </w:tr>
      <w:tr>
        <w:trPr>
          <w:trHeight w:val="232"/>
        </w:trPr>
        <w:tc>
          <w:tcPr>
            <w:tcW w:w="1360" w:type="dxa"/>
            <w:vAlign w:val="bottom"/>
            <w:tcBorders>
              <w:bottom w:val="single" w:sz="8" w:color="auto"/>
              <w:right w:val="single" w:sz="8" w:color="auto"/>
            </w:tcBorders>
          </w:tcPr>
          <w:p>
            <w:pPr>
              <w:ind w:left="120"/>
              <w:spacing w:after="0" w:line="232" w:lineRule="exact"/>
              <w:rPr>
                <w:sz w:val="20"/>
                <w:szCs w:val="20"/>
                <w:color w:val="auto"/>
              </w:rPr>
            </w:pPr>
            <w:r>
              <w:rPr>
                <w:rFonts w:ascii="Calibri" w:cs="Calibri" w:eastAsia="Calibri" w:hAnsi="Calibri"/>
                <w:sz w:val="20"/>
                <w:szCs w:val="20"/>
                <w:color w:val="auto"/>
              </w:rPr>
              <w:t>Marine</w:t>
            </w:r>
          </w:p>
        </w:tc>
        <w:tc>
          <w:tcPr>
            <w:tcW w:w="372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Kirby Ofshore Marine (KOM)</w:t>
            </w:r>
          </w:p>
        </w:tc>
        <w:tc>
          <w:tcPr>
            <w:tcW w:w="158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EBITDA 80%</w:t>
            </w: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OP/ESG 20%</w:t>
            </w:r>
          </w:p>
        </w:tc>
      </w:tr>
      <w:tr>
        <w:trPr>
          <w:trHeight w:val="236"/>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Marine</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Shared (Marine)</w:t>
            </w:r>
          </w:p>
        </w:tc>
        <w:tc>
          <w:tcPr>
            <w:tcW w:w="15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r>
        <w:trPr>
          <w:trHeight w:val="196"/>
        </w:trPr>
        <w:tc>
          <w:tcPr>
            <w:tcW w:w="1360" w:type="dxa"/>
            <w:vAlign w:val="bottom"/>
            <w:tcBorders>
              <w:right w:val="single" w:sz="8" w:color="auto"/>
            </w:tcBorders>
          </w:tcPr>
          <w:p>
            <w:pPr>
              <w:ind w:left="120"/>
              <w:spacing w:after="0" w:line="197" w:lineRule="exact"/>
              <w:rPr>
                <w:sz w:val="20"/>
                <w:szCs w:val="20"/>
                <w:color w:val="auto"/>
              </w:rPr>
            </w:pPr>
            <w:r>
              <w:rPr>
                <w:rFonts w:ascii="Calibri" w:cs="Calibri" w:eastAsia="Calibri" w:hAnsi="Calibri"/>
                <w:sz w:val="20"/>
                <w:szCs w:val="20"/>
                <w:color w:val="auto"/>
              </w:rPr>
              <w:t>D&amp;S</w:t>
            </w:r>
          </w:p>
        </w:tc>
        <w:tc>
          <w:tcPr>
            <w:tcW w:w="3720" w:type="dxa"/>
            <w:vAlign w:val="bottom"/>
            <w:tcBorders>
              <w:right w:val="single" w:sz="8" w:color="auto"/>
            </w:tcBorders>
          </w:tcPr>
          <w:p>
            <w:pPr>
              <w:ind w:left="100"/>
              <w:spacing w:after="0" w:line="197" w:lineRule="exact"/>
              <w:rPr>
                <w:sz w:val="20"/>
                <w:szCs w:val="20"/>
                <w:color w:val="auto"/>
              </w:rPr>
            </w:pPr>
            <w:r>
              <w:rPr>
                <w:rFonts w:ascii="Calibri" w:cs="Calibri" w:eastAsia="Calibri" w:hAnsi="Calibri"/>
                <w:sz w:val="20"/>
                <w:szCs w:val="20"/>
                <w:color w:val="auto"/>
              </w:rPr>
              <w:t>Kirby Engine Systems (KES)</w:t>
            </w:r>
          </w:p>
        </w:tc>
        <w:tc>
          <w:tcPr>
            <w:tcW w:w="1580" w:type="dxa"/>
            <w:vAlign w:val="bottom"/>
            <w:tcBorders>
              <w:right w:val="single" w:sz="8" w:color="auto"/>
            </w:tcBorders>
          </w:tcPr>
          <w:p>
            <w:pPr>
              <w:ind w:left="80"/>
              <w:spacing w:after="0" w:line="197" w:lineRule="exact"/>
              <w:rPr>
                <w:sz w:val="20"/>
                <w:szCs w:val="20"/>
                <w:color w:val="auto"/>
              </w:rPr>
            </w:pPr>
            <w:r>
              <w:rPr>
                <w:rFonts w:ascii="Calibri" w:cs="Calibri" w:eastAsia="Calibri" w:hAnsi="Calibri"/>
                <w:sz w:val="20"/>
                <w:szCs w:val="20"/>
                <w:color w:val="auto"/>
              </w:rPr>
              <w:t>EBITDA 80%</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ind w:left="80"/>
              <w:spacing w:after="0" w:line="197" w:lineRule="exact"/>
              <w:rPr>
                <w:sz w:val="20"/>
                <w:szCs w:val="20"/>
                <w:color w:val="auto"/>
              </w:rPr>
            </w:pPr>
            <w:r>
              <w:rPr>
                <w:rFonts w:ascii="Calibri" w:cs="Calibri" w:eastAsia="Calibri" w:hAnsi="Calibri"/>
                <w:sz w:val="20"/>
                <w:szCs w:val="20"/>
                <w:color w:val="auto"/>
              </w:rPr>
              <w:t>OP/ESG 20%</w:t>
            </w:r>
          </w:p>
        </w:tc>
      </w:tr>
      <w:tr>
        <w:trPr>
          <w:trHeight w:val="301"/>
        </w:trPr>
        <w:tc>
          <w:tcPr>
            <w:tcW w:w="1360" w:type="dxa"/>
            <w:vAlign w:val="bottom"/>
            <w:tcBorders>
              <w:bottom w:val="single" w:sz="8" w:color="auto"/>
              <w:right w:val="single" w:sz="8" w:color="auto"/>
            </w:tcBorders>
          </w:tcPr>
          <w:p>
            <w:pPr>
              <w:ind w:left="120"/>
              <w:spacing w:after="0"/>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301" w:lineRule="exact"/>
              <w:rPr>
                <w:sz w:val="20"/>
                <w:szCs w:val="20"/>
                <w:color w:val="auto"/>
              </w:rPr>
            </w:pPr>
            <w:r>
              <w:rPr>
                <w:rFonts w:ascii="Calibri" w:cs="Calibri" w:eastAsia="Calibri" w:hAnsi="Calibri"/>
                <w:sz w:val="20"/>
                <w:szCs w:val="20"/>
                <w:color w:val="auto"/>
              </w:rPr>
              <w:t>ThermoKing (TK/CON)</w:t>
            </w:r>
            <w:r>
              <w:rPr>
                <w:rFonts w:ascii="Calibri" w:cs="Calibri" w:eastAsia="Calibri" w:hAnsi="Calibri"/>
                <w:sz w:val="26"/>
                <w:szCs w:val="26"/>
                <w:color w:val="auto"/>
                <w:vertAlign w:val="superscript"/>
              </w:rPr>
              <w:t>2</w:t>
            </w:r>
          </w:p>
        </w:tc>
        <w:tc>
          <w:tcPr>
            <w:tcW w:w="158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EBITDA 80%</w:t>
            </w: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OP/ESG 20%</w:t>
            </w:r>
          </w:p>
        </w:tc>
      </w:tr>
      <w:tr>
        <w:trPr>
          <w:trHeight w:val="232"/>
        </w:trPr>
        <w:tc>
          <w:tcPr>
            <w:tcW w:w="1360" w:type="dxa"/>
            <w:vAlign w:val="bottom"/>
            <w:tcBorders>
              <w:bottom w:val="single" w:sz="8" w:color="auto"/>
              <w:right w:val="single" w:sz="8" w:color="auto"/>
            </w:tcBorders>
          </w:tcPr>
          <w:p>
            <w:pPr>
              <w:ind w:left="120"/>
              <w:spacing w:after="0" w:line="232"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2" w:lineRule="exact"/>
              <w:rPr>
                <w:sz w:val="20"/>
                <w:szCs w:val="20"/>
                <w:color w:val="auto"/>
              </w:rPr>
            </w:pPr>
            <w:r>
              <w:rPr>
                <w:rFonts w:ascii="Calibri" w:cs="Calibri" w:eastAsia="Calibri" w:hAnsi="Calibri"/>
                <w:sz w:val="20"/>
                <w:szCs w:val="20"/>
                <w:color w:val="auto"/>
              </w:rPr>
              <w:t>Detroit Diesel Allison (DDAs)</w:t>
            </w:r>
          </w:p>
        </w:tc>
        <w:tc>
          <w:tcPr>
            <w:tcW w:w="158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EBITDA 80%</w:t>
            </w: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2" w:lineRule="exact"/>
              <w:rPr>
                <w:sz w:val="20"/>
                <w:szCs w:val="20"/>
                <w:color w:val="auto"/>
              </w:rPr>
            </w:pPr>
            <w:r>
              <w:rPr>
                <w:rFonts w:ascii="Calibri" w:cs="Calibri" w:eastAsia="Calibri" w:hAnsi="Calibri"/>
                <w:sz w:val="20"/>
                <w:szCs w:val="20"/>
                <w:color w:val="auto"/>
              </w:rPr>
              <w:t>OP/ESG 20%</w:t>
            </w:r>
          </w:p>
        </w:tc>
      </w:tr>
      <w:tr>
        <w:trPr>
          <w:trHeight w:val="237"/>
        </w:trPr>
        <w:tc>
          <w:tcPr>
            <w:tcW w:w="1360" w:type="dxa"/>
            <w:vAlign w:val="bottom"/>
            <w:tcBorders>
              <w:bottom w:val="single" w:sz="8" w:color="auto"/>
              <w:right w:val="single" w:sz="8" w:color="auto"/>
            </w:tcBorders>
          </w:tcPr>
          <w:p>
            <w:pPr>
              <w:ind w:left="120"/>
              <w:spacing w:after="0" w:line="234" w:lineRule="exact"/>
              <w:rPr>
                <w:sz w:val="20"/>
                <w:szCs w:val="20"/>
                <w:color w:val="auto"/>
              </w:rPr>
            </w:pPr>
            <w:r>
              <w:rPr>
                <w:rFonts w:ascii="Calibri" w:cs="Calibri" w:eastAsia="Calibri" w:hAnsi="Calibri"/>
                <w:sz w:val="20"/>
                <w:szCs w:val="20"/>
                <w:color w:val="auto"/>
              </w:rPr>
              <w:t>D&amp;S</w:t>
            </w:r>
          </w:p>
        </w:tc>
        <w:tc>
          <w:tcPr>
            <w:tcW w:w="372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Consolidated (KDS)</w:t>
            </w:r>
          </w:p>
        </w:tc>
        <w:tc>
          <w:tcPr>
            <w:tcW w:w="158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EBITDA 80%</w:t>
            </w:r>
          </w:p>
        </w:tc>
        <w:tc>
          <w:tcPr>
            <w:tcW w:w="14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80"/>
              <w:spacing w:after="0" w:line="234" w:lineRule="exact"/>
              <w:rPr>
                <w:sz w:val="20"/>
                <w:szCs w:val="20"/>
                <w:color w:val="auto"/>
              </w:rPr>
            </w:pPr>
            <w:r>
              <w:rPr>
                <w:rFonts w:ascii="Calibri" w:cs="Calibri" w:eastAsia="Calibri" w:hAnsi="Calibri"/>
                <w:sz w:val="20"/>
                <w:szCs w:val="20"/>
                <w:color w:val="auto"/>
              </w:rPr>
              <w:t>OP/ESG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KIM includes Kirby Ocean Transport Company and Osprey Line, LLC. and San Jac. Marine, LP</w:t>
      </w:r>
    </w:p>
    <w:p>
      <w:pPr>
        <w:ind w:left="180" w:hanging="172"/>
        <w:spacing w:after="0" w:line="224" w:lineRule="auto"/>
        <w:tabs>
          <w:tab w:leader="none" w:pos="18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Thermo King includes Convoy</w:t>
      </w:r>
    </w:p>
    <w:p>
      <w:pPr>
        <w:ind w:left="180" w:hanging="172"/>
        <w:spacing w:after="0" w:line="224" w:lineRule="auto"/>
        <w:tabs>
          <w:tab w:leader="none" w:pos="18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EBITDA (Earnings before interest, taxes, depreciaton and amortzaton)</w:t>
      </w:r>
    </w:p>
    <w:p>
      <w:pPr>
        <w:ind w:left="180" w:hanging="172"/>
        <w:spacing w:after="0" w:line="224" w:lineRule="auto"/>
        <w:tabs>
          <w:tab w:leader="none" w:pos="18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Earnings per share</w:t>
      </w:r>
    </w:p>
    <w:p>
      <w:pPr>
        <w:ind w:left="180" w:hanging="172"/>
        <w:spacing w:after="0" w:line="224" w:lineRule="auto"/>
        <w:tabs>
          <w:tab w:leader="none" w:pos="18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ROTC (Return on total capital)</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Group Weightng</w:t>
      </w:r>
    </w:p>
    <w:p>
      <w:pPr>
        <w:spacing w:after="0" w:line="252"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Calculaton of the preliminary incentve payment amount for Business Group employees will be based primarily on Business Group performance with a defned porton based on Company performance. Calculaton of the preliminary incentve payment amount for employees of KCS will be based on Company performance. Specifc weightngs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162560</wp:posOffset>
            </wp:positionV>
            <wp:extent cx="3119755" cy="2051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3">
                      <a:extLst>
                        <a:ext uri="{28A0092B-C50C-407E-A947-70E740481C1C}"/>
                      </a:extLst>
                    </a:blip>
                    <a:srcRect/>
                    <a:stretch>
                      <a:fillRect/>
                    </a:stretch>
                  </pic:blipFill>
                  <pic:spPr bwMode="auto">
                    <a:xfrm>
                      <a:off x="0" y="0"/>
                      <a:ext cx="3119755" cy="20510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40" w:type="dxa"/>
            <w:vAlign w:val="bottom"/>
            <w:tcBorders>
              <w:right w:val="single" w:sz="8" w:color="D6DCE4"/>
            </w:tcBorders>
          </w:tcPr>
          <w:p>
            <w:pPr>
              <w:spacing w:after="0"/>
              <w:rPr>
                <w:sz w:val="23"/>
                <w:szCs w:val="23"/>
                <w:color w:val="auto"/>
              </w:rPr>
            </w:pPr>
          </w:p>
        </w:tc>
        <w:tc>
          <w:tcPr>
            <w:tcW w:w="4860" w:type="dxa"/>
            <w:vAlign w:val="bottom"/>
            <w:tcBorders>
              <w:top w:val="single" w:sz="8" w:color="D6DCE4"/>
              <w:right w:val="single" w:sz="8" w:color="D6DCE4"/>
            </w:tcBorders>
            <w:shd w:val="clear" w:color="auto" w:fill="D6DCE4"/>
          </w:tcPr>
          <w:p>
            <w:pPr>
              <w:ind w:left="100"/>
              <w:spacing w:after="0"/>
              <w:rPr>
                <w:sz w:val="20"/>
                <w:szCs w:val="20"/>
                <w:color w:val="auto"/>
              </w:rPr>
            </w:pPr>
            <w:r>
              <w:rPr>
                <w:rFonts w:ascii="Calibri" w:cs="Calibri" w:eastAsia="Calibri" w:hAnsi="Calibri"/>
                <w:sz w:val="20"/>
                <w:szCs w:val="20"/>
                <w:b w:val="1"/>
                <w:bCs w:val="1"/>
                <w:color w:val="auto"/>
              </w:rPr>
              <w:t>Business Group</w:t>
            </w:r>
          </w:p>
        </w:tc>
        <w:tc>
          <w:tcPr>
            <w:tcW w:w="1240" w:type="dxa"/>
            <w:vAlign w:val="bottom"/>
            <w:tcBorders>
              <w:top w:val="single" w:sz="8" w:color="auto"/>
              <w:right w:val="single" w:sz="8" w:color="auto"/>
            </w:tcBorders>
            <w:shd w:val="clear" w:color="auto" w:fill="D6DCE4"/>
          </w:tcPr>
          <w:p>
            <w:pPr>
              <w:jc w:val="right"/>
              <w:ind w:right="342"/>
              <w:spacing w:after="0"/>
              <w:rPr>
                <w:sz w:val="20"/>
                <w:szCs w:val="20"/>
                <w:color w:val="auto"/>
              </w:rPr>
            </w:pPr>
            <w:r>
              <w:rPr>
                <w:rFonts w:ascii="Calibri" w:cs="Calibri" w:eastAsia="Calibri" w:hAnsi="Calibri"/>
                <w:sz w:val="20"/>
                <w:szCs w:val="20"/>
                <w:b w:val="1"/>
                <w:bCs w:val="1"/>
                <w:color w:val="auto"/>
              </w:rPr>
              <w:t>Corp</w:t>
            </w:r>
          </w:p>
        </w:tc>
        <w:tc>
          <w:tcPr>
            <w:tcW w:w="1240" w:type="dxa"/>
            <w:vAlign w:val="bottom"/>
            <w:tcBorders>
              <w:top w:val="single" w:sz="8" w:color="auto"/>
              <w:right w:val="single" w:sz="8" w:color="auto"/>
            </w:tcBorders>
            <w:shd w:val="clear" w:color="auto" w:fill="D6DCE4"/>
          </w:tcPr>
          <w:p>
            <w:pPr>
              <w:jc w:val="right"/>
              <w:ind w:right="361"/>
              <w:spacing w:after="0"/>
              <w:rPr>
                <w:sz w:val="20"/>
                <w:szCs w:val="20"/>
                <w:color w:val="auto"/>
              </w:rPr>
            </w:pPr>
            <w:r>
              <w:rPr>
                <w:rFonts w:ascii="Calibri" w:cs="Calibri" w:eastAsia="Calibri" w:hAnsi="Calibri"/>
                <w:sz w:val="20"/>
                <w:szCs w:val="20"/>
                <w:b w:val="1"/>
                <w:bCs w:val="1"/>
                <w:color w:val="auto"/>
              </w:rPr>
              <w:t>KIM</w:t>
            </w:r>
          </w:p>
        </w:tc>
        <w:tc>
          <w:tcPr>
            <w:tcW w:w="1240" w:type="dxa"/>
            <w:vAlign w:val="bottom"/>
            <w:tcBorders>
              <w:top w:val="single" w:sz="8" w:color="auto"/>
              <w:right w:val="single" w:sz="8" w:color="auto"/>
            </w:tcBorders>
            <w:shd w:val="clear" w:color="auto" w:fill="D6DCE4"/>
          </w:tcPr>
          <w:p>
            <w:pPr>
              <w:jc w:val="right"/>
              <w:ind w:right="321"/>
              <w:spacing w:after="0"/>
              <w:rPr>
                <w:sz w:val="20"/>
                <w:szCs w:val="20"/>
                <w:color w:val="auto"/>
              </w:rPr>
            </w:pPr>
            <w:r>
              <w:rPr>
                <w:rFonts w:ascii="Calibri" w:cs="Calibri" w:eastAsia="Calibri" w:hAnsi="Calibri"/>
                <w:sz w:val="20"/>
                <w:szCs w:val="20"/>
                <w:b w:val="1"/>
                <w:bCs w:val="1"/>
                <w:color w:val="auto"/>
              </w:rPr>
              <w:t>KOM</w:t>
            </w:r>
          </w:p>
        </w:tc>
        <w:tc>
          <w:tcPr>
            <w:tcW w:w="800" w:type="dxa"/>
            <w:vAlign w:val="bottom"/>
            <w:tcBorders>
              <w:top w:val="single" w:sz="8" w:color="auto"/>
            </w:tcBorders>
            <w:shd w:val="clear" w:color="auto" w:fill="D6DCE4"/>
          </w:tcPr>
          <w:p>
            <w:pPr>
              <w:ind w:left="460"/>
              <w:spacing w:after="0"/>
              <w:rPr>
                <w:sz w:val="20"/>
                <w:szCs w:val="20"/>
                <w:color w:val="auto"/>
              </w:rPr>
            </w:pPr>
            <w:r>
              <w:rPr>
                <w:rFonts w:ascii="Calibri" w:cs="Calibri" w:eastAsia="Calibri" w:hAnsi="Calibri"/>
                <w:sz w:val="20"/>
                <w:szCs w:val="20"/>
                <w:b w:val="1"/>
                <w:bCs w:val="1"/>
                <w:color w:val="auto"/>
                <w:w w:val="96"/>
              </w:rPr>
              <w:t>KDS</w:t>
            </w:r>
          </w:p>
        </w:tc>
        <w:tc>
          <w:tcPr>
            <w:tcW w:w="460" w:type="dxa"/>
            <w:vAlign w:val="bottom"/>
            <w:tcBorders>
              <w:top w:val="single" w:sz="8" w:color="auto"/>
              <w:right w:val="single" w:sz="8" w:color="auto"/>
            </w:tcBorders>
            <w:shd w:val="clear" w:color="auto" w:fill="D6DCE4"/>
          </w:tcPr>
          <w:p>
            <w:pPr>
              <w:spacing w:after="0"/>
              <w:rPr>
                <w:sz w:val="23"/>
                <w:szCs w:val="23"/>
                <w:color w:val="auto"/>
              </w:rPr>
            </w:pPr>
          </w:p>
        </w:tc>
        <w:tc>
          <w:tcPr>
            <w:tcW w:w="1240" w:type="dxa"/>
            <w:vAlign w:val="bottom"/>
            <w:tcBorders>
              <w:top w:val="single" w:sz="8" w:color="auto"/>
              <w:right w:val="single" w:sz="8" w:color="auto"/>
            </w:tcBorders>
            <w:shd w:val="clear" w:color="auto" w:fill="D6DCE4"/>
          </w:tcPr>
          <w:p>
            <w:pPr>
              <w:jc w:val="right"/>
              <w:ind w:right="381"/>
              <w:spacing w:after="0"/>
              <w:rPr>
                <w:sz w:val="20"/>
                <w:szCs w:val="20"/>
                <w:color w:val="auto"/>
              </w:rPr>
            </w:pPr>
            <w:r>
              <w:rPr>
                <w:rFonts w:ascii="Calibri" w:cs="Calibri" w:eastAsia="Calibri" w:hAnsi="Calibri"/>
                <w:sz w:val="20"/>
                <w:szCs w:val="20"/>
                <w:b w:val="1"/>
                <w:bCs w:val="1"/>
                <w:color w:val="auto"/>
              </w:rPr>
              <w:t>KES</w:t>
            </w:r>
          </w:p>
        </w:tc>
        <w:tc>
          <w:tcPr>
            <w:tcW w:w="20" w:type="dxa"/>
            <w:vAlign w:val="bottom"/>
          </w:tcPr>
          <w:p>
            <w:pPr>
              <w:spacing w:after="0"/>
              <w:rPr>
                <w:sz w:val="23"/>
                <w:szCs w:val="23"/>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top w:val="single" w:sz="8" w:color="D6DCE4"/>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KCS</w:t>
            </w:r>
          </w:p>
        </w:tc>
        <w:tc>
          <w:tcPr>
            <w:tcW w:w="1240" w:type="dxa"/>
            <w:vAlign w:val="bottom"/>
            <w:tcBorders>
              <w:top w:val="single" w:sz="8" w:color="auto"/>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100%</w:t>
            </w: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right w:val="single" w:sz="8" w:color="auto"/>
            </w:tcBorders>
          </w:tcPr>
          <w:p>
            <w:pPr>
              <w:spacing w:after="0"/>
              <w:rPr>
                <w:sz w:val="20"/>
                <w:szCs w:val="20"/>
                <w:color w:val="auto"/>
              </w:rPr>
            </w:pP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KIM</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KOM</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President (Marine)</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35%</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15%</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Marine Shared (Marine)</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50%</w:t>
            </w: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20%</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KES</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70%</w:t>
            </w: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KES President</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rPr>
              <w:t>50%</w:t>
            </w: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United/S&amp;S</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2"/>
              </w:rPr>
              <w:t>70%</w:t>
            </w: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DDAs</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2"/>
              </w:rPr>
              <w:t>70%</w:t>
            </w: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TK/CON</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2"/>
              </w:rPr>
              <w:t>70%</w:t>
            </w: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President (KDS)</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50%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2"/>
              </w:rPr>
              <w:t>50%</w:t>
            </w: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ind w:left="100"/>
              <w:spacing w:after="0" w:line="234" w:lineRule="exact"/>
              <w:rPr>
                <w:sz w:val="20"/>
                <w:szCs w:val="20"/>
                <w:color w:val="auto"/>
              </w:rPr>
            </w:pPr>
            <w:r>
              <w:rPr>
                <w:rFonts w:ascii="Calibri" w:cs="Calibri" w:eastAsia="Calibri" w:hAnsi="Calibri"/>
                <w:sz w:val="20"/>
                <w:szCs w:val="20"/>
                <w:color w:val="auto"/>
              </w:rPr>
              <w:t>KDS Shared (KDS)</w:t>
            </w:r>
          </w:p>
        </w:tc>
        <w:tc>
          <w:tcPr>
            <w:tcW w:w="1240" w:type="dxa"/>
            <w:vAlign w:val="bottom"/>
            <w:tcBorders>
              <w:bottom w:val="single" w:sz="8" w:color="auto"/>
              <w:right w:val="single" w:sz="8" w:color="auto"/>
            </w:tcBorders>
          </w:tcPr>
          <w:p>
            <w:pPr>
              <w:jc w:val="right"/>
              <w:ind w:right="22"/>
              <w:spacing w:after="0" w:line="234" w:lineRule="exact"/>
              <w:rPr>
                <w:sz w:val="20"/>
                <w:szCs w:val="20"/>
                <w:color w:val="auto"/>
              </w:rPr>
            </w:pPr>
            <w:r>
              <w:rPr>
                <w:rFonts w:ascii="Calibri" w:cs="Calibri" w:eastAsia="Calibri" w:hAnsi="Calibri"/>
                <w:sz w:val="20"/>
                <w:szCs w:val="20"/>
                <w:color w:val="auto"/>
              </w:rPr>
              <w:t>30%</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jc w:val="right"/>
              <w:ind w:right="21"/>
              <w:spacing w:after="0" w:line="234" w:lineRule="exact"/>
              <w:rPr>
                <w:sz w:val="20"/>
                <w:szCs w:val="20"/>
                <w:color w:val="auto"/>
              </w:rPr>
            </w:pPr>
            <w:r>
              <w:rPr>
                <w:rFonts w:ascii="Calibri" w:cs="Calibri" w:eastAsia="Calibri" w:hAnsi="Calibri"/>
                <w:sz w:val="20"/>
                <w:szCs w:val="20"/>
                <w:color w:val="auto"/>
                <w:w w:val="92"/>
              </w:rPr>
              <w:t>70%</w:t>
            </w: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30"/>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7" w:name="page88"/>
    <w:bookmarkEnd w:id="87"/>
    <w:p>
      <w:pPr>
        <w:spacing w:after="0"/>
        <w:rPr>
          <w:sz w:val="20"/>
          <w:szCs w:val="20"/>
          <w:color w:val="auto"/>
        </w:rPr>
      </w:pPr>
      <w:r>
        <w:rPr>
          <w:rFonts w:ascii="Calibri" w:cs="Calibri" w:eastAsia="Calibri" w:hAnsi="Calibri"/>
          <w:sz w:val="20"/>
          <w:szCs w:val="20"/>
          <w:b w:val="1"/>
          <w:bCs w:val="1"/>
          <w:i w:val="1"/>
          <w:iCs w:val="1"/>
          <w:color w:val="auto"/>
        </w:rPr>
        <w:t>Performance Standards for Incentve Payment Calculatons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173355</wp:posOffset>
            </wp:positionV>
            <wp:extent cx="6844665" cy="261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6">
                      <a:extLst>
                        <a:ext uri="{28A0092B-C50C-407E-A947-70E740481C1C}"/>
                      </a:extLst>
                    </a:blip>
                    <a:srcRect/>
                    <a:stretch>
                      <a:fillRect/>
                    </a:stretch>
                  </pic:blipFill>
                  <pic:spPr bwMode="auto">
                    <a:xfrm>
                      <a:off x="0" y="0"/>
                      <a:ext cx="6844665" cy="261620"/>
                    </a:xfrm>
                    <a:prstGeom prst="rect">
                      <a:avLst/>
                    </a:prstGeom>
                    <a:noFill/>
                  </pic:spPr>
                </pic:pic>
              </a:graphicData>
            </a:graphic>
          </wp:anchor>
        </w:drawing>
      </w:r>
    </w:p>
    <w:p>
      <w:pPr>
        <w:spacing w:after="0" w:line="303"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Corporate and Kirby Inland Marine</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2220" w:type="dxa"/>
            <w:vAlign w:val="bottom"/>
            <w:tcBorders>
              <w:top w:val="single" w:sz="8" w:color="auto"/>
              <w:left w:val="single" w:sz="8" w:color="auto"/>
              <w:right w:val="single" w:sz="8" w:color="auto"/>
            </w:tcBorders>
            <w:vMerge w:val="restart"/>
            <w:shd w:val="clear" w:color="auto" w:fill="D6DCE4"/>
          </w:tcPr>
          <w:p>
            <w:pPr>
              <w:ind w:left="42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8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8"/>
              </w:rPr>
              <w:t>% of Target Used for</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8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8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220" w:type="dxa"/>
            <w:vAlign w:val="bottom"/>
            <w:tcBorders>
              <w:left w:val="single" w:sz="8" w:color="auto"/>
              <w:bottom w:val="single" w:sz="8" w:color="auto"/>
              <w:right w:val="single" w:sz="8" w:color="auto"/>
            </w:tcBorders>
            <w:shd w:val="clear" w:color="auto" w:fill="D6DCE4"/>
          </w:tcPr>
          <w:p>
            <w:pPr>
              <w:spacing w:after="0"/>
              <w:rPr>
                <w:sz w:val="7"/>
                <w:szCs w:val="7"/>
                <w:color w:val="auto"/>
              </w:rPr>
            </w:pPr>
          </w:p>
        </w:tc>
        <w:tc>
          <w:tcPr>
            <w:tcW w:w="3860" w:type="dxa"/>
            <w:vAlign w:val="bottom"/>
            <w:tcBorders>
              <w:bottom w:val="single" w:sz="8" w:color="auto"/>
              <w:right w:val="single" w:sz="8" w:color="auto"/>
            </w:tcBorders>
            <w:shd w:val="clear" w:color="auto" w:fill="D6DCE4"/>
          </w:tcPr>
          <w:p>
            <w:pPr>
              <w:spacing w:after="0"/>
              <w:rPr>
                <w:sz w:val="7"/>
                <w:szCs w:val="7"/>
                <w:color w:val="auto"/>
              </w:rPr>
            </w:pPr>
          </w:p>
        </w:tc>
        <w:tc>
          <w:tcPr>
            <w:tcW w:w="2840" w:type="dxa"/>
            <w:vAlign w:val="bottom"/>
            <w:tcBorders>
              <w:bottom w:val="single" w:sz="8" w:color="auto"/>
              <w:right w:val="single" w:sz="8" w:color="auto"/>
            </w:tcBorders>
            <w:shd w:val="clear" w:color="auto" w:fill="D6DCE4"/>
          </w:tcPr>
          <w:p>
            <w:pPr>
              <w:spacing w:after="0"/>
              <w:rPr>
                <w:sz w:val="7"/>
                <w:szCs w:val="7"/>
                <w:color w:val="auto"/>
              </w:rPr>
            </w:pPr>
          </w:p>
        </w:tc>
        <w:tc>
          <w:tcPr>
            <w:tcW w:w="1860" w:type="dxa"/>
            <w:vAlign w:val="bottom"/>
            <w:tcBorders>
              <w:bottom w:val="single" w:sz="8" w:color="auto"/>
              <w:right w:val="single" w:sz="8" w:color="auto"/>
            </w:tcBorders>
            <w:shd w:val="clear" w:color="auto" w:fill="D6DCE4"/>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80%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80%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2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Target</w:t>
            </w:r>
          </w:p>
        </w:tc>
        <w:tc>
          <w:tcPr>
            <w:tcW w:w="3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100% of budget</w:t>
            </w:r>
          </w:p>
        </w:tc>
        <w:tc>
          <w:tcPr>
            <w:tcW w:w="18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17"/>
        </w:trPr>
        <w:tc>
          <w:tcPr>
            <w:tcW w:w="2220" w:type="dxa"/>
            <w:vAlign w:val="bottom"/>
            <w:tcBorders>
              <w:left w:val="single" w:sz="8" w:color="auto"/>
              <w:bottom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Maximum</w:t>
            </w:r>
          </w:p>
        </w:tc>
        <w:tc>
          <w:tcPr>
            <w:tcW w:w="3860" w:type="dxa"/>
            <w:vAlign w:val="bottom"/>
            <w:tcBorders>
              <w:bottom w:val="single" w:sz="8" w:color="auto"/>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Outstanding performance</w:t>
            </w:r>
          </w:p>
        </w:tc>
        <w:tc>
          <w:tcPr>
            <w:tcW w:w="2840" w:type="dxa"/>
            <w:vAlign w:val="bottom"/>
            <w:tcBorders>
              <w:bottom w:val="single" w:sz="8" w:color="auto"/>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120% of budget</w:t>
            </w:r>
          </w:p>
        </w:tc>
        <w:tc>
          <w:tcPr>
            <w:tcW w:w="1860" w:type="dxa"/>
            <w:vAlign w:val="bottom"/>
            <w:tcBorders>
              <w:bottom w:val="single" w:sz="8" w:color="auto"/>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152400</wp:posOffset>
            </wp:positionV>
            <wp:extent cx="6844665" cy="261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7">
                      <a:extLst>
                        <a:ext uri="{28A0092B-C50C-407E-A947-70E740481C1C}"/>
                      </a:extLst>
                    </a:blip>
                    <a:srcRect/>
                    <a:stretch>
                      <a:fillRect/>
                    </a:stretch>
                  </pic:blipFill>
                  <pic:spPr bwMode="auto">
                    <a:xfrm>
                      <a:off x="0" y="0"/>
                      <a:ext cx="6844665" cy="261620"/>
                    </a:xfrm>
                    <a:prstGeom prst="rect">
                      <a:avLst/>
                    </a:prstGeom>
                    <a:noFill/>
                  </pic:spPr>
                </pic:pic>
              </a:graphicData>
            </a:graphic>
          </wp:anchor>
        </w:drawing>
      </w:r>
    </w:p>
    <w:p>
      <w:pPr>
        <w:spacing w:after="0" w:line="270"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Kirby Ofshore Marine</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100" w:type="dxa"/>
            <w:vAlign w:val="bottom"/>
            <w:tcBorders>
              <w:top w:val="single" w:sz="8" w:color="auto"/>
              <w:left w:val="single" w:sz="8" w:color="auto"/>
              <w:right w:val="single" w:sz="8" w:color="auto"/>
            </w:tcBorders>
            <w:vMerge w:val="restart"/>
            <w:shd w:val="clear" w:color="auto" w:fill="D6DCE4"/>
          </w:tcPr>
          <w:p>
            <w:pPr>
              <w:ind w:left="34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98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7"/>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98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98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10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860" w:type="dxa"/>
            <w:vAlign w:val="bottom"/>
            <w:tcBorders>
              <w:bottom w:val="single" w:sz="8" w:color="auto"/>
              <w:right w:val="single" w:sz="8" w:color="auto"/>
            </w:tcBorders>
            <w:shd w:val="clear" w:color="auto" w:fill="D6DCE4"/>
          </w:tcPr>
          <w:p>
            <w:pPr>
              <w:spacing w:after="0"/>
              <w:rPr>
                <w:sz w:val="6"/>
                <w:szCs w:val="6"/>
                <w:color w:val="auto"/>
              </w:rPr>
            </w:pPr>
          </w:p>
        </w:tc>
        <w:tc>
          <w:tcPr>
            <w:tcW w:w="2840" w:type="dxa"/>
            <w:vAlign w:val="bottom"/>
            <w:tcBorders>
              <w:bottom w:val="single" w:sz="8" w:color="auto"/>
              <w:right w:val="single" w:sz="8" w:color="auto"/>
            </w:tcBorders>
            <w:shd w:val="clear" w:color="auto" w:fill="D6DCE4"/>
          </w:tcPr>
          <w:p>
            <w:pPr>
              <w:spacing w:after="0"/>
              <w:rPr>
                <w:sz w:val="6"/>
                <w:szCs w:val="6"/>
                <w:color w:val="auto"/>
              </w:rPr>
            </w:pPr>
          </w:p>
        </w:tc>
        <w:tc>
          <w:tcPr>
            <w:tcW w:w="198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100" w:type="dxa"/>
            <w:vAlign w:val="bottom"/>
            <w:tcBorders>
              <w:left w:val="single" w:sz="8" w:color="auto"/>
              <w:right w:val="single" w:sz="8" w:color="auto"/>
            </w:tcBorders>
          </w:tcPr>
          <w:p>
            <w:pPr>
              <w:ind w:left="120"/>
              <w:spacing w:after="0" w:line="213" w:lineRule="exact"/>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8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1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Maximum</w:t>
            </w:r>
          </w:p>
        </w:tc>
        <w:tc>
          <w:tcPr>
            <w:tcW w:w="3860" w:type="dxa"/>
            <w:vAlign w:val="bottom"/>
            <w:tcBorders>
              <w:right w:val="single" w:sz="8" w:color="auto"/>
            </w:tcBorders>
          </w:tcPr>
          <w:p>
            <w:pPr>
              <w:ind w:left="80"/>
              <w:spacing w:after="0"/>
              <w:rPr>
                <w:sz w:val="20"/>
                <w:szCs w:val="20"/>
                <w:color w:val="auto"/>
              </w:rPr>
            </w:pPr>
            <w:r>
              <w:rPr>
                <w:rFonts w:ascii="Calibri" w:cs="Calibri" w:eastAsia="Calibri" w:hAnsi="Calibri"/>
                <w:sz w:val="18"/>
                <w:szCs w:val="18"/>
                <w:color w:val="auto"/>
              </w:rPr>
              <w:t>Outstanding performance</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150%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152400</wp:posOffset>
            </wp:positionV>
            <wp:extent cx="6844665" cy="260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8">
                      <a:extLst>
                        <a:ext uri="{28A0092B-C50C-407E-A947-70E740481C1C}"/>
                      </a:extLst>
                    </a:blip>
                    <a:srcRect/>
                    <a:stretch>
                      <a:fillRect/>
                    </a:stretch>
                  </pic:blipFill>
                  <pic:spPr bwMode="auto">
                    <a:xfrm>
                      <a:off x="0" y="0"/>
                      <a:ext cx="6844665" cy="260985"/>
                    </a:xfrm>
                    <a:prstGeom prst="rect">
                      <a:avLst/>
                    </a:prstGeom>
                    <a:noFill/>
                  </pic:spPr>
                </pic:pic>
              </a:graphicData>
            </a:graphic>
          </wp:anchor>
        </w:drawing>
      </w:r>
    </w:p>
    <w:p>
      <w:pPr>
        <w:spacing w:after="0" w:line="270"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S&amp;S Distributon, Rental, United, Training Center, KDS MFG</w:t>
      </w:r>
    </w:p>
    <w:p>
      <w:pPr>
        <w:spacing w:after="0" w:line="77"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2220" w:type="dxa"/>
            <w:vAlign w:val="bottom"/>
            <w:tcBorders>
              <w:top w:val="single" w:sz="8" w:color="auto"/>
              <w:left w:val="single" w:sz="8" w:color="auto"/>
              <w:right w:val="single" w:sz="8" w:color="auto"/>
            </w:tcBorders>
            <w:vMerge w:val="restart"/>
            <w:shd w:val="clear" w:color="auto" w:fill="D6DCE4"/>
          </w:tcPr>
          <w:p>
            <w:pPr>
              <w:ind w:left="42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8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8"/>
              </w:rPr>
              <w:t>% of Target Used for</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8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22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8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220" w:type="dxa"/>
            <w:vAlign w:val="bottom"/>
            <w:tcBorders>
              <w:left w:val="single" w:sz="8" w:color="auto"/>
              <w:bottom w:val="single" w:sz="8" w:color="auto"/>
              <w:right w:val="single" w:sz="8" w:color="auto"/>
            </w:tcBorders>
            <w:shd w:val="clear" w:color="auto" w:fill="D6DCE4"/>
          </w:tcPr>
          <w:p>
            <w:pPr>
              <w:spacing w:after="0"/>
              <w:rPr>
                <w:sz w:val="6"/>
                <w:szCs w:val="6"/>
                <w:color w:val="auto"/>
              </w:rPr>
            </w:pPr>
          </w:p>
        </w:tc>
        <w:tc>
          <w:tcPr>
            <w:tcW w:w="3860" w:type="dxa"/>
            <w:vAlign w:val="bottom"/>
            <w:tcBorders>
              <w:bottom w:val="single" w:sz="8" w:color="auto"/>
              <w:right w:val="single" w:sz="8" w:color="auto"/>
            </w:tcBorders>
            <w:shd w:val="clear" w:color="auto" w:fill="D6DCE4"/>
          </w:tcPr>
          <w:p>
            <w:pPr>
              <w:spacing w:after="0"/>
              <w:rPr>
                <w:sz w:val="6"/>
                <w:szCs w:val="6"/>
                <w:color w:val="auto"/>
              </w:rPr>
            </w:pPr>
          </w:p>
        </w:tc>
        <w:tc>
          <w:tcPr>
            <w:tcW w:w="2840" w:type="dxa"/>
            <w:vAlign w:val="bottom"/>
            <w:tcBorders>
              <w:bottom w:val="single" w:sz="8" w:color="auto"/>
              <w:right w:val="single" w:sz="8" w:color="auto"/>
            </w:tcBorders>
            <w:shd w:val="clear" w:color="auto" w:fill="D6DCE4"/>
          </w:tcPr>
          <w:p>
            <w:pPr>
              <w:spacing w:after="0"/>
              <w:rPr>
                <w:sz w:val="6"/>
                <w:szCs w:val="6"/>
                <w:color w:val="auto"/>
              </w:rPr>
            </w:pPr>
          </w:p>
        </w:tc>
        <w:tc>
          <w:tcPr>
            <w:tcW w:w="1860" w:type="dxa"/>
            <w:vAlign w:val="bottom"/>
            <w:tcBorders>
              <w:bottom w:val="single" w:sz="8" w:color="auto"/>
              <w:right w:val="single" w:sz="8" w:color="auto"/>
            </w:tcBorders>
            <w:shd w:val="clear" w:color="auto" w:fill="D6DCE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20" w:type="dxa"/>
            <w:vAlign w:val="bottom"/>
            <w:tcBorders>
              <w:left w:val="single" w:sz="8" w:color="auto"/>
              <w:right w:val="single" w:sz="8" w:color="auto"/>
            </w:tcBorders>
          </w:tcPr>
          <w:p>
            <w:pPr>
              <w:ind w:left="120"/>
              <w:spacing w:after="0" w:line="213" w:lineRule="exact"/>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284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186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22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Maximum</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Outstanding performance</w:t>
            </w: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140% of budget</w:t>
            </w:r>
          </w:p>
        </w:tc>
        <w:tc>
          <w:tcPr>
            <w:tcW w:w="18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23"/>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152400</wp:posOffset>
            </wp:positionV>
            <wp:extent cx="6844665" cy="261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9">
                      <a:extLst>
                        <a:ext uri="{28A0092B-C50C-407E-A947-70E740481C1C}"/>
                      </a:extLst>
                    </a:blip>
                    <a:srcRect/>
                    <a:stretch>
                      <a:fillRect/>
                    </a:stretch>
                  </pic:blipFill>
                  <pic:spPr bwMode="auto">
                    <a:xfrm>
                      <a:off x="0" y="0"/>
                      <a:ext cx="6844665" cy="261620"/>
                    </a:xfrm>
                    <a:prstGeom prst="rect">
                      <a:avLst/>
                    </a:prstGeom>
                    <a:noFill/>
                  </pic:spPr>
                </pic:pic>
              </a:graphicData>
            </a:graphic>
          </wp:anchor>
        </w:drawing>
      </w:r>
    </w:p>
    <w:p>
      <w:pPr>
        <w:spacing w:after="0" w:line="270" w:lineRule="exact"/>
        <w:rPr>
          <w:sz w:val="20"/>
          <w:szCs w:val="20"/>
          <w:color w:val="auto"/>
        </w:rPr>
      </w:pPr>
    </w:p>
    <w:p>
      <w:pPr>
        <w:jc w:val="center"/>
        <w:ind w:right="220"/>
        <w:spacing w:after="0"/>
        <w:rPr>
          <w:sz w:val="20"/>
          <w:szCs w:val="20"/>
          <w:color w:val="auto"/>
        </w:rPr>
      </w:pPr>
      <w:r>
        <w:rPr>
          <w:rFonts w:ascii="Calibri" w:cs="Calibri" w:eastAsia="Calibri" w:hAnsi="Calibri"/>
          <w:sz w:val="20"/>
          <w:szCs w:val="20"/>
          <w:b w:val="1"/>
          <w:bCs w:val="1"/>
          <w:color w:val="auto"/>
        </w:rPr>
        <w:t>ThermoKing, Detroit Diesel Allison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0" w:type="dxa"/>
            <w:vAlign w:val="bottom"/>
            <w:tcBorders>
              <w:right w:val="single" w:sz="8" w:color="auto"/>
            </w:tcBorders>
          </w:tcPr>
          <w:p>
            <w:pPr>
              <w:spacing w:after="0"/>
              <w:rPr>
                <w:sz w:val="22"/>
                <w:szCs w:val="22"/>
                <w:color w:val="auto"/>
              </w:rPr>
            </w:pPr>
          </w:p>
        </w:tc>
        <w:tc>
          <w:tcPr>
            <w:tcW w:w="2080" w:type="dxa"/>
            <w:vAlign w:val="bottom"/>
            <w:tcBorders>
              <w:top w:val="single" w:sz="8" w:color="auto"/>
              <w:right w:val="single" w:sz="8" w:color="auto"/>
            </w:tcBorders>
            <w:vMerge w:val="restart"/>
            <w:shd w:val="clear" w:color="auto" w:fill="D6DCE4"/>
          </w:tcPr>
          <w:p>
            <w:pPr>
              <w:ind w:left="320"/>
              <w:spacing w:after="0"/>
              <w:rPr>
                <w:sz w:val="20"/>
                <w:szCs w:val="20"/>
                <w:color w:val="auto"/>
              </w:rPr>
            </w:pPr>
            <w:r>
              <w:rPr>
                <w:rFonts w:ascii="Calibri" w:cs="Calibri" w:eastAsia="Calibri" w:hAnsi="Calibri"/>
                <w:sz w:val="18"/>
                <w:szCs w:val="18"/>
                <w:b w:val="1"/>
                <w:bCs w:val="1"/>
                <w:color w:val="auto"/>
              </w:rPr>
              <w:t>Performance Level</w:t>
            </w:r>
          </w:p>
        </w:tc>
        <w:tc>
          <w:tcPr>
            <w:tcW w:w="3360" w:type="dxa"/>
            <w:vAlign w:val="bottom"/>
            <w:tcBorders>
              <w:top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500" w:type="dxa"/>
            <w:vAlign w:val="bottom"/>
            <w:tcBorders>
              <w:top w:val="single" w:sz="8" w:color="auto"/>
              <w:right w:val="single" w:sz="8" w:color="auto"/>
            </w:tcBorders>
            <w:shd w:val="clear" w:color="auto" w:fill="D6DCE4"/>
          </w:tcPr>
          <w:p>
            <w:pPr>
              <w:spacing w:after="0"/>
              <w:rPr>
                <w:sz w:val="22"/>
                <w:szCs w:val="22"/>
                <w:color w:val="auto"/>
              </w:rPr>
            </w:pPr>
          </w:p>
        </w:tc>
        <w:tc>
          <w:tcPr>
            <w:tcW w:w="284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98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7"/>
              </w:rPr>
              <w:t>% of Target Used for</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vMerge w:val="continue"/>
            <w:shd w:val="clear" w:color="auto" w:fill="D6DCE4"/>
          </w:tcPr>
          <w:p>
            <w:pPr>
              <w:spacing w:after="0"/>
              <w:rPr>
                <w:sz w:val="9"/>
                <w:szCs w:val="9"/>
                <w:color w:val="auto"/>
              </w:rPr>
            </w:pPr>
          </w:p>
        </w:tc>
        <w:tc>
          <w:tcPr>
            <w:tcW w:w="3360" w:type="dxa"/>
            <w:vAlign w:val="bottom"/>
            <w:vMerge w:val="continue"/>
            <w:shd w:val="clear" w:color="auto" w:fill="D6DCE4"/>
          </w:tcPr>
          <w:p>
            <w:pPr>
              <w:spacing w:after="0"/>
              <w:rPr>
                <w:sz w:val="9"/>
                <w:szCs w:val="9"/>
                <w:color w:val="auto"/>
              </w:rPr>
            </w:pPr>
          </w:p>
        </w:tc>
        <w:tc>
          <w:tcPr>
            <w:tcW w:w="50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vMerge w:val="continue"/>
            <w:shd w:val="clear" w:color="auto" w:fill="D6DCE4"/>
          </w:tcPr>
          <w:p>
            <w:pPr>
              <w:spacing w:after="0"/>
              <w:rPr>
                <w:sz w:val="9"/>
                <w:szCs w:val="9"/>
                <w:color w:val="auto"/>
              </w:rPr>
            </w:pPr>
          </w:p>
        </w:tc>
        <w:tc>
          <w:tcPr>
            <w:tcW w:w="198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shd w:val="clear" w:color="auto" w:fill="D6DCE4"/>
          </w:tcPr>
          <w:p>
            <w:pPr>
              <w:spacing w:after="0"/>
              <w:rPr>
                <w:sz w:val="9"/>
                <w:szCs w:val="9"/>
                <w:color w:val="auto"/>
              </w:rPr>
            </w:pPr>
          </w:p>
        </w:tc>
        <w:tc>
          <w:tcPr>
            <w:tcW w:w="3360" w:type="dxa"/>
            <w:vAlign w:val="bottom"/>
            <w:shd w:val="clear" w:color="auto" w:fill="D6DCE4"/>
          </w:tcPr>
          <w:p>
            <w:pPr>
              <w:spacing w:after="0"/>
              <w:rPr>
                <w:sz w:val="9"/>
                <w:szCs w:val="9"/>
                <w:color w:val="auto"/>
              </w:rPr>
            </w:pPr>
          </w:p>
        </w:tc>
        <w:tc>
          <w:tcPr>
            <w:tcW w:w="500" w:type="dxa"/>
            <w:vAlign w:val="bottom"/>
            <w:tcBorders>
              <w:right w:val="single" w:sz="8" w:color="auto"/>
            </w:tcBorders>
            <w:shd w:val="clear" w:color="auto" w:fill="D6DCE4"/>
          </w:tcPr>
          <w:p>
            <w:pPr>
              <w:spacing w:after="0"/>
              <w:rPr>
                <w:sz w:val="9"/>
                <w:szCs w:val="9"/>
                <w:color w:val="auto"/>
              </w:rPr>
            </w:pPr>
          </w:p>
        </w:tc>
        <w:tc>
          <w:tcPr>
            <w:tcW w:w="2840" w:type="dxa"/>
            <w:vAlign w:val="bottom"/>
            <w:tcBorders>
              <w:right w:val="single" w:sz="8" w:color="auto"/>
            </w:tcBorders>
            <w:shd w:val="clear" w:color="auto" w:fill="D6DCE4"/>
          </w:tcPr>
          <w:p>
            <w:pPr>
              <w:spacing w:after="0"/>
              <w:rPr>
                <w:sz w:val="9"/>
                <w:szCs w:val="9"/>
                <w:color w:val="auto"/>
              </w:rPr>
            </w:pPr>
          </w:p>
        </w:tc>
        <w:tc>
          <w:tcPr>
            <w:tcW w:w="1980" w:type="dxa"/>
            <w:vAlign w:val="bottom"/>
            <w:tcBorders>
              <w:right w:val="single" w:sz="8" w:color="auto"/>
            </w:tcBorders>
            <w:vMerge w:val="continue"/>
            <w:shd w:val="clear" w:color="auto" w:fill="D6DCE4"/>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4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shd w:val="clear" w:color="auto" w:fill="D6DCE4"/>
          </w:tcPr>
          <w:p>
            <w:pPr>
              <w:spacing w:after="0"/>
              <w:rPr>
                <w:sz w:val="6"/>
                <w:szCs w:val="6"/>
                <w:color w:val="auto"/>
              </w:rPr>
            </w:pPr>
          </w:p>
        </w:tc>
        <w:tc>
          <w:tcPr>
            <w:tcW w:w="3360" w:type="dxa"/>
            <w:vAlign w:val="bottom"/>
            <w:tcBorders>
              <w:bottom w:val="single" w:sz="8" w:color="auto"/>
            </w:tcBorders>
            <w:shd w:val="clear" w:color="auto" w:fill="D6DCE4"/>
          </w:tcPr>
          <w:p>
            <w:pPr>
              <w:spacing w:after="0"/>
              <w:rPr>
                <w:sz w:val="6"/>
                <w:szCs w:val="6"/>
                <w:color w:val="auto"/>
              </w:rPr>
            </w:pPr>
          </w:p>
        </w:tc>
        <w:tc>
          <w:tcPr>
            <w:tcW w:w="500" w:type="dxa"/>
            <w:vAlign w:val="bottom"/>
            <w:tcBorders>
              <w:bottom w:val="single" w:sz="8" w:color="auto"/>
              <w:right w:val="single" w:sz="8" w:color="auto"/>
            </w:tcBorders>
            <w:shd w:val="clear" w:color="auto" w:fill="D6DCE4"/>
          </w:tcPr>
          <w:p>
            <w:pPr>
              <w:spacing w:after="0"/>
              <w:rPr>
                <w:sz w:val="6"/>
                <w:szCs w:val="6"/>
                <w:color w:val="auto"/>
              </w:rPr>
            </w:pPr>
          </w:p>
        </w:tc>
        <w:tc>
          <w:tcPr>
            <w:tcW w:w="2840" w:type="dxa"/>
            <w:vAlign w:val="bottom"/>
            <w:tcBorders>
              <w:bottom w:val="single" w:sz="8" w:color="auto"/>
              <w:right w:val="single" w:sz="8" w:color="auto"/>
            </w:tcBorders>
            <w:shd w:val="clear" w:color="auto" w:fill="D6DCE4"/>
          </w:tcPr>
          <w:p>
            <w:pPr>
              <w:spacing w:after="0"/>
              <w:rPr>
                <w:sz w:val="6"/>
                <w:szCs w:val="6"/>
                <w:color w:val="auto"/>
              </w:rPr>
            </w:pPr>
          </w:p>
        </w:tc>
        <w:tc>
          <w:tcPr>
            <w:tcW w:w="1980" w:type="dxa"/>
            <w:vAlign w:val="bottom"/>
            <w:tcBorders>
              <w:bottom w:val="single" w:sz="8" w:color="auto"/>
              <w:right w:val="single" w:sz="8" w:color="auto"/>
            </w:tcBorders>
            <w:shd w:val="clear" w:color="auto" w:fill="D6DCE4"/>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Below Threshold</w:t>
            </w:r>
          </w:p>
        </w:tc>
        <w:tc>
          <w:tcPr>
            <w:tcW w:w="3360" w:type="dxa"/>
            <w:vAlign w:val="bottom"/>
          </w:tcPr>
          <w:p>
            <w:pPr>
              <w:ind w:left="80"/>
              <w:spacing w:after="0" w:line="213" w:lineRule="exact"/>
              <w:rPr>
                <w:sz w:val="20"/>
                <w:szCs w:val="20"/>
                <w:color w:val="auto"/>
              </w:rPr>
            </w:pPr>
            <w:r>
              <w:rPr>
                <w:rFonts w:ascii="Calibri" w:cs="Calibri" w:eastAsia="Calibri" w:hAnsi="Calibri"/>
                <w:sz w:val="18"/>
                <w:szCs w:val="18"/>
                <w:color w:val="auto"/>
              </w:rPr>
              <w:t>Performance did not meet minimum level</w:t>
            </w:r>
          </w:p>
        </w:tc>
        <w:tc>
          <w:tcPr>
            <w:tcW w:w="5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100"/>
              <w:spacing w:after="0" w:line="213" w:lineRule="exact"/>
              <w:rPr>
                <w:sz w:val="20"/>
                <w:szCs w:val="20"/>
                <w:color w:val="auto"/>
              </w:rPr>
            </w:pPr>
            <w:r>
              <w:rPr>
                <w:rFonts w:ascii="Calibri" w:cs="Calibri" w:eastAsia="Calibri" w:hAnsi="Calibri"/>
                <w:sz w:val="18"/>
                <w:szCs w:val="18"/>
                <w:color w:val="auto"/>
              </w:rPr>
              <w:t>less than 60% of budget</w:t>
            </w:r>
          </w:p>
        </w:tc>
        <w:tc>
          <w:tcPr>
            <w:tcW w:w="1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9"/>
              </w:rPr>
              <w:t>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Threshold</w:t>
            </w:r>
          </w:p>
        </w:tc>
        <w:tc>
          <w:tcPr>
            <w:tcW w:w="3360" w:type="dxa"/>
            <w:vAlign w:val="bottom"/>
          </w:tcPr>
          <w:p>
            <w:pPr>
              <w:ind w:left="80"/>
              <w:spacing w:after="0"/>
              <w:rPr>
                <w:sz w:val="20"/>
                <w:szCs w:val="20"/>
                <w:color w:val="auto"/>
              </w:rPr>
            </w:pPr>
            <w:r>
              <w:rPr>
                <w:rFonts w:ascii="Calibri" w:cs="Calibri" w:eastAsia="Calibri" w:hAnsi="Calibri"/>
                <w:sz w:val="18"/>
                <w:szCs w:val="18"/>
                <w:color w:val="auto"/>
                <w:w w:val="97"/>
              </w:rPr>
              <w:t>Minimum acceptable performance for payout</w:t>
            </w:r>
          </w:p>
        </w:tc>
        <w:tc>
          <w:tcPr>
            <w:tcW w:w="50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50%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4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Target</w:t>
            </w:r>
          </w:p>
        </w:tc>
        <w:tc>
          <w:tcPr>
            <w:tcW w:w="3360" w:type="dxa"/>
            <w:vAlign w:val="bottom"/>
          </w:tcPr>
          <w:p>
            <w:pPr>
              <w:ind w:left="80"/>
              <w:spacing w:after="0"/>
              <w:rPr>
                <w:sz w:val="20"/>
                <w:szCs w:val="20"/>
                <w:color w:val="auto"/>
              </w:rPr>
            </w:pPr>
            <w:r>
              <w:rPr>
                <w:rFonts w:ascii="Calibri" w:cs="Calibri" w:eastAsia="Calibri" w:hAnsi="Calibri"/>
                <w:sz w:val="18"/>
                <w:szCs w:val="18"/>
                <w:color w:val="auto"/>
              </w:rPr>
              <w:t>Expected performance at stretch level</w:t>
            </w:r>
          </w:p>
        </w:tc>
        <w:tc>
          <w:tcPr>
            <w:tcW w:w="50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100%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4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Maximum</w:t>
            </w:r>
          </w:p>
        </w:tc>
        <w:tc>
          <w:tcPr>
            <w:tcW w:w="3360" w:type="dxa"/>
            <w:vAlign w:val="bottom"/>
          </w:tcPr>
          <w:p>
            <w:pPr>
              <w:ind w:left="80"/>
              <w:spacing w:after="0"/>
              <w:rPr>
                <w:sz w:val="20"/>
                <w:szCs w:val="20"/>
                <w:color w:val="auto"/>
              </w:rPr>
            </w:pPr>
            <w:r>
              <w:rPr>
                <w:rFonts w:ascii="Calibri" w:cs="Calibri" w:eastAsia="Calibri" w:hAnsi="Calibri"/>
                <w:sz w:val="18"/>
                <w:szCs w:val="18"/>
                <w:color w:val="auto"/>
              </w:rPr>
              <w:t>Outstanding performance</w:t>
            </w:r>
          </w:p>
        </w:tc>
        <w:tc>
          <w:tcPr>
            <w:tcW w:w="500" w:type="dxa"/>
            <w:vAlign w:val="bottom"/>
            <w:tcBorders>
              <w:right w:val="single" w:sz="8" w:color="auto"/>
            </w:tcBorders>
          </w:tcPr>
          <w:p>
            <w:pPr>
              <w:spacing w:after="0"/>
              <w:rPr>
                <w:sz w:val="22"/>
                <w:szCs w:val="22"/>
                <w:color w:val="auto"/>
              </w:rPr>
            </w:pPr>
          </w:p>
        </w:tc>
        <w:tc>
          <w:tcPr>
            <w:tcW w:w="284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150% of budget</w:t>
            </w:r>
          </w:p>
        </w:tc>
        <w:tc>
          <w:tcPr>
            <w:tcW w:w="198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200%</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40" w:type="dxa"/>
            <w:vAlign w:val="bottom"/>
            <w:tcBorders>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6</w:t>
            </w:r>
          </w:p>
        </w:tc>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88" w:name="page89"/>
    <w:bookmarkEnd w:id="88"/>
    <w:p>
      <w:pPr>
        <w:ind w:left="390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6844665" cy="261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2">
                      <a:extLst>
                        <a:ext uri="{28A0092B-C50C-407E-A947-70E740481C1C}"/>
                      </a:extLst>
                    </a:blip>
                    <a:srcRect/>
                    <a:stretch>
                      <a:fillRect/>
                    </a:stretch>
                  </pic:blipFill>
                  <pic:spPr bwMode="auto">
                    <a:xfrm>
                      <a:off x="0" y="0"/>
                      <a:ext cx="6844665" cy="261620"/>
                    </a:xfrm>
                    <a:prstGeom prst="rect">
                      <a:avLst/>
                    </a:prstGeom>
                    <a:noFill/>
                  </pic:spPr>
                </pic:pic>
              </a:graphicData>
            </a:graphic>
          </wp:anchor>
        </w:drawing>
        <w:t>KDS President &amp; Shared Employees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0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9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8"/>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19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19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00" w:type="dxa"/>
            <w:vAlign w:val="bottom"/>
            <w:tcBorders>
              <w:left w:val="single" w:sz="8" w:color="auto"/>
              <w:bottom w:val="single" w:sz="8" w:color="auto"/>
              <w:right w:val="single" w:sz="8" w:color="auto"/>
            </w:tcBorders>
            <w:shd w:val="clear" w:color="auto" w:fill="D6DCE4"/>
          </w:tcPr>
          <w:p>
            <w:pPr>
              <w:spacing w:after="0"/>
              <w:rPr>
                <w:sz w:val="10"/>
                <w:szCs w:val="10"/>
                <w:color w:val="auto"/>
              </w:rPr>
            </w:pPr>
          </w:p>
        </w:tc>
        <w:tc>
          <w:tcPr>
            <w:tcW w:w="3860" w:type="dxa"/>
            <w:vAlign w:val="bottom"/>
            <w:tcBorders>
              <w:bottom w:val="single" w:sz="8" w:color="auto"/>
              <w:right w:val="single" w:sz="8" w:color="auto"/>
            </w:tcBorders>
            <w:shd w:val="clear" w:color="auto" w:fill="D6DCE4"/>
          </w:tcPr>
          <w:p>
            <w:pPr>
              <w:spacing w:after="0"/>
              <w:rPr>
                <w:sz w:val="10"/>
                <w:szCs w:val="10"/>
                <w:color w:val="auto"/>
              </w:rPr>
            </w:pPr>
          </w:p>
        </w:tc>
        <w:tc>
          <w:tcPr>
            <w:tcW w:w="2860" w:type="dxa"/>
            <w:vAlign w:val="bottom"/>
            <w:tcBorders>
              <w:bottom w:val="single" w:sz="8" w:color="auto"/>
              <w:right w:val="single" w:sz="8" w:color="auto"/>
            </w:tcBorders>
            <w:shd w:val="clear" w:color="auto" w:fill="D6DCE4"/>
          </w:tcPr>
          <w:p>
            <w:pPr>
              <w:spacing w:after="0"/>
              <w:rPr>
                <w:sz w:val="10"/>
                <w:szCs w:val="10"/>
                <w:color w:val="auto"/>
              </w:rPr>
            </w:pPr>
          </w:p>
        </w:tc>
        <w:tc>
          <w:tcPr>
            <w:tcW w:w="1960" w:type="dxa"/>
            <w:vAlign w:val="bottom"/>
            <w:tcBorders>
              <w:bottom w:val="single" w:sz="8" w:color="auto"/>
              <w:right w:val="single" w:sz="8" w:color="auto"/>
            </w:tcBorders>
            <w:shd w:val="clear" w:color="auto" w:fill="D6DCE4"/>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70%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70%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4"/>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Maximum</w:t>
            </w:r>
          </w:p>
        </w:tc>
        <w:tc>
          <w:tcPr>
            <w:tcW w:w="3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Outstanding performance</w:t>
            </w:r>
          </w:p>
        </w:tc>
        <w:tc>
          <w:tcPr>
            <w:tcW w:w="2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130% of budget</w:t>
            </w:r>
          </w:p>
        </w:tc>
        <w:tc>
          <w:tcPr>
            <w:tcW w:w="19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4"/>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6844665" cy="261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3">
                      <a:extLst>
                        <a:ext uri="{28A0092B-C50C-407E-A947-70E740481C1C}"/>
                      </a:extLst>
                    </a:blip>
                    <a:srcRect/>
                    <a:stretch>
                      <a:fillRect/>
                    </a:stretch>
                  </pic:blipFill>
                  <pic:spPr bwMode="auto">
                    <a:xfrm>
                      <a:off x="0" y="0"/>
                      <a:ext cx="6844665" cy="261620"/>
                    </a:xfrm>
                    <a:prstGeom prst="rect">
                      <a:avLst/>
                    </a:prstGeom>
                    <a:noFill/>
                  </pic:spPr>
                </pic:pic>
              </a:graphicData>
            </a:graphic>
          </wp:anchor>
        </w:drawing>
      </w:r>
    </w:p>
    <w:p>
      <w:pPr>
        <w:spacing w:after="0" w:line="243" w:lineRule="exact"/>
        <w:rPr>
          <w:sz w:val="20"/>
          <w:szCs w:val="20"/>
          <w:color w:val="auto"/>
        </w:rPr>
      </w:pPr>
    </w:p>
    <w:p>
      <w:pPr>
        <w:ind w:left="4200"/>
        <w:spacing w:after="0"/>
        <w:rPr>
          <w:sz w:val="20"/>
          <w:szCs w:val="20"/>
          <w:color w:val="auto"/>
        </w:rPr>
      </w:pPr>
      <w:r>
        <w:rPr>
          <w:rFonts w:ascii="Calibri" w:cs="Calibri" w:eastAsia="Calibri" w:hAnsi="Calibri"/>
          <w:sz w:val="20"/>
          <w:szCs w:val="20"/>
          <w:b w:val="1"/>
          <w:bCs w:val="1"/>
          <w:color w:val="auto"/>
        </w:rPr>
        <w:t>KES – Kirby Engine Systems</w:t>
      </w:r>
    </w:p>
    <w:p>
      <w:pPr>
        <w:spacing w:after="0" w:line="77"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100" w:type="dxa"/>
            <w:vAlign w:val="bottom"/>
            <w:tcBorders>
              <w:top w:val="single" w:sz="8" w:color="auto"/>
              <w:left w:val="single" w:sz="8" w:color="auto"/>
              <w:right w:val="single" w:sz="8" w:color="auto"/>
            </w:tcBorders>
            <w:vMerge w:val="restart"/>
            <w:shd w:val="clear" w:color="auto" w:fill="D6DCE4"/>
          </w:tcPr>
          <w:p>
            <w:pPr>
              <w:ind w:left="360"/>
              <w:spacing w:after="0"/>
              <w:rPr>
                <w:sz w:val="20"/>
                <w:szCs w:val="20"/>
                <w:color w:val="auto"/>
              </w:rPr>
            </w:pPr>
            <w:r>
              <w:rPr>
                <w:rFonts w:ascii="Calibri" w:cs="Calibri" w:eastAsia="Calibri" w:hAnsi="Calibri"/>
                <w:sz w:val="18"/>
                <w:szCs w:val="18"/>
                <w:b w:val="1"/>
                <w:bCs w:val="1"/>
                <w:color w:val="auto"/>
              </w:rPr>
              <w:t>Performance Level</w:t>
            </w:r>
          </w:p>
        </w:tc>
        <w:tc>
          <w:tcPr>
            <w:tcW w:w="3860" w:type="dxa"/>
            <w:vAlign w:val="bottom"/>
            <w:tcBorders>
              <w:top w:val="single" w:sz="8" w:color="auto"/>
              <w:right w:val="single" w:sz="8" w:color="auto"/>
            </w:tcBorders>
            <w:vMerge w:val="restart"/>
            <w:shd w:val="clear" w:color="auto" w:fill="D6DCE4"/>
          </w:tcPr>
          <w:p>
            <w:pPr>
              <w:ind w:left="1560"/>
              <w:spacing w:after="0"/>
              <w:rPr>
                <w:sz w:val="20"/>
                <w:szCs w:val="20"/>
                <w:color w:val="auto"/>
              </w:rPr>
            </w:pPr>
            <w:r>
              <w:rPr>
                <w:rFonts w:ascii="Calibri" w:cs="Calibri" w:eastAsia="Calibri" w:hAnsi="Calibri"/>
                <w:sz w:val="18"/>
                <w:szCs w:val="18"/>
                <w:b w:val="1"/>
                <w:bCs w:val="1"/>
                <w:color w:val="auto"/>
              </w:rPr>
              <w:t>Defniton</w:t>
            </w:r>
          </w:p>
        </w:tc>
        <w:tc>
          <w:tcPr>
            <w:tcW w:w="2860" w:type="dxa"/>
            <w:vAlign w:val="bottom"/>
            <w:tcBorders>
              <w:top w:val="single" w:sz="8" w:color="auto"/>
              <w:right w:val="single" w:sz="8" w:color="auto"/>
            </w:tcBorders>
            <w:vMerge w:val="restart"/>
            <w:shd w:val="clear" w:color="auto" w:fill="D6DCE4"/>
          </w:tcPr>
          <w:p>
            <w:pPr>
              <w:ind w:left="580"/>
              <w:spacing w:after="0"/>
              <w:rPr>
                <w:sz w:val="20"/>
                <w:szCs w:val="20"/>
                <w:color w:val="auto"/>
              </w:rPr>
            </w:pPr>
            <w:r>
              <w:rPr>
                <w:rFonts w:ascii="Calibri" w:cs="Calibri" w:eastAsia="Calibri" w:hAnsi="Calibri"/>
                <w:sz w:val="18"/>
                <w:szCs w:val="18"/>
                <w:b w:val="1"/>
                <w:bCs w:val="1"/>
                <w:color w:val="auto"/>
              </w:rPr>
              <w:t>Relatonship to Budget</w:t>
            </w:r>
          </w:p>
        </w:tc>
        <w:tc>
          <w:tcPr>
            <w:tcW w:w="1960" w:type="dxa"/>
            <w:vAlign w:val="bottom"/>
            <w:tcBorders>
              <w:top w:val="single" w:sz="8" w:color="auto"/>
              <w:right w:val="single" w:sz="8" w:color="auto"/>
            </w:tcBorders>
            <w:shd w:val="clear" w:color="auto" w:fill="D6DCE4"/>
          </w:tcPr>
          <w:p>
            <w:pPr>
              <w:jc w:val="center"/>
              <w:spacing w:after="0"/>
              <w:rPr>
                <w:sz w:val="20"/>
                <w:szCs w:val="20"/>
                <w:color w:val="auto"/>
              </w:rPr>
            </w:pPr>
            <w:r>
              <w:rPr>
                <w:rFonts w:ascii="Calibri" w:cs="Calibri" w:eastAsia="Calibri" w:hAnsi="Calibri"/>
                <w:sz w:val="18"/>
                <w:szCs w:val="18"/>
                <w:b w:val="1"/>
                <w:bCs w:val="1"/>
                <w:color w:val="auto"/>
                <w:w w:val="98"/>
              </w:rPr>
              <w:t>% of Target Used for</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vMerge w:val="continue"/>
            <w:shd w:val="clear" w:color="auto" w:fill="D6DCE4"/>
          </w:tcPr>
          <w:p>
            <w:pPr>
              <w:spacing w:after="0"/>
              <w:rPr>
                <w:sz w:val="9"/>
                <w:szCs w:val="9"/>
                <w:color w:val="auto"/>
              </w:rPr>
            </w:pPr>
          </w:p>
        </w:tc>
        <w:tc>
          <w:tcPr>
            <w:tcW w:w="3860" w:type="dxa"/>
            <w:vAlign w:val="bottom"/>
            <w:tcBorders>
              <w:right w:val="single" w:sz="8" w:color="auto"/>
            </w:tcBorders>
            <w:vMerge w:val="continue"/>
            <w:shd w:val="clear" w:color="auto" w:fill="D6DCE4"/>
          </w:tcPr>
          <w:p>
            <w:pPr>
              <w:spacing w:after="0"/>
              <w:rPr>
                <w:sz w:val="9"/>
                <w:szCs w:val="9"/>
                <w:color w:val="auto"/>
              </w:rPr>
            </w:pPr>
          </w:p>
        </w:tc>
        <w:tc>
          <w:tcPr>
            <w:tcW w:w="2860" w:type="dxa"/>
            <w:vAlign w:val="bottom"/>
            <w:tcBorders>
              <w:right w:val="single" w:sz="8" w:color="auto"/>
            </w:tcBorders>
            <w:vMerge w:val="continue"/>
            <w:shd w:val="clear" w:color="auto" w:fill="D6DCE4"/>
          </w:tcPr>
          <w:p>
            <w:pPr>
              <w:spacing w:after="0"/>
              <w:rPr>
                <w:sz w:val="9"/>
                <w:szCs w:val="9"/>
                <w:color w:val="auto"/>
              </w:rPr>
            </w:pPr>
          </w:p>
        </w:tc>
        <w:tc>
          <w:tcPr>
            <w:tcW w:w="1960" w:type="dxa"/>
            <w:vAlign w:val="bottom"/>
            <w:tcBorders>
              <w:right w:val="single" w:sz="8" w:color="auto"/>
            </w:tcBorders>
            <w:vMerge w:val="restart"/>
            <w:shd w:val="clear" w:color="auto" w:fill="D6DCE4"/>
          </w:tcPr>
          <w:p>
            <w:pPr>
              <w:jc w:val="center"/>
              <w:spacing w:after="0" w:line="216" w:lineRule="exact"/>
              <w:rPr>
                <w:sz w:val="20"/>
                <w:szCs w:val="20"/>
                <w:color w:val="auto"/>
              </w:rPr>
            </w:pPr>
            <w:r>
              <w:rPr>
                <w:rFonts w:ascii="Calibri" w:cs="Calibri" w:eastAsia="Calibri" w:hAnsi="Calibri"/>
                <w:sz w:val="18"/>
                <w:szCs w:val="18"/>
                <w:b w:val="1"/>
                <w:bCs w:val="1"/>
                <w:color w:val="auto"/>
              </w:rPr>
              <w:t>Calculaton</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D6DCE4"/>
          </w:tcPr>
          <w:p>
            <w:pPr>
              <w:spacing w:after="0"/>
              <w:rPr>
                <w:sz w:val="9"/>
                <w:szCs w:val="9"/>
                <w:color w:val="auto"/>
              </w:rPr>
            </w:pPr>
          </w:p>
        </w:tc>
        <w:tc>
          <w:tcPr>
            <w:tcW w:w="3860" w:type="dxa"/>
            <w:vAlign w:val="bottom"/>
            <w:tcBorders>
              <w:right w:val="single" w:sz="8" w:color="auto"/>
            </w:tcBorders>
            <w:shd w:val="clear" w:color="auto" w:fill="D6DCE4"/>
          </w:tcPr>
          <w:p>
            <w:pPr>
              <w:spacing w:after="0"/>
              <w:rPr>
                <w:sz w:val="9"/>
                <w:szCs w:val="9"/>
                <w:color w:val="auto"/>
              </w:rPr>
            </w:pPr>
          </w:p>
        </w:tc>
        <w:tc>
          <w:tcPr>
            <w:tcW w:w="2860" w:type="dxa"/>
            <w:vAlign w:val="bottom"/>
            <w:tcBorders>
              <w:right w:val="single" w:sz="8" w:color="auto"/>
            </w:tcBorders>
            <w:shd w:val="clear" w:color="auto" w:fill="D6DCE4"/>
          </w:tcPr>
          <w:p>
            <w:pPr>
              <w:spacing w:after="0"/>
              <w:rPr>
                <w:sz w:val="9"/>
                <w:szCs w:val="9"/>
                <w:color w:val="auto"/>
              </w:rPr>
            </w:pPr>
          </w:p>
        </w:tc>
        <w:tc>
          <w:tcPr>
            <w:tcW w:w="1960" w:type="dxa"/>
            <w:vAlign w:val="bottom"/>
            <w:tcBorders>
              <w:right w:val="single" w:sz="8" w:color="auto"/>
            </w:tcBorders>
            <w:vMerge w:val="continue"/>
            <w:shd w:val="clear" w:color="auto" w:fill="D6DCE4"/>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100" w:type="dxa"/>
            <w:vAlign w:val="bottom"/>
            <w:tcBorders>
              <w:left w:val="single" w:sz="8" w:color="auto"/>
              <w:bottom w:val="single" w:sz="8" w:color="auto"/>
              <w:right w:val="single" w:sz="8" w:color="auto"/>
            </w:tcBorders>
            <w:shd w:val="clear" w:color="auto" w:fill="D6DCE4"/>
          </w:tcPr>
          <w:p>
            <w:pPr>
              <w:spacing w:after="0"/>
              <w:rPr>
                <w:sz w:val="10"/>
                <w:szCs w:val="10"/>
                <w:color w:val="auto"/>
              </w:rPr>
            </w:pPr>
          </w:p>
        </w:tc>
        <w:tc>
          <w:tcPr>
            <w:tcW w:w="3860" w:type="dxa"/>
            <w:vAlign w:val="bottom"/>
            <w:tcBorders>
              <w:bottom w:val="single" w:sz="8" w:color="auto"/>
              <w:right w:val="single" w:sz="8" w:color="auto"/>
            </w:tcBorders>
            <w:shd w:val="clear" w:color="auto" w:fill="D6DCE4"/>
          </w:tcPr>
          <w:p>
            <w:pPr>
              <w:spacing w:after="0"/>
              <w:rPr>
                <w:sz w:val="10"/>
                <w:szCs w:val="10"/>
                <w:color w:val="auto"/>
              </w:rPr>
            </w:pPr>
          </w:p>
        </w:tc>
        <w:tc>
          <w:tcPr>
            <w:tcW w:w="2860" w:type="dxa"/>
            <w:vAlign w:val="bottom"/>
            <w:tcBorders>
              <w:bottom w:val="single" w:sz="8" w:color="auto"/>
              <w:right w:val="single" w:sz="8" w:color="auto"/>
            </w:tcBorders>
            <w:shd w:val="clear" w:color="auto" w:fill="D6DCE4"/>
          </w:tcPr>
          <w:p>
            <w:pPr>
              <w:spacing w:after="0"/>
              <w:rPr>
                <w:sz w:val="10"/>
                <w:szCs w:val="10"/>
                <w:color w:val="auto"/>
              </w:rPr>
            </w:pPr>
          </w:p>
        </w:tc>
        <w:tc>
          <w:tcPr>
            <w:tcW w:w="1960" w:type="dxa"/>
            <w:vAlign w:val="bottom"/>
            <w:tcBorders>
              <w:bottom w:val="single" w:sz="8" w:color="auto"/>
              <w:right w:val="single" w:sz="8" w:color="auto"/>
            </w:tcBorders>
            <w:shd w:val="clear" w:color="auto" w:fill="D6DCE4"/>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Below 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Performance did not meet minimum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less than 60%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9"/>
              </w:rPr>
              <w:t>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Threshold</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Minimum acceptable performance for payout</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60%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50%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100" w:type="dxa"/>
            <w:vAlign w:val="bottom"/>
            <w:tcBorders>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Target</w:t>
            </w:r>
          </w:p>
        </w:tc>
        <w:tc>
          <w:tcPr>
            <w:tcW w:w="3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Expected performance at stretch level</w:t>
            </w:r>
          </w:p>
        </w:tc>
        <w:tc>
          <w:tcPr>
            <w:tcW w:w="2860" w:type="dxa"/>
            <w:vAlign w:val="bottom"/>
            <w:tcBorders>
              <w:right w:val="single" w:sz="8" w:color="auto"/>
            </w:tcBorders>
          </w:tcPr>
          <w:p>
            <w:pPr>
              <w:ind w:left="100"/>
              <w:spacing w:after="0"/>
              <w:rPr>
                <w:sz w:val="20"/>
                <w:szCs w:val="20"/>
                <w:color w:val="auto"/>
              </w:rPr>
            </w:pPr>
            <w:r>
              <w:rPr>
                <w:rFonts w:ascii="Calibri" w:cs="Calibri" w:eastAsia="Calibri" w:hAnsi="Calibri"/>
                <w:sz w:val="18"/>
                <w:szCs w:val="18"/>
                <w:color w:val="auto"/>
              </w:rPr>
              <w:t>100% of budget</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4"/>
              </w:rPr>
              <w:t>100%</w:t>
            </w: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ind w:left="120"/>
              <w:spacing w:after="0" w:line="209" w:lineRule="exact"/>
              <w:rPr>
                <w:sz w:val="20"/>
                <w:szCs w:val="20"/>
                <w:color w:val="auto"/>
              </w:rPr>
            </w:pPr>
            <w:r>
              <w:rPr>
                <w:rFonts w:ascii="Calibri" w:cs="Calibri" w:eastAsia="Calibri" w:hAnsi="Calibri"/>
                <w:sz w:val="18"/>
                <w:szCs w:val="18"/>
                <w:color w:val="auto"/>
              </w:rPr>
              <w:t>Maximum</w:t>
            </w:r>
          </w:p>
        </w:tc>
        <w:tc>
          <w:tcPr>
            <w:tcW w:w="3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Outstanding performance</w:t>
            </w:r>
          </w:p>
        </w:tc>
        <w:tc>
          <w:tcPr>
            <w:tcW w:w="2860" w:type="dxa"/>
            <w:vAlign w:val="bottom"/>
            <w:tcBorders>
              <w:bottom w:val="single" w:sz="8" w:color="auto"/>
              <w:right w:val="single" w:sz="8" w:color="auto"/>
            </w:tcBorders>
          </w:tcPr>
          <w:p>
            <w:pPr>
              <w:ind w:left="100"/>
              <w:spacing w:after="0" w:line="209" w:lineRule="exact"/>
              <w:rPr>
                <w:sz w:val="20"/>
                <w:szCs w:val="20"/>
                <w:color w:val="auto"/>
              </w:rPr>
            </w:pPr>
            <w:r>
              <w:rPr>
                <w:rFonts w:ascii="Calibri" w:cs="Calibri" w:eastAsia="Calibri" w:hAnsi="Calibri"/>
                <w:sz w:val="18"/>
                <w:szCs w:val="18"/>
                <w:color w:val="auto"/>
              </w:rPr>
              <w:t>140% of budget</w:t>
            </w:r>
          </w:p>
        </w:tc>
        <w:tc>
          <w:tcPr>
            <w:tcW w:w="1960" w:type="dxa"/>
            <w:vAlign w:val="bottom"/>
            <w:tcBorders>
              <w:bottom w:val="single" w:sz="8" w:color="auto"/>
              <w:right w:val="single" w:sz="8" w:color="auto"/>
            </w:tcBorders>
          </w:tcPr>
          <w:p>
            <w:pPr>
              <w:jc w:val="center"/>
              <w:spacing w:after="0" w:line="209" w:lineRule="exact"/>
              <w:rPr>
                <w:sz w:val="20"/>
                <w:szCs w:val="20"/>
                <w:color w:val="auto"/>
              </w:rPr>
            </w:pPr>
            <w:r>
              <w:rPr>
                <w:rFonts w:ascii="Calibri" w:cs="Calibri" w:eastAsia="Calibri" w:hAnsi="Calibri"/>
                <w:sz w:val="18"/>
                <w:szCs w:val="18"/>
                <w:color w:val="auto"/>
                <w:w w:val="94"/>
              </w:rPr>
              <w:t>200%</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760" w:hanging="378"/>
        <w:spacing w:after="0" w:line="237" w:lineRule="auto"/>
        <w:tabs>
          <w:tab w:leader="none" w:pos="76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Between the threshold and maximum percentages of budget achieved for each performance measure, there is a linear relatonship between the percentage of budget achieved and the resultng percentage of the target payout percentage used in calculatng payout amounts. As examples, 90% of budget for KIM would result in 75% of target used in the calculaton of a preliminary payment amount and 105% of budget would result in 125% of target used for the calculaton of a preliminary payment amount.</w:t>
      </w:r>
    </w:p>
    <w:p>
      <w:pPr>
        <w:spacing w:after="0" w:line="23" w:lineRule="exact"/>
        <w:rPr>
          <w:rFonts w:ascii="Times New Roman" w:cs="Times New Roman" w:eastAsia="Times New Roman" w:hAnsi="Times New Roman"/>
          <w:sz w:val="20"/>
          <w:szCs w:val="20"/>
          <w:color w:val="auto"/>
        </w:rPr>
      </w:pPr>
    </w:p>
    <w:p>
      <w:pPr>
        <w:jc w:val="both"/>
        <w:ind w:left="760" w:right="20" w:hanging="378"/>
        <w:spacing w:after="0" w:line="236" w:lineRule="auto"/>
        <w:tabs>
          <w:tab w:leader="none" w:pos="76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target amount determined for each performance measure is then multplied by the weight for the performance measure and the results are added together to produce a total Company or Business Group payout percentage of the target incentve that is applied to each individual partcipant to calculate the Aggregate Payout Amount under the Plan.</w:t>
      </w:r>
    </w:p>
    <w:p>
      <w:pPr>
        <w:spacing w:after="0" w:line="22" w:lineRule="exact"/>
        <w:rPr>
          <w:rFonts w:ascii="Times New Roman" w:cs="Times New Roman" w:eastAsia="Times New Roman" w:hAnsi="Times New Roman"/>
          <w:sz w:val="20"/>
          <w:szCs w:val="20"/>
          <w:color w:val="auto"/>
        </w:rPr>
      </w:pPr>
    </w:p>
    <w:p>
      <w:pPr>
        <w:jc w:val="both"/>
        <w:ind w:left="760" w:hanging="378"/>
        <w:spacing w:after="0" w:line="237" w:lineRule="auto"/>
        <w:tabs>
          <w:tab w:leader="none" w:pos="76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and the Chief Executve Ofcer shall in their discreton allocate the Aggregate Payment Amount among eligible partcipants; provided that only the Compensaton Commitee shall have the authority to allocate payment amounts to eligible partcipants (i) who are “ofcers” for purposes of Secton 16 of the Securites Exchange Act of 1934, (ii) whose bonus target is 50% or more of base salary or (iii) whose base salary is $300,000 or more (collectvely “Specifed Partcipants”). In allocatng the Aggregate Payment Amount, the Compensaton Commitee and the Chief Executve Ofcer may consider, but shall not be bound by, the preliminary incentve payment amount calculated for each partcipant.</w:t>
      </w:r>
    </w:p>
    <w:p>
      <w:pPr>
        <w:spacing w:after="0" w:line="25"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Compensaton Commitee has discreton to modify the performance measures or adjust the calculaton of the preliminary incentve payment amounts to adjust for acquisitons, divestures and other material business events.</w:t>
      </w:r>
    </w:p>
    <w:p>
      <w:pPr>
        <w:spacing w:after="0" w:line="1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aggregate amount of incentve payments made to partcipants in the Plan must equal the Aggregate Payment Amount.</w:t>
      </w:r>
    </w:p>
    <w:p>
      <w:pPr>
        <w:spacing w:after="0" w:line="22"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22"/>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Notwithstanding the foregoing or any provision of the Plan to the contrary, no partcipant may receive an amount more than 200% of the individual bonus target established for such partcipant (the “Maximum Payment”).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89" w:name="page90"/>
    <w:bookmarkEnd w:id="89"/>
    <w:p>
      <w:pPr>
        <w:spacing w:after="0"/>
        <w:rPr>
          <w:sz w:val="20"/>
          <w:szCs w:val="20"/>
          <w:color w:val="auto"/>
        </w:rPr>
      </w:pPr>
      <w:r>
        <w:rPr>
          <w:rFonts w:ascii="Calibri" w:cs="Calibri" w:eastAsia="Calibri" w:hAnsi="Calibri"/>
          <w:sz w:val="20"/>
          <w:szCs w:val="20"/>
          <w:b w:val="1"/>
          <w:bCs w:val="1"/>
          <w:i w:val="1"/>
          <w:iCs w:val="1"/>
          <w:color w:val="auto"/>
        </w:rPr>
        <w:t>Administraton</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Incentve Payments</w:t>
      </w:r>
    </w:p>
    <w:p>
      <w:pPr>
        <w:spacing w:after="0" w:line="9"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A partcipant’s fnal incentve bonus payment is paid out in cash within 90 days following the end of the Company’s fscal year, based on audited fnancial statements of the Company.</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Eligibility Limitaton</w:t>
      </w:r>
    </w:p>
    <w:p>
      <w:pPr>
        <w:spacing w:after="0" w:line="9"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Partcipants must be employed by the Company on the last day of the Performance Period and on the date bonuses are paid in order to receive a bonus, unless otherwise provided for in the Plan.</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Special Circumstances</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Compensaton Commitee will have the sole authority to resolve disputes related to Plan administraton. Decisions made by the Compensaton Commitee will be fnal and binding on all partcipants. The Compensaton Commitee has the sole discreton to determine the bonuses for newly hired, terminated, transferred and promoted employees, but will generally award bonuses based on the following provisions.</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New Employees</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 employees hired afer the beginning of a Performance Period who are selected for partcipaton in the Plan, the preliminary incentve payment will be prorated for the porton of the Performance Period during which they were employees of the Company, subject to the Terminaton of Employment restrictons.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Terminaton of Employment</w:t>
      </w:r>
    </w:p>
    <w:p>
      <w:pPr>
        <w:spacing w:after="0" w:line="9"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If a partcipant’s employment terminates prior to the last day of the Performance Period or prior to the date bonuses are paid for the Performance Period, for any reason other than death, retrement or disability, the partcipant will be ineligible to receive a bonus.</w:t>
      </w:r>
    </w:p>
    <w:p>
      <w:pPr>
        <w:spacing w:after="0" w:line="25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If a partcipant’s employment terminates before the end of the full Performance Period or before the date bonuses are paid for the Performance Period as a result of death, retrement or disability, the preliminary incentve payment for the partcipant (or the partcipant’s heirs) will be prorated at the end of the Performance Period based upon actual performance and base wages earned while employed during the Performance Period.</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Transfer</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preliminary incentve payment for a partcipant who is transferred between Business Groups during the year will be a weighted bonus based upon the tme spent at each of the Business Groups. In calculatng a weighted bonus, relevant Company and Business Group performance measures will be calculated for the full Performance Period and then a blended bonus will be calculated based on the tme spent at each Business Group.</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Promotons</w:t>
      </w:r>
    </w:p>
    <w:p>
      <w:pPr>
        <w:spacing w:after="0" w:line="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preliminary incentve payment for a partcipant who is promoted or reassigned during any Performance Period and whose bonus target is subsequently increased or decreased will be a weighted bonus, based on the service before and afer the promoton or reassignment.</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0" w:name="page91"/>
    <w:bookmarkEnd w:id="90"/>
    <w:p>
      <w:pPr>
        <w:spacing w:after="0"/>
        <w:rPr>
          <w:sz w:val="20"/>
          <w:szCs w:val="20"/>
          <w:color w:val="auto"/>
        </w:rPr>
      </w:pPr>
      <w:r>
        <w:rPr>
          <w:rFonts w:ascii="Calibri" w:cs="Calibri" w:eastAsia="Calibri" w:hAnsi="Calibri"/>
          <w:sz w:val="20"/>
          <w:szCs w:val="20"/>
          <w:b w:val="1"/>
          <w:bCs w:val="1"/>
          <w:color w:val="auto"/>
        </w:rPr>
        <w:t>Compensaton Commitee</w:t>
      </w:r>
    </w:p>
    <w:p>
      <w:pPr>
        <w:spacing w:after="0" w:line="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Plan shall be administered by the Compensaton Commitee. The Compensaton Commitee shall have the authority to interpret the provisions of the Plan and these Guidelines, to adopt such rules for carrying out the Plan as it may deem advisable, to decide conclusively all questons arising with respect to the Plan and to make all other determinatons and take all other actons necessary or desirable for the administraton of the Plan. All decisions and acts of the Compensaton Commitee shall be fnal and binding upon all afected partes.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libri" w:cs="Calibri" w:eastAsia="Calibri" w:hAnsi="Calibri"/>
          <w:sz w:val="20"/>
          <w:szCs w:val="20"/>
          <w:color w:val="auto"/>
        </w:rPr>
        <w:t>In administering the Plan the Compensaton Commitee will:</w:t>
      </w:r>
    </w:p>
    <w:p>
      <w:pPr>
        <w:spacing w:after="0" w:line="1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designaton of Business Groups within the Company</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Company Performance Goal</w:t>
      </w:r>
    </w:p>
    <w:p>
      <w:pPr>
        <w:spacing w:after="0" w:line="130" w:lineRule="exact"/>
        <w:rPr>
          <w:rFonts w:ascii="Times New Roman" w:cs="Times New Roman" w:eastAsia="Times New Roman" w:hAnsi="Times New Roman"/>
          <w:sz w:val="20"/>
          <w:szCs w:val="20"/>
          <w:color w:val="auto"/>
        </w:rPr>
      </w:pPr>
    </w:p>
    <w:p>
      <w:pPr>
        <w:ind w:left="760" w:right="20" w:hanging="378"/>
        <w:spacing w:after="0" w:line="234" w:lineRule="auto"/>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other performance measures used and the Threshold, Target and Maximum budget performance levels for purposes of calculatng preliminary incentve payment amounts and the Aggregate Payment Amount</w:t>
      </w:r>
    </w:p>
    <w:p>
      <w:pPr>
        <w:spacing w:after="0" w:line="1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linkage for partcipants to Company and Business Group performance</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individual bonus targets for all Specifed Partcipants</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Approve the Aggregate Payment Amount to be paid to partcipants in the Plan</w:t>
      </w:r>
    </w:p>
    <w:p>
      <w:pPr>
        <w:spacing w:after="0" w:line="12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Determine in its discreton the fnal incentve payments for partcipants.</w:t>
      </w:r>
    </w:p>
    <w:p>
      <w:pPr>
        <w:spacing w:after="0" w:line="117"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The total amount of the incentve payments made to partcipants pursuant to the Plan must equal, and may not exceed, the Aggregate Payment Amount.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Executve Ofcer (CEO)</w:t>
      </w:r>
    </w:p>
    <w:p>
      <w:pPr>
        <w:spacing w:after="0" w:line="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CEO has primary responsibility for recommending Plan Guidelines to the Commitee and for delegatng administratve dutes associated with the Plan. The Compensaton Commitee may delegate additonal administratve dutes to the CEO or any Company ofcer. The CEO may make recommendatons, subject to Compensaton Commitee approval, with respect to the incentve payment to any partcipant.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Financial Ofcer (CFO)</w:t>
      </w:r>
    </w:p>
    <w:p>
      <w:pPr>
        <w:spacing w:after="0" w:line="238" w:lineRule="auto"/>
        <w:rPr>
          <w:sz w:val="20"/>
          <w:szCs w:val="20"/>
          <w:color w:val="auto"/>
        </w:rPr>
      </w:pPr>
      <w:r>
        <w:rPr>
          <w:rFonts w:ascii="Calibri" w:cs="Calibri" w:eastAsia="Calibri" w:hAnsi="Calibri"/>
          <w:sz w:val="20"/>
          <w:szCs w:val="20"/>
          <w:color w:val="auto"/>
        </w:rPr>
        <w:t>The CFO is responsible for calculatng performance under the Plan. The CFO will:</w:t>
      </w:r>
    </w:p>
    <w:p>
      <w:pPr>
        <w:spacing w:after="0" w:line="23" w:lineRule="exact"/>
        <w:rPr>
          <w:sz w:val="20"/>
          <w:szCs w:val="20"/>
          <w:color w:val="auto"/>
        </w:rPr>
      </w:pPr>
    </w:p>
    <w:p>
      <w:pPr>
        <w:ind w:left="1500" w:hanging="743"/>
        <w:spacing w:after="0" w:line="234" w:lineRule="auto"/>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annual reports to the Compensaton Commitee and the CEO on each Business Group’s performance at the end of the fscal year</w:t>
      </w:r>
    </w:p>
    <w:p>
      <w:pPr>
        <w:spacing w:after="0" w:line="12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Maintain a fnancial informaton system that reports results on an estmated quarterly and annual basis</w:t>
      </w:r>
    </w:p>
    <w:p>
      <w:pPr>
        <w:spacing w:after="0" w:line="130" w:lineRule="exact"/>
        <w:rPr>
          <w:rFonts w:ascii="Times New Roman" w:cs="Times New Roman" w:eastAsia="Times New Roman" w:hAnsi="Times New Roman"/>
          <w:sz w:val="20"/>
          <w:szCs w:val="20"/>
          <w:color w:val="auto"/>
        </w:rPr>
      </w:pPr>
    </w:p>
    <w:p>
      <w:pPr>
        <w:ind w:left="1500" w:hanging="743"/>
        <w:spacing w:after="0" w:line="234" w:lineRule="auto"/>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with the Company’s auditors to properly recognize any accountng expense associated with incentve payments under the Plan</w:t>
      </w:r>
    </w:p>
    <w:p>
      <w:pPr>
        <w:spacing w:after="0" w:line="131" w:lineRule="exact"/>
        <w:rPr>
          <w:rFonts w:ascii="Times New Roman" w:cs="Times New Roman" w:eastAsia="Times New Roman" w:hAnsi="Times New Roman"/>
          <w:sz w:val="20"/>
          <w:szCs w:val="20"/>
          <w:color w:val="auto"/>
        </w:rPr>
      </w:pPr>
    </w:p>
    <w:p>
      <w:pPr>
        <w:ind w:left="1500" w:hanging="743"/>
        <w:spacing w:after="0" w:line="234" w:lineRule="auto"/>
        <w:tabs>
          <w:tab w:leader="none" w:pos="150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Provide the CHRO or functonal equivalent with the performance results of each Business Group as well as overall Company performance</w:t>
      </w:r>
    </w:p>
    <w:p>
      <w:pPr>
        <w:spacing w:after="0" w:line="1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Chief Human Resources Ofcer or functonal equivalent (CHRO)</w:t>
      </w:r>
    </w:p>
    <w:p>
      <w:pPr>
        <w:spacing w:after="0" w:line="238" w:lineRule="auto"/>
        <w:rPr>
          <w:sz w:val="20"/>
          <w:szCs w:val="20"/>
          <w:color w:val="auto"/>
        </w:rPr>
      </w:pPr>
      <w:r>
        <w:rPr>
          <w:rFonts w:ascii="Calibri" w:cs="Calibri" w:eastAsia="Calibri" w:hAnsi="Calibri"/>
          <w:sz w:val="20"/>
          <w:szCs w:val="20"/>
          <w:color w:val="auto"/>
        </w:rPr>
        <w:t>The CHRO has responsibility for administraton of the Plan and will:</w:t>
      </w:r>
    </w:p>
    <w:p>
      <w:pPr>
        <w:spacing w:after="0" w:line="13"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Develop and recommend eligible partcipants and target bonus guidelines</w:t>
      </w:r>
    </w:p>
    <w:p>
      <w:pPr>
        <w:spacing w:after="0" w:line="130" w:lineRule="exact"/>
        <w:rPr>
          <w:rFonts w:ascii="Times New Roman" w:cs="Times New Roman" w:eastAsia="Times New Roman" w:hAnsi="Times New Roman"/>
          <w:sz w:val="20"/>
          <w:szCs w:val="20"/>
          <w:color w:val="auto"/>
        </w:rPr>
      </w:pPr>
    </w:p>
    <w:p>
      <w:pPr>
        <w:ind w:left="1500" w:right="20" w:hanging="743"/>
        <w:spacing w:after="0" w:line="234" w:lineRule="auto"/>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communicatons with partcipants, including materials to facilitate understanding the Plan’s objectves and goals</w:t>
      </w:r>
    </w:p>
    <w:p>
      <w:pPr>
        <w:spacing w:after="0" w:line="12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Calculate partcipants’ preliminary incentve payment amounts, using the performance factors provided by the CFO</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Process paperwork approving individual incentve payments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1" w:name="page92"/>
    <w:bookmarkEnd w:id="91"/>
    <w:p>
      <w:pPr>
        <w:spacing w:after="0"/>
        <w:rPr>
          <w:sz w:val="20"/>
          <w:szCs w:val="20"/>
          <w:color w:val="auto"/>
        </w:rPr>
      </w:pPr>
      <w:r>
        <w:rPr>
          <w:rFonts w:ascii="Calibri" w:cs="Calibri" w:eastAsia="Calibri" w:hAnsi="Calibri"/>
          <w:sz w:val="20"/>
          <w:szCs w:val="20"/>
          <w:b w:val="1"/>
          <w:bCs w:val="1"/>
          <w:color w:val="auto"/>
        </w:rPr>
        <w:t>Business Group Presidents and Vice Presidents will:</w:t>
      </w:r>
    </w:p>
    <w:p>
      <w:pPr>
        <w:spacing w:after="0" w:line="12" w:lineRule="exact"/>
        <w:rPr>
          <w:sz w:val="20"/>
          <w:szCs w:val="20"/>
          <w:color w:val="auto"/>
        </w:rPr>
      </w:pPr>
    </w:p>
    <w:p>
      <w:pPr>
        <w:ind w:left="1500" w:hanging="743"/>
        <w:spacing w:after="0"/>
        <w:tabs>
          <w:tab w:leader="none" w:pos="15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Recommend partcipants in the Plan</w:t>
      </w:r>
    </w:p>
    <w:p>
      <w:pPr>
        <w:spacing w:after="0" w:line="130" w:lineRule="exact"/>
        <w:rPr>
          <w:rFonts w:ascii="Times New Roman" w:cs="Times New Roman" w:eastAsia="Times New Roman" w:hAnsi="Times New Roman"/>
          <w:sz w:val="20"/>
          <w:szCs w:val="20"/>
          <w:color w:val="auto"/>
        </w:rPr>
      </w:pPr>
    </w:p>
    <w:p>
      <w:pPr>
        <w:ind w:left="1500" w:hanging="743"/>
        <w:spacing w:after="0" w:line="234" w:lineRule="auto"/>
        <w:tabs>
          <w:tab w:leader="none" w:pos="15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Coordinate with the CFO to determine any signifcant changes in business conditons for purposes of reviewing the Threshold, Target and Maximum performance objectves</w:t>
      </w:r>
    </w:p>
    <w:p>
      <w:pPr>
        <w:spacing w:after="0" w:line="12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Assure that partcipants are informed of the actual incentve payment to be made for the Performance Period</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AGREEMENT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CHANGE OF CONTROL AGREEMENT (this “Agreement”), dated as of May 16, 2022 (the “Effective Date”), by and between Kirby Corporation, a Nevada corporation (the “Company”), and Scott Miller (the “Executive”).</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WHEREAS, 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herein). The Board believes it is imperative to diminish the inevitable distraction of the Executive by virtue of the personal uncertainties and risks created by a pending or threatened Change of Control and to encourage the Executive’s full attention and dedication to the Company in the event of any threatened or pending Change of Control, and to provide the Executive with compensation and benefits arrangements upon a Change of Control that ensure that the compensation and benefits expectations of the Executive will be satisfied and that provide the Executive with compensation and benefits arrangements that are competitive with those of other corporations. Therefore, in order to accomplish these objectives, the Board has caused the Company to enter into this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IT IS HEREBY AGREED AS FOLLOWS: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40" w:hanging="535"/>
        <w:spacing w:after="0"/>
        <w:tabs>
          <w:tab w:leader="none" w:pos="20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“Affiliated Company” means any company controlled by, controlling or under common control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82" w:lineRule="exact"/>
        <w:rPr>
          <w:sz w:val="20"/>
          <w:szCs w:val="20"/>
          <w:color w:val="auto"/>
        </w:rPr>
      </w:pPr>
    </w:p>
    <w:p>
      <w:pPr>
        <w:jc w:val="both"/>
        <w:ind w:firstLine="1505"/>
        <w:spacing w:after="0" w:line="244" w:lineRule="auto"/>
        <w:tabs>
          <w:tab w:leader="none" w:pos="203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means any one or more of the following: (i) the willful and continued failure of the Executive to perform substantially the Executive’s duties with the Company or any Affiliated Company (other than any such failure resulting from incapacity due to physical or mental illness or following the Executive’s delivery of a Notice of Termination for Good Reason), after a written demand for substantial performance is delivered to the Executive by the Board that specifically identifies the manner in which the Board believes that the Executive has not substantially performed the Executive’s duties, or (ii) the willful engaging by the Executive in illegal conduct or gross misconduct that is materially and demonstrably injurious to the Company. For this purpose,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 authority given pursuant to a resolution duly adopted by the Board, or if the Company is not the ultimate parent corporation of the Affiliated Companies and is not publicly-traded, the board of directors of the ultimate parent of the Company (the “Applicable Board”), (B) the instructions of the Chief Executive Officer of the Company, or (C) the advice of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three-quarters of the entire membership of the Applicable Board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39" w:lineRule="auto"/>
        <w:rPr>
          <w:sz w:val="20"/>
          <w:szCs w:val="20"/>
          <w:color w:val="auto"/>
        </w:rPr>
      </w:pPr>
      <w:r>
        <w:rPr>
          <w:rFonts w:ascii="Times New Roman" w:cs="Times New Roman" w:eastAsia="Times New Roman" w:hAnsi="Times New Roman"/>
          <w:sz w:val="22"/>
          <w:szCs w:val="22"/>
          <w:color w:val="auto"/>
        </w:rPr>
        <w:t>Executive, if the Executive is a member of the Applicable Board) at a meeting of the Applicable Board called and held for such purpose (after reasonable notice is provided to the Executive and the Executive is given an opportunity, together with counsel for the Executive, to be heard before the Applicable Board), finding that, in the good faith opinion of the board, the Executive is guilty of the conduct described in Section 1(b)(1) or 1(b)(2), and specifying the particulars thereof in detail.</w:t>
      </w:r>
    </w:p>
    <w:p>
      <w:pPr>
        <w:spacing w:after="0" w:line="180" w:lineRule="exact"/>
        <w:rPr>
          <w:sz w:val="20"/>
          <w:szCs w:val="20"/>
          <w:color w:val="auto"/>
        </w:rPr>
      </w:pPr>
    </w:p>
    <w:p>
      <w:pPr>
        <w:ind w:left="2040" w:hanging="535"/>
        <w:spacing w:after="0"/>
        <w:tabs>
          <w:tab w:leader="none" w:pos="20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means:</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4" w:lineRule="auto"/>
        <w:tabs>
          <w:tab w:leader="none" w:pos="255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individual, entity or group (within the meaning of Section 13(d)(3) or 14(d)(2) of the Securities Exchange Act of 1934, as amended (the “Exchange Act”)) (a “Person”) becomes the beneficial owner (within the meaning of Rule 13d-3 promulgated under the Exchange Act) of 30%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this Section 1(c), the following acquisitions shall not constitute a Change of Control: (i) any acquisition directly from the Company, (ii) any acquisition by the Company, (iii) any acquisition by any employee benefit plan (or related trust) sponsored or maintained by the Company or any Affiliated Company or (iv) any acquisition by any corporation pursuant to a transaction that complies with Sections 1(c)(3)(A), 1(c)(3)(B) and 1(c)(3)(C);</w:t>
      </w:r>
    </w:p>
    <w:p>
      <w:pPr>
        <w:spacing w:after="0" w:line="179"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5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time at which individuals who, as of the date hereof, constitute the Board (the “Incumbent Board”) cease for any reason to constitute at least a majority of the 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4" w:lineRule="auto"/>
        <w:tabs>
          <w:tab w:leader="none" w:pos="255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w:t>
      </w:r>
    </w:p>
    <w:p>
      <w:pPr>
        <w:spacing w:after="0" w:line="200" w:lineRule="exact"/>
        <w:rPr>
          <w:rFonts w:ascii="Times New Roman" w:cs="Times New Roman" w:eastAsia="Times New Roman" w:hAnsi="Times New Roman"/>
          <w:sz w:val="22"/>
          <w:szCs w:val="22"/>
          <w:color w:val="auto"/>
        </w:rPr>
      </w:pPr>
    </w:p>
    <w:p>
      <w:pPr>
        <w:spacing w:after="0" w:line="384"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4" w:name="page95"/>
    <w:bookmarkEnd w:id="94"/>
    <w:p>
      <w:pPr>
        <w:jc w:val="both"/>
        <w:ind w:left="3"/>
        <w:spacing w:after="0" w:line="244" w:lineRule="auto"/>
        <w:rPr>
          <w:sz w:val="20"/>
          <w:szCs w:val="20"/>
          <w:color w:val="auto"/>
        </w:rPr>
      </w:pPr>
      <w:r>
        <w:rPr>
          <w:rFonts w:ascii="Times New Roman" w:cs="Times New Roman" w:eastAsia="Times New Roman" w:hAnsi="Times New Roman"/>
          <w:sz w:val="21"/>
          <w:szCs w:val="21"/>
          <w:color w:val="auto"/>
        </w:rPr>
        <w:t>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30%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w:t>
      </w:r>
    </w:p>
    <w:p>
      <w:pPr>
        <w:spacing w:after="0" w:line="4" w:lineRule="exact"/>
        <w:rPr>
          <w:sz w:val="20"/>
          <w:szCs w:val="20"/>
          <w:color w:val="auto"/>
        </w:rPr>
      </w:pPr>
    </w:p>
    <w:p>
      <w:pPr>
        <w:jc w:val="both"/>
        <w:ind w:left="3" w:hanging="3"/>
        <w:spacing w:after="0" w:line="235" w:lineRule="auto"/>
        <w:tabs>
          <w:tab w:leader="none" w:pos="37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77" w:lineRule="exact"/>
        <w:rPr>
          <w:rFonts w:ascii="Times New Roman" w:cs="Times New Roman" w:eastAsia="Times New Roman" w:hAnsi="Times New Roman"/>
          <w:sz w:val="22"/>
          <w:szCs w:val="22"/>
          <w:color w:val="auto"/>
        </w:rPr>
      </w:pPr>
    </w:p>
    <w:p>
      <w:pPr>
        <w:ind w:left="1803" w:hanging="306"/>
        <w:spacing w:after="0"/>
        <w:tabs>
          <w:tab w:leader="none" w:pos="1803"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of a complete liquidation or dissolution of the</w:t>
      </w:r>
    </w:p>
    <w:p>
      <w:pPr>
        <w:spacing w:after="0" w:line="14" w:lineRule="exact"/>
        <w:rPr>
          <w:rFonts w:ascii="Times New Roman" w:cs="Times New Roman" w:eastAsia="Times New Roman" w:hAnsi="Times New Roman"/>
          <w:sz w:val="22"/>
          <w:szCs w:val="22"/>
          <w:color w:val="auto"/>
        </w:rPr>
      </w:pP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2"/>
          <w:szCs w:val="22"/>
          <w:color w:val="auto"/>
        </w:rPr>
      </w:pPr>
    </w:p>
    <w:p>
      <w:pPr>
        <w:jc w:val="both"/>
        <w:ind w:left="-757" w:firstLine="1505"/>
        <w:spacing w:after="0" w:line="239" w:lineRule="auto"/>
        <w:tabs>
          <w:tab w:leader="none" w:pos="12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Control Period” means the period (i) commencing on the date on which the Company enters into a definitive written agreement that, if the transactions contemplated therein are consummated, would result in a Change of Control (a “Definitive Agreement”) and (ii) ending on the second anniversary of the date on which a Change of Control occurs (or, if earlier, the date on which the Definitive Agreement terminates without consummation of a Change of Control).</w:t>
      </w:r>
    </w:p>
    <w:p>
      <w:pPr>
        <w:spacing w:after="0" w:line="180"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 means the Internal Revenue Code of 1986, as amended.</w:t>
      </w:r>
    </w:p>
    <w:p>
      <w:pPr>
        <w:spacing w:after="0" w:line="206"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Group” means the Company its Affiliated Companies.</w:t>
      </w:r>
    </w:p>
    <w:p>
      <w:pPr>
        <w:spacing w:after="0" w:line="206" w:lineRule="exact"/>
        <w:rPr>
          <w:rFonts w:ascii="Times New Roman" w:cs="Times New Roman" w:eastAsia="Times New Roman" w:hAnsi="Times New Roman"/>
          <w:sz w:val="22"/>
          <w:szCs w:val="22"/>
          <w:color w:val="auto"/>
        </w:rPr>
      </w:pPr>
    </w:p>
    <w:p>
      <w:pPr>
        <w:jc w:val="both"/>
        <w:ind w:left="-757" w:firstLine="1505"/>
        <w:spacing w:after="0" w:line="239" w:lineRule="auto"/>
        <w:tabs>
          <w:tab w:leader="none" w:pos="12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means the absence of the Executive from the Executive’s duties with the Company on a full-time basis for 180 consecutive calendar days as a result of incapacity due to mental or physical illness that is determined to be total and permanent by a physician selected by the Company or its insurers and acceptable to the Executive or the Executive’s legal representative.</w:t>
      </w:r>
    </w:p>
    <w:p>
      <w:pPr>
        <w:spacing w:after="0" w:line="180" w:lineRule="exact"/>
        <w:rPr>
          <w:rFonts w:ascii="Times New Roman" w:cs="Times New Roman" w:eastAsia="Times New Roman" w:hAnsi="Times New Roman"/>
          <w:sz w:val="22"/>
          <w:szCs w:val="22"/>
          <w:color w:val="auto"/>
        </w:rPr>
      </w:pPr>
    </w:p>
    <w:p>
      <w:pPr>
        <w:jc w:val="both"/>
        <w:ind w:left="-757" w:firstLine="1505"/>
        <w:spacing w:after="0" w:line="244" w:lineRule="auto"/>
        <w:tabs>
          <w:tab w:leader="none" w:pos="12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Award” means any stock option, restricted stock or restricted stock unit or such other equity award granted to the Executive prior to, or after, the Effective Date pursuant to the Company’s stock option and equity incentive award plans or agreements.</w:t>
      </w:r>
    </w:p>
    <w:p>
      <w:pPr>
        <w:spacing w:after="0" w:line="173" w:lineRule="exact"/>
        <w:rPr>
          <w:rFonts w:ascii="Times New Roman" w:cs="Times New Roman" w:eastAsia="Times New Roman" w:hAnsi="Times New Roman"/>
          <w:sz w:val="22"/>
          <w:szCs w:val="22"/>
          <w:color w:val="auto"/>
        </w:rPr>
      </w:pPr>
    </w:p>
    <w:p>
      <w:pPr>
        <w:jc w:val="both"/>
        <w:ind w:left="-757" w:firstLine="1505"/>
        <w:spacing w:after="0" w:line="236" w:lineRule="auto"/>
        <w:tabs>
          <w:tab w:leader="none" w:pos="12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means any one or more of the following without the Executive’s written consent: (i) a material reduction in the Executive’s base annual salary; (ii) a material adverse change in the Executive’s authority, duties or responsibilities (other than temporarily while The Executive is physically or mentally incapacitated or as required by applicable law); (iii) a material breach by the Company of any material provision of this Agreement (or by a member of the Company Group of any material provision or any other written agreement between The Executive and the Company Group member regarding his or her services</w:t>
      </w:r>
    </w:p>
    <w:p>
      <w:pPr>
        <w:spacing w:after="0" w:line="200" w:lineRule="exact"/>
        <w:rPr>
          <w:rFonts w:ascii="Times New Roman" w:cs="Times New Roman" w:eastAsia="Times New Roman" w:hAnsi="Times New Roman"/>
          <w:sz w:val="22"/>
          <w:szCs w:val="22"/>
          <w:color w:val="auto"/>
        </w:rPr>
      </w:pPr>
    </w:p>
    <w:p>
      <w:pPr>
        <w:spacing w:after="0" w:line="386" w:lineRule="exact"/>
        <w:rPr>
          <w:rFonts w:ascii="Times New Roman" w:cs="Times New Roman" w:eastAsia="Times New Roman" w:hAnsi="Times New Roman"/>
          <w:sz w:val="22"/>
          <w:szCs w:val="22"/>
          <w:color w:val="auto"/>
        </w:rPr>
      </w:pPr>
    </w:p>
    <w:p>
      <w:pPr>
        <w:ind w:left="4823" w:hanging="136"/>
        <w:spacing w:after="0"/>
        <w:tabs>
          <w:tab w:leader="none" w:pos="4823" w:val="left"/>
        </w:tabs>
        <w:numPr>
          <w:ilvl w:val="3"/>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1"/>
          <w:szCs w:val="21"/>
          <w:color w:val="auto"/>
        </w:rPr>
        <w:t>thereto); or (iv) the Company requires that the Executive move his or her principal place of employment to a location that is thirty</w:t>
      </w:r>
    </w:p>
    <w:p>
      <w:pPr>
        <w:spacing w:after="0" w:line="26" w:lineRule="exact"/>
        <w:rPr>
          <w:sz w:val="20"/>
          <w:szCs w:val="20"/>
          <w:color w:val="auto"/>
        </w:rPr>
      </w:pPr>
    </w:p>
    <w:p>
      <w:pPr>
        <w:jc w:val="both"/>
        <w:ind w:firstLine="8"/>
        <w:spacing w:after="0" w:line="233" w:lineRule="auto"/>
        <w:tabs>
          <w:tab w:leader="none" w:pos="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miles from his or her current principal place of employment and the new location is farther from his or her primary residence. The Executive may not terminate his or her employment for “Good Reason” unless (A) the Executive gives the Company written notice of the event within thirty (30) days of the occurrence of the event, (B) the Company fails to remedy the event within thirty (30) days following its receipt of the notice, and (C) the Executive terminates his or her employment with the Company within sixty (60) days following the Company’s receipt of written notice.</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“Highest Annual Base Salary” means, as of any date during a Change of Control Period, the greater of (i) the Executive’s annual base salary as of such date or (ii) the Executive’s highest annual base salary at any time during the two-year period immediately preceding such date, in each case including any base salary that has been earned but deferred, to the Executive by the Company and the Affiliated Companies.</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Benefits” has the meaning given in Section 5.</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b w:val="1"/>
          <w:bCs w:val="1"/>
          <w:u w:val="single" w:color="auto"/>
          <w:color w:val="auto"/>
        </w:rPr>
        <w:t>Term; Termination or Amendment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3"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this Agreement is terminated in accordance with Section 2(b) below, this Agreement shall extend for a term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Term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commencing on the Effective Date and ending the second anniversary of the Effective Date (the “Initial Expiration Date”). If this Agreement is not previously terminated, the Term shall automatically renew for one (1) additional year beginning on the day following the Initial Expiration Date and each subsequent anniversary thereof (each, a “Renewal Date”), unless the Company elects not to extend the Term by providing The Executive with written notice (a “Non-Renewal Notice”) of such election not less than ninety (90) days prior to the last day of the then-current Term (each of the Initial Expiration Date and the last day of any then-current extended Term, the “Expiration Date”). Except as otherwise provided in the preceding sentence, no such termination or any amendment of this Agreement shall become effective during the term of this Agreement without the Executive’s written consent, and any such purported termination or amendment of this Agreement during a Change of Control Period, whether pursuant to the preceding sentence or otherwise, without the Executive’s written consent shall become effective no earlier than the expiration of the Change of Control Period.</w:t>
      </w:r>
    </w:p>
    <w:p>
      <w:pPr>
        <w:spacing w:after="0" w:line="187"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Agreement is not previously terminated, this Agreement shall terminate upon the termination of the Executive’s employment; provided that, all obligations and liabilities of the parties hereto arising in connection with such termination of employment or otherwise accruing under this Agreement shall survive such termination.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amend this Agreement without the Executive’s consent, which amendment shall be evidenced in writing and be effective as of the relevant Renewal Date; provided that, (i) the Executive is provided with written notice of the Company’s election to amend the Agreement at least ninety (90) days prior to such Renewal Date, and (ii) no such amendment adversely affects the Executive.</w:t>
      </w:r>
    </w:p>
    <w:p>
      <w:pPr>
        <w:spacing w:after="0" w:line="200" w:lineRule="exact"/>
        <w:rPr>
          <w:rFonts w:ascii="Times New Roman" w:cs="Times New Roman" w:eastAsia="Times New Roman" w:hAnsi="Times New Roman"/>
          <w:sz w:val="22"/>
          <w:szCs w:val="22"/>
          <w:color w:val="auto"/>
        </w:rPr>
      </w:pPr>
    </w:p>
    <w:p>
      <w:pPr>
        <w:spacing w:after="0" w:line="38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b w:val="1"/>
          <w:bCs w:val="1"/>
          <w:color w:val="auto"/>
        </w:rPr>
        <w:t>Section 3.</w:t>
      </w:r>
      <w:r>
        <w:rPr>
          <w:rFonts w:ascii="Times New Roman" w:cs="Times New Roman" w:eastAsia="Times New Roman" w:hAnsi="Times New Roman"/>
          <w:sz w:val="22"/>
          <w:szCs w:val="22"/>
          <w:b w:val="1"/>
          <w:bCs w:val="1"/>
          <w:u w:val="single" w:color="auto"/>
          <w:color w:val="auto"/>
        </w:rPr>
        <w:t>Obligations of the Company upon Termination during Change of Control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1505"/>
        <w:spacing w:after="0" w:line="241" w:lineRule="auto"/>
        <w:tabs>
          <w:tab w:leader="none" w:pos="127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Good Reason; Other Than for Cause, Death or Disability</w:t>
      </w:r>
      <w:r>
        <w:rPr>
          <w:rFonts w:ascii="Times New Roman" w:cs="Times New Roman" w:eastAsia="Times New Roman" w:hAnsi="Times New Roman"/>
          <w:sz w:val="22"/>
          <w:szCs w:val="22"/>
          <w:color w:val="auto"/>
        </w:rPr>
        <w:t>. If, during a Change of Control Period,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terminates the Executive’s employment other than for Cause, Disability or death or the Executive terminates employment for Good Reason, then, subject to Section 4 and subject to the Executive’s compliance with his or her obligations under Section 8:</w:t>
      </w:r>
    </w:p>
    <w:p>
      <w:pPr>
        <w:spacing w:after="0" w:line="175" w:lineRule="exact"/>
        <w:rPr>
          <w:rFonts w:ascii="Times New Roman" w:cs="Times New Roman" w:eastAsia="Times New Roman" w:hAnsi="Times New Roman"/>
          <w:sz w:val="22"/>
          <w:szCs w:val="22"/>
          <w:color w:val="auto"/>
        </w:rPr>
      </w:pPr>
    </w:p>
    <w:p>
      <w:pPr>
        <w:ind w:right="20" w:firstLine="1494"/>
        <w:spacing w:after="0" w:line="258" w:lineRule="auto"/>
        <w:tabs>
          <w:tab w:leader="none" w:pos="179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Executive, in a lump sum in cash within 60 days after the Date of Termination, the aggregate of the following amounts:</w:t>
      </w:r>
    </w:p>
    <w:p>
      <w:pPr>
        <w:spacing w:after="0" w:line="158" w:lineRule="exact"/>
        <w:rPr>
          <w:rFonts w:ascii="Times New Roman" w:cs="Times New Roman" w:eastAsia="Times New Roman" w:hAnsi="Times New Roman"/>
          <w:sz w:val="22"/>
          <w:szCs w:val="22"/>
          <w:color w:val="auto"/>
        </w:rPr>
      </w:pPr>
    </w:p>
    <w:p>
      <w:pPr>
        <w:jc w:val="both"/>
        <w:ind w:left="740" w:firstLine="1503"/>
        <w:spacing w:after="0" w:line="244" w:lineRule="auto"/>
        <w:tabs>
          <w:tab w:leader="none" w:pos="2807"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Executive’s annual base salary through the Executive’s date of termination to the extent not theretofore paid, and (ii) any accrued vacation pay to the extent not theretofore paid (the sum of the amounts described in subclauses (i) and (ii), the “Accrued Obligations”);</w:t>
      </w:r>
    </w:p>
    <w:p>
      <w:pPr>
        <w:spacing w:after="0" w:line="173" w:lineRule="exact"/>
        <w:rPr>
          <w:rFonts w:ascii="Times New Roman" w:cs="Times New Roman" w:eastAsia="Times New Roman" w:hAnsi="Times New Roman"/>
          <w:sz w:val="22"/>
          <w:szCs w:val="22"/>
          <w:color w:val="auto"/>
        </w:rPr>
      </w:pPr>
    </w:p>
    <w:p>
      <w:pPr>
        <w:ind w:left="2820" w:hanging="577"/>
        <w:spacing w:after="0"/>
        <w:tabs>
          <w:tab w:leader="none" w:pos="2820"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equal to the product of (i) 2.0 and (ii) the Executive’s Highest Annual Base</w:t>
      </w:r>
    </w:p>
    <w:p>
      <w:pPr>
        <w:spacing w:after="0" w:line="25" w:lineRule="exact"/>
        <w:rPr>
          <w:rFonts w:ascii="Times New Roman" w:cs="Times New Roman" w:eastAsia="Times New Roman" w:hAnsi="Times New Roman"/>
          <w:sz w:val="21"/>
          <w:szCs w:val="21"/>
          <w:color w:val="auto"/>
        </w:rPr>
      </w:pPr>
    </w:p>
    <w:p>
      <w:pPr>
        <w:ind w:left="7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Salary;</w:t>
      </w:r>
    </w:p>
    <w:p>
      <w:pPr>
        <w:spacing w:after="0" w:line="182" w:lineRule="exact"/>
        <w:rPr>
          <w:rFonts w:ascii="Times New Roman" w:cs="Times New Roman" w:eastAsia="Times New Roman" w:hAnsi="Times New Roman"/>
          <w:sz w:val="21"/>
          <w:szCs w:val="21"/>
          <w:color w:val="auto"/>
        </w:rPr>
      </w:pPr>
    </w:p>
    <w:p>
      <w:pPr>
        <w:jc w:val="both"/>
        <w:ind w:left="740" w:firstLine="1503"/>
        <w:spacing w:after="0" w:line="244" w:lineRule="auto"/>
        <w:tabs>
          <w:tab w:leader="none" w:pos="2807"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product of (i) 2.0 and (ii) the Executive’s target annual bonus as of such date under the Company’s annual incentive bonus plan, or any comparable bonus under any predecessor or successor plan;</w:t>
      </w:r>
    </w:p>
    <w:p>
      <w:pPr>
        <w:spacing w:after="0" w:line="173" w:lineRule="exact"/>
        <w:rPr>
          <w:rFonts w:ascii="Times New Roman" w:cs="Times New Roman" w:eastAsia="Times New Roman" w:hAnsi="Times New Roman"/>
          <w:sz w:val="22"/>
          <w:szCs w:val="22"/>
          <w:color w:val="auto"/>
        </w:rPr>
      </w:pPr>
    </w:p>
    <w:p>
      <w:pPr>
        <w:jc w:val="both"/>
        <w:ind w:left="740" w:firstLine="1503"/>
        <w:spacing w:after="0" w:line="238" w:lineRule="auto"/>
        <w:tabs>
          <w:tab w:leader="none" w:pos="2807"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product of (x) the profit sharing contribution, if any, made by the Company under The Kirby Corporation Profit Sharing Plan, as amended (the “Profit Sharing Plan”) to the Executive’s account for the year immediately preceding the year in which the Change of Control occurs and (y) a fraction, the numerator of which is the number of days in the current fiscal year through the Date of Termination and the denominator of which is 365;</w:t>
      </w:r>
    </w:p>
    <w:p>
      <w:pPr>
        <w:spacing w:after="0" w:line="176" w:lineRule="exact"/>
        <w:rPr>
          <w:rFonts w:ascii="Times New Roman" w:cs="Times New Roman" w:eastAsia="Times New Roman" w:hAnsi="Times New Roman"/>
          <w:sz w:val="22"/>
          <w:szCs w:val="22"/>
          <w:color w:val="auto"/>
        </w:rPr>
      </w:pPr>
    </w:p>
    <w:p>
      <w:pPr>
        <w:jc w:val="both"/>
        <w:ind w:left="740" w:firstLine="1503"/>
        <w:spacing w:after="0" w:line="236" w:lineRule="auto"/>
        <w:tabs>
          <w:tab w:leader="none" w:pos="2807"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product of (i) twenty-four (24) and (ii) the full monthly cost of premiums Executive would pay in the first calendar month immediately following the calendar month that includes the Executive’s termination date if the Executive timely elected to continue coverage at the level in effect immediately prior to the Executive’s termination date in any Company Group member’s group medical, dental, vision or prescription drug plans in which the Executive or the Executive’s eligible dependents are entitled to continue participation under Section 4980B of the Code or other similar applicable law;</w:t>
      </w:r>
    </w:p>
    <w:p>
      <w:pPr>
        <w:spacing w:after="0" w:line="181" w:lineRule="exact"/>
        <w:rPr>
          <w:rFonts w:ascii="Times New Roman" w:cs="Times New Roman" w:eastAsia="Times New Roman" w:hAnsi="Times New Roman"/>
          <w:sz w:val="22"/>
          <w:szCs w:val="22"/>
          <w:color w:val="auto"/>
        </w:rPr>
      </w:pPr>
    </w:p>
    <w:p>
      <w:pPr>
        <w:jc w:val="both"/>
        <w:ind w:firstLine="1494"/>
        <w:spacing w:after="0" w:line="255" w:lineRule="auto"/>
        <w:tabs>
          <w:tab w:leader="none" w:pos="1797"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be fully vested in any outstanding Equity Award the amount or vesting of which is to be determined based on the achievement of performance criteria (each a “Performance-Based Equity Award”), with the performance criteria deemed achieved at the greater of (A) target levels for the relevant performance period(s) or (B) actual performance as of the date immediately preceding the Executive’s termination date;</w:t>
      </w:r>
    </w:p>
    <w:p>
      <w:pPr>
        <w:spacing w:after="0" w:line="200" w:lineRule="exact"/>
        <w:rPr>
          <w:rFonts w:ascii="Times New Roman" w:cs="Times New Roman" w:eastAsia="Times New Roman" w:hAnsi="Times New Roman"/>
          <w:sz w:val="21"/>
          <w:szCs w:val="21"/>
          <w:color w:val="auto"/>
        </w:rPr>
      </w:pPr>
    </w:p>
    <w:p>
      <w:pPr>
        <w:spacing w:after="0" w:line="366" w:lineRule="exact"/>
        <w:rPr>
          <w:rFonts w:ascii="Times New Roman" w:cs="Times New Roman" w:eastAsia="Times New Roman" w:hAnsi="Times New Roman"/>
          <w:sz w:val="21"/>
          <w:szCs w:val="21"/>
          <w:color w:val="auto"/>
        </w:rPr>
      </w:pPr>
    </w:p>
    <w:p>
      <w:pPr>
        <w:ind w:left="4820" w:hanging="136"/>
        <w:spacing w:after="0"/>
        <w:tabs>
          <w:tab w:leader="none" w:pos="4820" w:val="left"/>
        </w:tabs>
        <w:numPr>
          <w:ilvl w:val="3"/>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4" w:right="339" w:bottom="1440" w:gutter="0" w:footer="0" w:header="0"/>
        </w:sectPr>
      </w:pPr>
    </w:p>
    <w:bookmarkStart w:id="97" w:name="page98"/>
    <w:bookmarkEnd w:id="97"/>
    <w:p>
      <w:pPr>
        <w:jc w:val="both"/>
        <w:ind w:left="760" w:right="20" w:firstLine="1494"/>
        <w:spacing w:after="0" w:line="244" w:lineRule="auto"/>
        <w:tabs>
          <w:tab w:leader="none" w:pos="255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each Equity Award outstanding as of the Executive’s termination date that is not a Performance-Based Equity Award shall be determined by the terms of the applicable equity incentive plan and award agreement; and</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otherwise set forth in the last sentence of Section 5, to the extent not theretofore paid or provided, the Company shall timely pay or provide to the Executive any Other Benefits in accordance with the terms of the underlying plans and agreements.</w:t>
      </w:r>
    </w:p>
    <w:p>
      <w:pPr>
        <w:spacing w:after="0" w:line="16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Death</w:t>
      </w:r>
      <w:r>
        <w:rPr>
          <w:rFonts w:ascii="Times New Roman" w:cs="Times New Roman" w:eastAsia="Times New Roman" w:hAnsi="Times New Roman"/>
          <w:sz w:val="22"/>
          <w:szCs w:val="22"/>
          <w:color w:val="auto"/>
        </w:rPr>
        <w:t>. If the Executive’s employment is terminated by reason of the Executive’s death during a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Control Period, the Company shall provide the Executive’s estate or beneficiaries with the Accrued Obligations and the timely payment or delivery of the Other Benefits, and shall have no other severance obligations under this Agreement. The Accrued Obligations shall be paid to the Executive’s estate or beneficiary, as applicable, in a lump sum in cash within 30 days of the Date of Termination.</w:t>
      </w:r>
    </w:p>
    <w:p>
      <w:pPr>
        <w:spacing w:after="0" w:line="176"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If the Executive’s employment is terminated by reason of the Executive’s Disability during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Period, the Company shall provide the Executive with the Accrued Obligations and the timely payment or delivery of the Other Benefits, and shall have no other severance obligations under this Agreement. The Accrued Obligations shall be paid to the Executive in a lump sum in cash within 30 days of the Date of Termination.</w:t>
      </w:r>
    </w:p>
    <w:p>
      <w:pPr>
        <w:spacing w:after="0" w:line="17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Cause; Other Than for Good Reason</w:t>
      </w:r>
      <w:r>
        <w:rPr>
          <w:rFonts w:ascii="Times New Roman" w:cs="Times New Roman" w:eastAsia="Times New Roman" w:hAnsi="Times New Roman"/>
          <w:sz w:val="22"/>
          <w:szCs w:val="22"/>
          <w:color w:val="auto"/>
        </w:rPr>
        <w:t>. If the Executive’s employment is terminated for Cause during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of Control Period or the Executive voluntarily terminates employment during a Change of Control Period without Good Reason, the Company shall provide to the Executive the Accrued Obligations and the timely payment or delivery of the Other Benefits, and shall have no other severance obligations under this Agreement. In such case, all the Accrued Obligations shall be paid to the Executive in a lump sum in cash within 30 days of the Date of Termination.</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b w:val="1"/>
          <w:bCs w:val="1"/>
          <w:u w:val="single" w:color="auto"/>
          <w:color w:val="auto"/>
        </w:rPr>
        <w:t>Release Requirement</w:t>
      </w:r>
      <w:r>
        <w:rPr>
          <w:rFonts w:ascii="Times New Roman" w:cs="Times New Roman" w:eastAsia="Times New Roman" w:hAnsi="Times New Roman"/>
          <w:sz w:val="22"/>
          <w:szCs w:val="22"/>
          <w:color w:val="auto"/>
        </w:rPr>
        <w:t>. As a condition to receiving any payments under Section 3(a), the Executive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execute and not revoke a general release of claims against the Company Group, in a form reasonably acceptable to the Company, with such general release becoming effective (and any applicable revocation period having lapsed) on or before the sixtieth (60th) day after the Executive’s termination date.</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b w:val="1"/>
          <w:bCs w:val="1"/>
          <w:u w:val="single" w:color="auto"/>
          <w:color w:val="auto"/>
        </w:rPr>
        <w:t>Non-exclusivity of Rights</w:t>
      </w:r>
      <w:r>
        <w:rPr>
          <w:rFonts w:ascii="Times New Roman" w:cs="Times New Roman" w:eastAsia="Times New Roman" w:hAnsi="Times New Roman"/>
          <w:sz w:val="22"/>
          <w:szCs w:val="22"/>
          <w:color w:val="auto"/>
        </w:rPr>
        <w:t>. Nothing in this Agreement shall prevent or limit the Executive’s continuing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future participation in any plan, program, policy or practice provided by the Company or the Affiliated Companies and for which the Executive may qualify, nor, subject to Section 10(f), shall anything herein limit or otherwise affect such rights as the Executive may have under any other contract or agreement with the Company or the Affiliated Companies. Amounts that are vested benefits or that the Executive is otherwise entitled to receive under any plan, policy, practice or program of or any other contract or agreement with the Company or the Affiliated Companies at or subsequent to the Date of Termination (“Other Benefits”) shall be payable in accordance with such plan, policy, practice or program or contract or agreement, except as explicitly modified by this Agreement. Without limiting the generality of the foregoing, the Executive’s resignation under this Agreement with or without Good Reason, shall in no way affect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8" w:name="page99"/>
    <w:bookmarkEnd w:id="98"/>
    <w:p>
      <w:pPr>
        <w:jc w:val="both"/>
        <w:spacing w:after="0" w:line="234" w:lineRule="auto"/>
        <w:rPr>
          <w:sz w:val="20"/>
          <w:szCs w:val="20"/>
          <w:color w:val="auto"/>
        </w:rPr>
      </w:pPr>
      <w:r>
        <w:rPr>
          <w:rFonts w:ascii="Times New Roman" w:cs="Times New Roman" w:eastAsia="Times New Roman" w:hAnsi="Times New Roman"/>
          <w:sz w:val="22"/>
          <w:szCs w:val="22"/>
          <w:color w:val="auto"/>
        </w:rPr>
        <w:t>the Executive’s ability to terminate employment by reason of the Executive’s “retirement” under any compensation and benefits plans, programs or arrangements of the Affiliated Companies, including without limitation any retirement or pension plans or arrangements or to be eligible to receive benefits under any compensation or benefit plans, programs or arrangements of the Affiliated Companies, including without limitation any retirement or pension plan or arrangement of the Affiliated Companies or substitute plans adopted by the Company or its successors, and any termination which otherwise qualifies as Good Reason shall be treated as such even if it is also a “retirement” for purposes of any such plan. Notwithstanding the foregoing, if the Executive receives payments and benefits pursuant to Section 3(a) of this Agreement, the Executive shall not be entitled to any severance pay or benefits under any severance plan, program or policy of the Company and the Affiliated Companies, unless otherwise specifically provided therein in a specific reference to this Agreement.</w:t>
      </w:r>
    </w:p>
    <w:p>
      <w:pPr>
        <w:spacing w:after="0" w:line="17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b w:val="1"/>
          <w:bCs w:val="1"/>
          <w:u w:val="single" w:color="auto"/>
          <w:color w:val="auto"/>
        </w:rPr>
        <w:t>Full Settlement</w:t>
      </w:r>
      <w:r>
        <w:rPr>
          <w:rFonts w:ascii="Times New Roman" w:cs="Times New Roman" w:eastAsia="Times New Roman" w:hAnsi="Times New Roman"/>
          <w:sz w:val="22"/>
          <w:szCs w:val="22"/>
          <w:color w:val="auto"/>
        </w:rPr>
        <w:t>. The Company’s obligation to make the payments provided for in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to perform its obligations hereunder shall not be affected by any set-off, counterclaim, recoupment, defense, or other claim, right or action that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(within 10 days following the Company’s receipt of an invoice from the Executive), at any time from the Effective Date of this Agreement through the Executive’s remaining lifetime (or, if longer, through the 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anniversary of the Effective Date), to the full extent permitted by law, all legal fees and expenses that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Code (“Interest”). In order to comply with Section 409A of the Code, in no event shall the payments by the Company under this Section 6 be made later than the end of the calendar year next following the calendar year in which such fees and expenses were incurred,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Executive shall have submitted an invoice for such fees and expenses at least 10 days before the end of the calendar year next following the calendar year in which such fees and expenses were incurred. The amount of such legal fees and expenses that the Company is obligated to pay in any given calendar year shall not affect the legal fees and expenses that the Company is obligated to pay in any other calendar year, and the Executive’s right to have the Company pay such legal fees and expenses may not be liquidated or exchanged for any other benefit.</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Potential Parachute Payment Adjustment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8" w:lineRule="auto"/>
        <w:tabs>
          <w:tab w:leader="none" w:pos="20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the payments and benefits provided to the Executive under this Agreement or under any other agreement with, or plan of, the Company or any Person or entity which is a party to a transaction involving any member of the Company Group (the “Total Payment”) (i) constitute a “parachute payment” as defined in Code Section 280G and exceed three</w:t>
      </w:r>
    </w:p>
    <w:p>
      <w:pPr>
        <w:ind w:right="20" w:firstLine="8"/>
        <w:spacing w:after="0" w:line="237" w:lineRule="auto"/>
        <w:tabs>
          <w:tab w:leader="none" w:pos="3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times the Executive’s “base amount” as defined under Code Section 280G(b)(3), and (ii) would, but for this Section 7(a) be subject to the excise tax imposed by Code Section 4999, then</w:t>
      </w:r>
    </w:p>
    <w:p>
      <w:pPr>
        <w:spacing w:after="0" w:line="200" w:lineRule="exact"/>
        <w:rPr>
          <w:rFonts w:ascii="Times New Roman" w:cs="Times New Roman" w:eastAsia="Times New Roman" w:hAnsi="Times New Roman"/>
          <w:sz w:val="22"/>
          <w:szCs w:val="22"/>
          <w:color w:val="auto"/>
        </w:rPr>
      </w:pPr>
    </w:p>
    <w:p>
      <w:pPr>
        <w:spacing w:after="0" w:line="38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jc w:val="both"/>
        <w:spacing w:after="0" w:line="234" w:lineRule="auto"/>
        <w:rPr>
          <w:sz w:val="20"/>
          <w:szCs w:val="20"/>
          <w:color w:val="auto"/>
        </w:rPr>
      </w:pPr>
      <w:r>
        <w:rPr>
          <w:rFonts w:ascii="Times New Roman" w:cs="Times New Roman" w:eastAsia="Times New Roman" w:hAnsi="Times New Roman"/>
          <w:sz w:val="22"/>
          <w:szCs w:val="22"/>
          <w:color w:val="auto"/>
        </w:rPr>
        <w:t>the Executive’s payments and benefits under this Agreement shall be either (A) paid in full, or (B) reduced and payable only as to the maximum amount which would result in no portion of such payments and benefits being subject to excise tax under Code Section 4999, whichever results in the receipt by the Executive on an after-tax basis of the greatest amount of Total Payment (taking into account the applicable federal, state and local income taxes, the excise tax imposed by Code Section 4999 and all other taxes (including any interest and penalties) payable by the Executive). If a reduction of the Total Payment is necessary, cash payments provided for herein shall first be reduced (such reduction to be applied first to the earliest payments otherwise scheduled to occur), and the non-cash benefits provided for herein shall thereafter be reduced (such reduction to be applied first to the benefits otherwise scheduled to occur the earliest). If, as a result of any reduction required by this Section 7, amounts previously paid to the Executive exceed the amount to which the Executive is entitled, the Executive will promptly return the excess amount to the Company.</w:t>
      </w:r>
    </w:p>
    <w:p>
      <w:pPr>
        <w:spacing w:after="0" w:line="179" w:lineRule="exact"/>
        <w:rPr>
          <w:sz w:val="20"/>
          <w:szCs w:val="20"/>
          <w:color w:val="auto"/>
        </w:rPr>
      </w:pPr>
    </w:p>
    <w:p>
      <w:pPr>
        <w:jc w:val="both"/>
        <w:ind w:firstLine="1505"/>
        <w:spacing w:after="0" w:line="239" w:lineRule="auto"/>
        <w:tabs>
          <w:tab w:leader="none" w:pos="203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determinations required to be made under this Section 7, including whether reductions are necessary, may be made, in the discretion of the Company, by an accounting or financial consulting firm selected by the Company for such purposes (the “Accounting Firm”). The Accounting Firm shall provide detailed supporting calculations both to the Company and to the Executive. All fees and expenses of the Accounting Firm shall be borne solely by the Company.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3" w:lineRule="auto"/>
        <w:tabs>
          <w:tab w:leader="none" w:pos="20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 Not to Disclose Confidential Information</w:t>
      </w:r>
      <w:r>
        <w:rPr>
          <w:rFonts w:ascii="Times New Roman" w:cs="Times New Roman" w:eastAsia="Times New Roman" w:hAnsi="Times New Roman"/>
          <w:sz w:val="21"/>
          <w:szCs w:val="21"/>
          <w:color w:val="auto"/>
        </w:rPr>
        <w:t>. The Executive acknowledges that, during the course of his or her employment with the Company, he or she has or will have access to and knowledge of certain information and data that the Company or other members of the Company Group consider confidential and that the release of such information or data to unauthorized persons would be extremely detrimental to the Company Group. As a consequence, the Executive hereby agrees and acknowledges that he or she owes a duty to the Company not to disclose, and agrees that, during or after the term of his or her employment, without the prior written consent of the Company, he or she will not communicate, publish or disclose, to any person anywhere or use any Confidential Information (as hereinafter defined) for any purpose other than carrying out his or her duties as contemplated in connection with his or her employment with respect to the Company or any Company Group member. The Executive will use his or her best efforts at all times to hold in confidence and to safeguard any Confidential Information from falling into the hands of any unauthorized Person and, in particular, will not permit any Confidential Information to be read, duplicated, or copied. Notwithstanding the foregoing, the Executive may disclose such Confidential Information to the extent required by applicable law or as a consequence of any judicial or regulatory proceeding, based upon the opinion of legal counsel and only after the Executive has requested that such Confidential Information be preserved to the maximum extent practicable. To the extent permitted by law, the Executive will advise the Company in advance of any intended disclosure to comply with legal requirements. The Executive will return to the Company all Confidential Information in the Executive’s possession or under the Executive’s control when the duties of the Executive no longer require the Executive’s possession thereof, or whenever the Company shall so request, and in any event will promptly return all such Confidential Information if the Executive’s relationship with the Company is terminated for any reason and will not retain any copies thereof. Notwithstanding the foregoing, nothing herein prohibits the Executive from reporting possible violations of law or</w:t>
      </w:r>
    </w:p>
    <w:p>
      <w:pPr>
        <w:spacing w:after="0" w:line="200" w:lineRule="exact"/>
        <w:rPr>
          <w:rFonts w:ascii="Times New Roman" w:cs="Times New Roman" w:eastAsia="Times New Roman" w:hAnsi="Times New Roman"/>
          <w:sz w:val="21"/>
          <w:szCs w:val="21"/>
          <w:color w:val="auto"/>
        </w:rPr>
      </w:pPr>
    </w:p>
    <w:p>
      <w:pPr>
        <w:spacing w:after="0" w:line="392"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0" w:name="page101"/>
    <w:bookmarkEnd w:id="100"/>
    <w:p>
      <w:pPr>
        <w:jc w:val="both"/>
        <w:spacing w:after="0" w:line="232" w:lineRule="auto"/>
        <w:rPr>
          <w:sz w:val="20"/>
          <w:szCs w:val="20"/>
          <w:color w:val="auto"/>
        </w:rPr>
      </w:pPr>
      <w:r>
        <w:rPr>
          <w:rFonts w:ascii="Times New Roman" w:cs="Times New Roman" w:eastAsia="Times New Roman" w:hAnsi="Times New Roman"/>
          <w:sz w:val="22"/>
          <w:szCs w:val="22"/>
          <w:color w:val="auto"/>
        </w:rPr>
        <w:t>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or state law or regulation. The Executive does not need the prior authorization of the Company to make any such reports or disclosures, and the Executive is not required to notify the Company that he or she has made such reports or disclosures. The Executive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For purposes hereof, the term “Confidential Information” shall mean any information or data used by or belonging or relating to the Company or any other member of the Company Group or any of their representatives that is not known generally to the industry in which any member of the Company Group is or may be engaged (other than as a result of disclosure by the Executive in violation of this Agreement), including without limitation, any and all trade secrets, proprietary data and information relating to any member of the Company Group’s past, present, or future business and products, price lists, customer lists, processes, procedures or standards, know-how, manuals, business strategies, records, drawings, specifications, designs, financial information, whether or not reduced to writing, or information or data that the Company or any other member of the Company Group advises the Executive should be treated as confidential information.</w:t>
      </w:r>
    </w:p>
    <w:p>
      <w:pPr>
        <w:spacing w:after="0" w:line="191" w:lineRule="exact"/>
        <w:rPr>
          <w:sz w:val="20"/>
          <w:szCs w:val="20"/>
          <w:color w:val="auto"/>
        </w:rPr>
      </w:pPr>
    </w:p>
    <w:p>
      <w:pPr>
        <w:jc w:val="both"/>
        <w:ind w:firstLine="1505"/>
        <w:spacing w:after="0" w:line="245" w:lineRule="auto"/>
        <w:tabs>
          <w:tab w:leader="none" w:pos="2036"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 Not to Compete</w:t>
      </w:r>
      <w:r>
        <w:rPr>
          <w:rFonts w:ascii="Times New Roman" w:cs="Times New Roman" w:eastAsia="Times New Roman" w:hAnsi="Times New Roman"/>
          <w:sz w:val="21"/>
          <w:szCs w:val="21"/>
          <w:color w:val="auto"/>
        </w:rPr>
        <w:t>. In partial consideration for the Executive’s access to Confidential Information and the benefits provided by this Agreement, the Executive agrees that while employed by the Company and for a period of twenty-four (24) months following the Executive’s termination of employment for any reason during a Change of Control Period, the Executive shall not, unless the Executive receives the prior written consent of the Board, own an interest in, manage, operate, join, control, lend money or render financial or other assistance to or participate in or be connected with, as an officer, manager, employee, partner, stockholder, consultant, or otherwise, any Person that competes with any member of the Company Group in</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27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of providing marine transportation services, operating tank barges or towing vessels; (ii) the business of selling after-market service or genuine replacement parts for engines, transmissions, reduction gears, electric motors, drives, and controls, energy storage battery systems, or related oilfield services equipment, or servicing component parts for equipment used in oilfield services, marine, power generation, on-highway and other industrial application; or (iii) the conduct of a business enterprise that is in a business segment that contributes five percent (5%) or more to the Company’s gross revenue or deploys five percent (5%) or more of the Company’s fixed assets. Ownership by the Executive, as a passive investment, of less than three percent (3%) of the outstanding securities of any organization with securities listed on a national securities exchange or publicly traded in the over-the-counter market shall not constitute a breach of this Section 8(b).</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Solicit Customers</w:t>
      </w:r>
      <w:r>
        <w:rPr>
          <w:rFonts w:ascii="Times New Roman" w:cs="Times New Roman" w:eastAsia="Times New Roman" w:hAnsi="Times New Roman"/>
          <w:sz w:val="22"/>
          <w:szCs w:val="22"/>
          <w:color w:val="auto"/>
        </w:rPr>
        <w:t>. In partial consideration for the Executive’s access to Confidential Information and the benefits provided by this Agreement, the Executive agrees that while employed by the Company and for a period of twenty-four (24) months after the termination of such employment (for any reason), the Executive shall not (i) persuade or encourage any person that was a client or customer of any member of the Company Group at any</w:t>
      </w:r>
    </w:p>
    <w:p>
      <w:pPr>
        <w:spacing w:after="0" w:line="200" w:lineRule="exact"/>
        <w:rPr>
          <w:rFonts w:ascii="Times New Roman" w:cs="Times New Roman" w:eastAsia="Times New Roman" w:hAnsi="Times New Roman"/>
          <w:sz w:val="22"/>
          <w:szCs w:val="22"/>
          <w:color w:val="auto"/>
        </w:rPr>
      </w:pPr>
    </w:p>
    <w:p>
      <w:pPr>
        <w:spacing w:after="0" w:line="385"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jc w:val="both"/>
        <w:spacing w:after="0" w:line="238" w:lineRule="auto"/>
        <w:rPr>
          <w:sz w:val="20"/>
          <w:szCs w:val="20"/>
          <w:color w:val="auto"/>
        </w:rPr>
      </w:pPr>
      <w:r>
        <w:rPr>
          <w:rFonts w:ascii="Times New Roman" w:cs="Times New Roman" w:eastAsia="Times New Roman" w:hAnsi="Times New Roman"/>
          <w:sz w:val="22"/>
          <w:szCs w:val="22"/>
          <w:color w:val="auto"/>
        </w:rPr>
        <w:t>time during the twelve (12) months prior to the termination of the Executive’s employment to cease conducting or fail to renew existing business with that member of the Company Group, or (ii) use any confidential or proprietary information of any member of the Company Group to directly or indirectly solicit business from, or to interrupt, disturb, or interfere with any member of the Company Group’s relationships with, any person that was a client or customer of any member of the Company Group at any time during the twelve (12) months prior to the termination of the Executive’s employment.</w:t>
      </w:r>
    </w:p>
    <w:p>
      <w:pPr>
        <w:spacing w:after="0" w:line="177" w:lineRule="exact"/>
        <w:rPr>
          <w:sz w:val="20"/>
          <w:szCs w:val="20"/>
          <w:color w:val="auto"/>
        </w:rPr>
      </w:pPr>
    </w:p>
    <w:p>
      <w:pPr>
        <w:jc w:val="both"/>
        <w:ind w:firstLine="1505"/>
        <w:spacing w:after="0" w:line="236"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Solicit Employees</w:t>
      </w:r>
      <w:r>
        <w:rPr>
          <w:rFonts w:ascii="Times New Roman" w:cs="Times New Roman" w:eastAsia="Times New Roman" w:hAnsi="Times New Roman"/>
          <w:sz w:val="22"/>
          <w:szCs w:val="22"/>
          <w:color w:val="auto"/>
        </w:rPr>
        <w:t>. In partial consideration for the Executive’s access to Confidential Information and the benefits provided by this Agreement, the Executive agrees that while employed by the Company and for a period of twenty-four (24) months after the termination of such employment (for any reason), the Executive shall not solicit, endeavor to entice or induce any employee of any member of the Company Group to terminate such person’s employment or service with such member or accept employment with anyone else; provided, however, that a general solicitation of the public for employment shall not constitute a solicitation hereunder.</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Against Disparagement</w:t>
      </w:r>
      <w:r>
        <w:rPr>
          <w:rFonts w:ascii="Times New Roman" w:cs="Times New Roman" w:eastAsia="Times New Roman" w:hAnsi="Times New Roman"/>
          <w:sz w:val="22"/>
          <w:szCs w:val="22"/>
          <w:color w:val="auto"/>
        </w:rPr>
        <w:t>. In partial consideration for the Executive’s access to Confidential Information and the benefits provided by this Agreement, the Executive agrees that while employed by the Company and thereafter, he or she will not make any statements disparaging any member of the Company Group or any of their officers, directors, or employees that could reasonably be expected to be harmful to the interests of the Company or the Company Group. This covenant shall not apply to any statement made in the context of any legal or regulatory proceeding or the reporting of possible violations of law or regulation to a governmental agency or entity, as described in Section 8(a).</w:t>
      </w:r>
    </w:p>
    <w:p>
      <w:pPr>
        <w:spacing w:after="0" w:line="181"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Recognizing that irreparable damage will result to the Company in the event of the breach or threatened breach of any of the foregoing covenants and assurances by the Executive contained in this Section 8, and that the Company’s remedies at law for any such breach or threatened breach will be inadequate, the Company and its successors and assigns, in addition to such other remedies that may be available to them, shall be entitled to an injunction, including a mandatory injunction (without the necessity of (i) proving irreparable harm, (ii) establishing that monetary damages are inadequate, or (iii) posting any bond with respect thereto), to be issued by any court of competent jurisdiction ordering compliance with this Agreement or enjoining and restraining the Executive, and each and every person, firm, or company acting in concert or participation with him or her, from the continuation of such breach and, in addition thereto, he or she shall pay to the Company all ascertainable damages, including costs and reasonable attorneys’ fees sustained by the Company or any other member of the Company Group by reason of the breach or threatened breach of said covenants and assurances.</w:t>
      </w:r>
    </w:p>
    <w:p>
      <w:pPr>
        <w:spacing w:after="0" w:line="170" w:lineRule="exact"/>
        <w:rPr>
          <w:rFonts w:ascii="Times New Roman" w:cs="Times New Roman" w:eastAsia="Times New Roman" w:hAnsi="Times New Roman"/>
          <w:sz w:val="21"/>
          <w:szCs w:val="21"/>
          <w:color w:val="auto"/>
        </w:rPr>
      </w:pPr>
    </w:p>
    <w:p>
      <w:pPr>
        <w:jc w:val="both"/>
        <w:ind w:firstLine="1505"/>
        <w:spacing w:after="0" w:line="255" w:lineRule="auto"/>
        <w:tabs>
          <w:tab w:leader="none" w:pos="203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The Executive agrees that in the event that the Company determines that the Executive has breached any term of this Section 8, in addition to any other remedies at law or in equity the Company may have available to it, the Company may in its sole discretion require that the Executive repay to the Company, within five (5) business days of receipt of written demand therefor, an amount equal to the amounts paid to or on behalf of the Executive pursuant to Section 3(a).</w:t>
      </w:r>
    </w:p>
    <w:p>
      <w:pPr>
        <w:spacing w:after="0" w:line="200" w:lineRule="exact"/>
        <w:rPr>
          <w:rFonts w:ascii="Times New Roman" w:cs="Times New Roman" w:eastAsia="Times New Roman" w:hAnsi="Times New Roman"/>
          <w:sz w:val="21"/>
          <w:szCs w:val="21"/>
          <w:color w:val="auto"/>
        </w:rPr>
      </w:pPr>
    </w:p>
    <w:p>
      <w:pPr>
        <w:spacing w:after="0" w:line="366" w:lineRule="exact"/>
        <w:rPr>
          <w:rFonts w:ascii="Times New Roman" w:cs="Times New Roman" w:eastAsia="Times New Roman" w:hAnsi="Times New Roman"/>
          <w:sz w:val="21"/>
          <w:szCs w:val="21"/>
          <w:color w:val="auto"/>
        </w:rPr>
      </w:pPr>
    </w:p>
    <w:p>
      <w:pPr>
        <w:ind w:left="5520" w:hanging="130"/>
        <w:spacing w:after="0"/>
        <w:tabs>
          <w:tab w:leader="none" w:pos="55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ind w:left="760"/>
        <w:spacing w:after="0"/>
        <w:rPr>
          <w:sz w:val="20"/>
          <w:szCs w:val="20"/>
          <w:color w:val="auto"/>
        </w:rPr>
      </w:pP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Executive, and, without the prior written consent of the Company, shall not be assignable by the Executive other than by will or the laws of descent and distribution. This Agreement shall inure to the benefit of and be enforceable by the Executive’s legal representatives.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 Except as provided in Section 9(c), without the prior written consent of the Executive this Agreement shall not be assignable by the Company.</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9"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Texas, without reference to principles of conflict of laws. The captions of this Agreement are not part of the provisions hereof and shall have no force or effect. This Agreement may not be amended or modified other than by a written agreement executed by the parties hereto or their respective successors and legal representatives.</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and other communications hereunder shall be in writing and shall be given by hand delivery to the other party or by registered or certified mail, return receipt requested, postage prepaid, addressed as follows: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 the most recent address on file at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158" w:lineRule="exact"/>
        <w:rPr>
          <w:sz w:val="20"/>
          <w:szCs w:val="20"/>
          <w:color w:val="auto"/>
        </w:rPr>
      </w:pPr>
    </w:p>
    <w:p>
      <w:pPr>
        <w:ind w:firstLine="1505"/>
        <w:spacing w:after="0" w:line="258"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provision of this Agreement shall not affect the validity or enforceability of any other provision of this Agreement.</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withhold from any amounts payable under this Agreement such United States federal, state or local or foreign taxes as shall be required to be withheld pursuant to any applicable law or regulation.</w:t>
      </w:r>
    </w:p>
    <w:p>
      <w:pPr>
        <w:spacing w:after="0" w:line="200" w:lineRule="exact"/>
        <w:rPr>
          <w:rFonts w:ascii="Times New Roman" w:cs="Times New Roman" w:eastAsia="Times New Roman" w:hAnsi="Times New Roman"/>
          <w:sz w:val="22"/>
          <w:szCs w:val="22"/>
          <w:color w:val="auto"/>
        </w:rPr>
      </w:pPr>
    </w:p>
    <w:p>
      <w:pPr>
        <w:spacing w:after="0" w:line="363" w:lineRule="exact"/>
        <w:rPr>
          <w:rFonts w:ascii="Times New Roman" w:cs="Times New Roman" w:eastAsia="Times New Roman" w:hAnsi="Times New Roman"/>
          <w:sz w:val="22"/>
          <w:szCs w:val="22"/>
          <w:color w:val="auto"/>
        </w:rPr>
      </w:pPr>
    </w:p>
    <w:p>
      <w:pPr>
        <w:ind w:left="5520" w:hanging="130"/>
        <w:spacing w:after="0"/>
        <w:tabs>
          <w:tab w:leader="none" w:pos="552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3" w:name="page104"/>
    <w:bookmarkEnd w:id="103"/>
    <w:p>
      <w:pPr>
        <w:jc w:val="both"/>
        <w:ind w:firstLine="1505"/>
        <w:spacing w:after="0" w:line="239"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or any other provision or right of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and the Company acknowledge that, except as may otherwise be provided under any other written agreement between the Executive and the Company, the employment of the Executive by the Company is “at will” and, outside of a Change of Control Period, the Executive’s employment may be terminated by either the Executive or the Company at any time prior to the Effective Date, in which case the Executive shall have no further rights under this Agreement. During any Change of Control Period, except as specifically provided herein, this Agreement shall supersede any other agreement between the parties with respect to the subject matter hereof.</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to the contrary, in the event of a termination of the Executive’s qualifying termination of employment under Section 3(a) before the date on which a Change of Control occurs, any payments that are deferred compensation within the meaning of Section 409A of the Code that the Company shall be required to pay pursuant to Section 3(a) of this Agreement shall be paid on the date of such Change of Control. Within the time period permitted by the applicable Treasury Regulations, the Company may, in consultation with the Executive, modify the Agreement, in the least restrictive manner necessary and without any diminution in the value of the payments to the Executive, in order to cause the provisions of the Agreement to comply with the requirements of Section 409A of the Code, so as to avoid the imposition of taxes and penalties on the Executive pursuant to Section 409A of the Code.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WITNESS WHEREOF, the Executive has hereunto set the Executive’s hand and, pursuant to the authorization from the Board, the Company has caused these presents to be executed its name on its behalf, all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3716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Scott Miller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David W. Grzebinski</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David W. Grzebinski</w:t>
      </w:r>
    </w:p>
    <w:p>
      <w:pPr>
        <w:ind w:left="488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CHANGE OF CONTROL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AMENDMENT TO CHANGE OF CONTROL AGREEMENT (this “Amendment”) is entered into as of January 29, 2025, by and between Kirby Corporation, a Nevada corporation (the “Company”), and Amy D. Husted (“Executive”). Capitalized terms used and not otherwise defined herein shall have the meanings assigned to them in the Change of Control Agreement (as defined below).</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Change of Control Agreement, dated as of May 16, 2022 (the “Change of Control Agreement”);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hereto desire to amend the Change of Control Agreement as provided in this Amendment.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intending to be legally bound, hereby agree to amend the Change of Control Agreement as follows:</w:t>
      </w:r>
    </w:p>
    <w:p>
      <w:pPr>
        <w:spacing w:after="0" w:line="173"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1(b) through 1(k) of the Change of Control Agreement are hereby designated as Sections 1(c) through 1(l), and the following new Section 1(b) is hereby added to the Change of Control Agreement:</w:t>
      </w:r>
    </w:p>
    <w:p>
      <w:pPr>
        <w:spacing w:after="0" w:line="158" w:lineRule="exact"/>
        <w:rPr>
          <w:sz w:val="20"/>
          <w:szCs w:val="20"/>
          <w:color w:val="auto"/>
        </w:rPr>
      </w:pPr>
    </w:p>
    <w:p>
      <w:pPr>
        <w:jc w:val="both"/>
        <w:ind w:left="760" w:right="760"/>
        <w:spacing w:after="0" w:line="238" w:lineRule="auto"/>
        <w:rPr>
          <w:sz w:val="20"/>
          <w:szCs w:val="20"/>
          <w:color w:val="auto"/>
        </w:rPr>
      </w:pPr>
      <w:r>
        <w:rPr>
          <w:rFonts w:ascii="Times New Roman" w:cs="Times New Roman" w:eastAsia="Times New Roman" w:hAnsi="Times New Roman"/>
          <w:sz w:val="22"/>
          <w:szCs w:val="22"/>
          <w:color w:val="auto"/>
        </w:rPr>
        <w:t>“(b) “Cash Performance Award” means any cash bonus or incentive award opportunity (i) the amount or vesting of which is to be determined on based on the achievement of performance criteria over a performance period that is scheduled to exceed one (1) year in duration, and (ii) that is granted to the Executive prior to, or after, the Effective Date under the terms of any of the Company’s equity or long-term incentive award plans or agreements (including, without limitation, the Company’s 2005 Stock and Incentive Plan).”</w:t>
      </w:r>
    </w:p>
    <w:p>
      <w:pPr>
        <w:spacing w:after="0" w:line="177" w:lineRule="exact"/>
        <w:rPr>
          <w:sz w:val="20"/>
          <w:szCs w:val="20"/>
          <w:color w:val="auto"/>
        </w:rPr>
      </w:pPr>
    </w:p>
    <w:p>
      <w:pPr>
        <w:ind w:left="2040" w:hanging="535"/>
        <w:spacing w:after="0"/>
        <w:tabs>
          <w:tab w:leader="none" w:pos="20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1(m) is hereby added to the Change of Control Agreement:</w:t>
      </w:r>
    </w:p>
    <w:p>
      <w:pPr>
        <w:spacing w:after="0" w:line="206" w:lineRule="exact"/>
        <w:rPr>
          <w:sz w:val="20"/>
          <w:szCs w:val="20"/>
          <w:color w:val="auto"/>
        </w:rPr>
      </w:pPr>
    </w:p>
    <w:p>
      <w:pPr>
        <w:ind w:left="760" w:right="760"/>
        <w:spacing w:after="0" w:line="258" w:lineRule="auto"/>
        <w:rPr>
          <w:sz w:val="20"/>
          <w:szCs w:val="20"/>
          <w:color w:val="auto"/>
        </w:rPr>
      </w:pPr>
      <w:r>
        <w:rPr>
          <w:rFonts w:ascii="Times New Roman" w:cs="Times New Roman" w:eastAsia="Times New Roman" w:hAnsi="Times New Roman"/>
          <w:sz w:val="22"/>
          <w:szCs w:val="22"/>
          <w:color w:val="auto"/>
        </w:rPr>
        <w:t>“(m) “Performance-Based Equity Award” means any Equity Award the amount or vesting of which is to be determined based on the achievement of performance criteria.”</w:t>
      </w:r>
    </w:p>
    <w:p>
      <w:pPr>
        <w:spacing w:after="0" w:line="158" w:lineRule="exact"/>
        <w:rPr>
          <w:sz w:val="20"/>
          <w:szCs w:val="20"/>
          <w:color w:val="auto"/>
        </w:rPr>
      </w:pPr>
    </w:p>
    <w:p>
      <w:pPr>
        <w:ind w:left="2040" w:hanging="535"/>
        <w:spacing w:after="0"/>
        <w:tabs>
          <w:tab w:leader="none" w:pos="20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3(a)(2) of the Change of Control Agreement is hereby replaced in its entirety with the following:</w:t>
      </w:r>
    </w:p>
    <w:p>
      <w:pPr>
        <w:spacing w:after="0" w:line="218" w:lineRule="exact"/>
        <w:rPr>
          <w:sz w:val="20"/>
          <w:szCs w:val="20"/>
          <w:color w:val="auto"/>
        </w:rPr>
      </w:pPr>
    </w:p>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“(2) the Executive will be fully vested in each outstanding Cash Performance Award and each outstanding Performance-Based Equity Award, with the performance criteria for each such Cash Performance Award or Performance-Based Equity Award deemed achieved at the greater of (A) target levels for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ind w:left="760" w:right="760"/>
        <w:spacing w:after="0" w:line="258" w:lineRule="auto"/>
        <w:rPr>
          <w:sz w:val="20"/>
          <w:szCs w:val="20"/>
          <w:color w:val="auto"/>
        </w:rPr>
      </w:pPr>
      <w:r>
        <w:rPr>
          <w:rFonts w:ascii="Times New Roman" w:cs="Times New Roman" w:eastAsia="Times New Roman" w:hAnsi="Times New Roman"/>
          <w:sz w:val="22"/>
          <w:szCs w:val="22"/>
          <w:color w:val="auto"/>
        </w:rPr>
        <w:t>performance period(s) or (B) actual performance as of the date immediately preceding the Executive’s termination date.”</w:t>
      </w:r>
    </w:p>
    <w:p>
      <w:pPr>
        <w:spacing w:after="0" w:line="158" w:lineRule="exact"/>
        <w:rPr>
          <w:sz w:val="20"/>
          <w:szCs w:val="20"/>
          <w:color w:val="auto"/>
        </w:rPr>
      </w:pPr>
    </w:p>
    <w:p>
      <w:pPr>
        <w:jc w:val="both"/>
        <w:ind w:firstLine="757"/>
        <w:spacing w:after="0" w:line="236"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 This Amendment shall only serve to amend and modify the Change of Control Agreement to the extent specifically provided herein. All terms, conditions, provisions and references of and to the Change of Control Agreement, which are not specifically modified, amended and/or waived herein, shall remain in full force and effect and shall not be altered by any provisions herein contained. All prior agreements, promises, negotiations and representations, either oral or written, relating to the subject matter of this Amendment that are not expressly set forth in this Amendment are of no force or effect.</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may be executed in one or more counterparts, each of which when executed and delivered shall be deemed to be an original and all counterparts taken together shall constitute one and the same instrument. This Amendment and the Change of Control Agreement (as amended hereby) constitute the entire understanding of the parties hereto with respect to the subject matter hereof, and any and all prior agreements and understandings between the parties regarding the subject matter hereof, whether written or oral, except for the Change of Control Agreement (as amended hereby), are superseded by this Amendment. Any provision of this Amendment that is invalid or unenforceable in any jurisdiction shall be ineffective to the extent of such invalidity or unenforceability without invalidating or rendering unenforceable the remaining provisions hereof, and any invalidity or unenforceability in any jurisdiction shall not invalidate or render unenforceable such provision in any other jurisdiction.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IN WITNESS WHEREOF, the undersigned have duly executed this Amendment as of the date first written above.</w:t>
      </w:r>
    </w:p>
    <w:p>
      <w:pPr>
        <w:sectPr>
          <w:pgSz w:w="11900" w:h="16838" w:orient="portrait"/>
          <w:cols w:equalWidth="0" w:num="1">
            <w:col w:w="9900"/>
          </w:cols>
          <w:pgMar w:left="1080" w:top="1408" w:right="919" w:bottom="1440" w:gutter="0" w:footer="0" w:header="0"/>
        </w:sectPr>
      </w:pP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u w:val="single" w:color="auto"/>
          <w:color w:val="auto"/>
        </w:rPr>
        <w:t>/s/ David W. Grzebinski</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David W. Grzebinski</w:t>
      </w:r>
    </w:p>
    <w:p>
      <w:pPr>
        <w:ind w:left="44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Amy D. Husted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137160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Amy D. Husted</w:t>
      </w:r>
    </w:p>
    <w:p>
      <w:pPr>
        <w:spacing w:after="0" w:line="3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to Change of Control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616585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80" w:top="1408" w:right="91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CHANGE OF CONTROL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AMENDMENT TO CHANGE OF CONTROL AGREEMENT (this “Amendment”) is entered into as of January 29, 2025, by and between Kirby Corporation, a Nevada corporation (the “Company”), and Scott Miller (“Executive”). Capitalized terms used and not otherwise defined herein shall have the meanings assigned to them in the Change of Control Agreement (as defined below).</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Change of Control Agreement, dated as of May 16, 2022 (the “Change of Control Agreement”);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hereto desire to amend the Change of Control Agreement as provided in this Amendment.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intending to be legally bound, hereby agree to amend the Change of Control Agreement as follows:</w:t>
      </w:r>
    </w:p>
    <w:p>
      <w:pPr>
        <w:spacing w:after="0" w:line="173" w:lineRule="exact"/>
        <w:rPr>
          <w:sz w:val="20"/>
          <w:szCs w:val="20"/>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1(b) through 1(k) of the Change of Control Agreement are hereby designated as Sections 1(c) through 1(l), and the following new Section 1(b) is hereby added to the Change of Control Agreement:</w:t>
      </w:r>
    </w:p>
    <w:p>
      <w:pPr>
        <w:spacing w:after="0" w:line="158" w:lineRule="exact"/>
        <w:rPr>
          <w:sz w:val="20"/>
          <w:szCs w:val="20"/>
          <w:color w:val="auto"/>
        </w:rPr>
      </w:pPr>
    </w:p>
    <w:p>
      <w:pPr>
        <w:jc w:val="both"/>
        <w:ind w:left="760" w:right="760"/>
        <w:spacing w:after="0" w:line="238" w:lineRule="auto"/>
        <w:rPr>
          <w:sz w:val="20"/>
          <w:szCs w:val="20"/>
          <w:color w:val="auto"/>
        </w:rPr>
      </w:pPr>
      <w:r>
        <w:rPr>
          <w:rFonts w:ascii="Times New Roman" w:cs="Times New Roman" w:eastAsia="Times New Roman" w:hAnsi="Times New Roman"/>
          <w:sz w:val="22"/>
          <w:szCs w:val="22"/>
          <w:color w:val="auto"/>
        </w:rPr>
        <w:t>“(b) “Cash Performance Award” means any cash bonus or incentive award opportunity (i) the amount or vesting of which is to be determined on based on the achievement of performance criteria over a performance period that is scheduled to exceed one (1) year in duration, and (ii) that is granted to the Executive prior to, or after, the Effective Date under the terms of any of the Company’s equity or long-term incentive award plans or agreements (including, without limitation, the Company’s 2005 Stock and Incentive Plan).”</w:t>
      </w:r>
    </w:p>
    <w:p>
      <w:pPr>
        <w:spacing w:after="0" w:line="177" w:lineRule="exact"/>
        <w:rPr>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1(m) is hereby added to the Change of Control Agreement:</w:t>
      </w:r>
    </w:p>
    <w:p>
      <w:pPr>
        <w:spacing w:after="0" w:line="206" w:lineRule="exact"/>
        <w:rPr>
          <w:sz w:val="20"/>
          <w:szCs w:val="20"/>
          <w:color w:val="auto"/>
        </w:rPr>
      </w:pPr>
    </w:p>
    <w:p>
      <w:pPr>
        <w:ind w:left="760" w:right="760"/>
        <w:spacing w:after="0" w:line="258" w:lineRule="auto"/>
        <w:rPr>
          <w:sz w:val="20"/>
          <w:szCs w:val="20"/>
          <w:color w:val="auto"/>
        </w:rPr>
      </w:pPr>
      <w:r>
        <w:rPr>
          <w:rFonts w:ascii="Times New Roman" w:cs="Times New Roman" w:eastAsia="Times New Roman" w:hAnsi="Times New Roman"/>
          <w:sz w:val="22"/>
          <w:szCs w:val="22"/>
          <w:color w:val="auto"/>
        </w:rPr>
        <w:t>“(m) “Performance-Based Equity Award” means any Equity Award the amount or vesting of which is to be determined based on the achievement of performance criteria.”</w:t>
      </w:r>
    </w:p>
    <w:p>
      <w:pPr>
        <w:spacing w:after="0" w:line="158" w:lineRule="exact"/>
        <w:rPr>
          <w:sz w:val="20"/>
          <w:szCs w:val="20"/>
          <w:color w:val="auto"/>
        </w:rPr>
      </w:pPr>
    </w:p>
    <w:p>
      <w:pPr>
        <w:ind w:left="2040" w:hanging="535"/>
        <w:spacing w:after="0"/>
        <w:tabs>
          <w:tab w:leader="none" w:pos="20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3(a)(2) of the Change of Control Agreement is hereby replaced in its entirety with the following:</w:t>
      </w:r>
    </w:p>
    <w:p>
      <w:pPr>
        <w:spacing w:after="0" w:line="218" w:lineRule="exact"/>
        <w:rPr>
          <w:sz w:val="20"/>
          <w:szCs w:val="20"/>
          <w:color w:val="auto"/>
        </w:rPr>
      </w:pPr>
    </w:p>
    <w:p>
      <w:pPr>
        <w:jc w:val="both"/>
        <w:ind w:left="760" w:right="760"/>
        <w:spacing w:after="0" w:line="244" w:lineRule="auto"/>
        <w:rPr>
          <w:sz w:val="20"/>
          <w:szCs w:val="20"/>
          <w:color w:val="auto"/>
        </w:rPr>
      </w:pPr>
      <w:r>
        <w:rPr>
          <w:rFonts w:ascii="Times New Roman" w:cs="Times New Roman" w:eastAsia="Times New Roman" w:hAnsi="Times New Roman"/>
          <w:sz w:val="22"/>
          <w:szCs w:val="22"/>
          <w:color w:val="auto"/>
        </w:rPr>
        <w:t>“(2) the Executive will be fully vested in each outstanding Cash Performance Award and each outstanding Performance-Based Equity Award, with the performance criteria for each such Cash Performance Award or Performance-Based Equity Award deemed achieved at the greater of (A) target levels for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left="760" w:right="760"/>
        <w:spacing w:after="0" w:line="258" w:lineRule="auto"/>
        <w:rPr>
          <w:sz w:val="20"/>
          <w:szCs w:val="20"/>
          <w:color w:val="auto"/>
        </w:rPr>
      </w:pPr>
      <w:r>
        <w:rPr>
          <w:rFonts w:ascii="Times New Roman" w:cs="Times New Roman" w:eastAsia="Times New Roman" w:hAnsi="Times New Roman"/>
          <w:sz w:val="22"/>
          <w:szCs w:val="22"/>
          <w:color w:val="auto"/>
        </w:rPr>
        <w:t>performance period(s) or (B) actual performance as of the date immediately preceding the Executive’s termination date.”</w:t>
      </w:r>
    </w:p>
    <w:p>
      <w:pPr>
        <w:spacing w:after="0" w:line="158" w:lineRule="exact"/>
        <w:rPr>
          <w:sz w:val="20"/>
          <w:szCs w:val="20"/>
          <w:color w:val="auto"/>
        </w:rPr>
      </w:pPr>
    </w:p>
    <w:p>
      <w:pPr>
        <w:jc w:val="both"/>
        <w:ind w:firstLine="757"/>
        <w:spacing w:after="0" w:line="236"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 This Amendment shall only serve to amend and modify the Change of Control Agreement to the extent specifically provided herein. All terms, conditions, provisions and references of and to the Change of Control Agreement, which are not specifically modified, amended and/or waived herein, shall remain in full force and effect and shall not be altered by any provisions herein contained. All prior agreements, promises, negotiations and representations, either oral or written, relating to the subject matter of this Amendment that are not expressly set forth in this Amendment are of no force or effect.</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may be executed in one or more counterparts, each of which when executed and delivered shall be deemed to be an original and all counterparts taken together shall constitute one and the same instrument. This Amendment and the Change of Control Agreement (as amended hereby) constitute the entire understanding of the parties hereto with respect to the subject matter hereof, and any and all prior agreements and understandings between the parties regarding the subject matter hereof, whether written or oral, except for the Change of Control Agreement (as amended hereby), are superseded by this Amendment. Any provision of this Amendment that is invalid or unenforceable in any jurisdiction shall be ineffective to the extent of such invalidity or unenforceability without invalidating or rendering unenforceable the remaining provisions hereof, and any invalidity or unenforceability in any jurisdiction shall not invalidate or render unenforceable such provision in any other jurisdiction.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1"/>
          <w:szCs w:val="21"/>
          <w:color w:val="auto"/>
        </w:rPr>
        <w:t>IN WITNESS WHEREOF, the undersigned have duly executed this Amendment as of the date first written above.</w:t>
      </w:r>
    </w:p>
    <w:p>
      <w:pPr>
        <w:sectPr>
          <w:pgSz w:w="11900" w:h="16838" w:orient="portrait"/>
          <w:cols w:equalWidth="0" w:num="1">
            <w:col w:w="9900"/>
          </w:cols>
          <w:pgMar w:left="1080" w:top="1408" w:right="919" w:bottom="1440" w:gutter="0" w:footer="0" w:header="0"/>
        </w:sectPr>
      </w:pP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 /s/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141351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8">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Name: David W. Grzebinski</w:t>
      </w:r>
    </w:p>
    <w:p>
      <w:pPr>
        <w:ind w:left="44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13716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Scott Miller</w:t>
      </w:r>
    </w:p>
    <w:p>
      <w:pPr>
        <w:spacing w:after="0" w:line="3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Amendment to Change of Control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616585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80" w:top="1408" w:right="91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PERFORMANCE AWARD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KIRBY CORPORATION</w:t>
      </w:r>
    </w:p>
    <w:p>
      <w:pPr>
        <w:jc w:val="center"/>
        <w:spacing w:after="0"/>
        <w:rPr>
          <w:sz w:val="20"/>
          <w:szCs w:val="20"/>
          <w:color w:val="auto"/>
        </w:rPr>
      </w:pPr>
      <w:r>
        <w:rPr>
          <w:rFonts w:ascii="Times New Roman" w:cs="Times New Roman" w:eastAsia="Times New Roman" w:hAnsi="Times New Roman"/>
          <w:sz w:val="22"/>
          <w:szCs w:val="22"/>
          <w:b w:val="1"/>
          <w:bCs w:val="1"/>
          <w:color w:val="auto"/>
        </w:rPr>
        <w:t>2005 STOCK AND INCENTIVE PLAN</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Kirby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Participant named below this Long-Term Performance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pursuant to the 2005 Stock and Incentive Plan of the Company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Award is in all respects subject to the definitions, terms, conditions and limitations contained in the Plan, which is incorporated herein by reference, and this Long-Term Performance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Participant:</w:t>
            </w: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Date of Grant:</w:t>
            </w: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Target Award Amount:</w:t>
            </w: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86"/>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Performance Period:</w:t>
            </w: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January 1, 2025, through December 31, 2027</w:t>
            </w:r>
          </w:p>
        </w:tc>
        <w:tc>
          <w:tcPr>
            <w:tcW w:w="0" w:type="dxa"/>
            <w:vAlign w:val="bottom"/>
          </w:tcPr>
          <w:p>
            <w:pPr>
              <w:spacing w:after="0"/>
              <w:rPr>
                <w:sz w:val="1"/>
                <w:szCs w:val="1"/>
                <w:color w:val="auto"/>
              </w:rPr>
            </w:pPr>
          </w:p>
        </w:tc>
      </w:tr>
      <w:tr>
        <w:trPr>
          <w:trHeight w:val="447"/>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Vesting Date:</w:t>
            </w: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The earlier of (a) December 31, 2027 or (b) the date on which this Award vests</w:t>
            </w: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6840" w:type="dxa"/>
            <w:vAlign w:val="bottom"/>
            <w:gridSpan w:val="6"/>
          </w:tcPr>
          <w:p>
            <w:pPr>
              <w:spacing w:after="0" w:line="243" w:lineRule="exact"/>
              <w:rPr>
                <w:sz w:val="20"/>
                <w:szCs w:val="20"/>
                <w:color w:val="auto"/>
              </w:rPr>
            </w:pPr>
            <w:r>
              <w:rPr>
                <w:rFonts w:ascii="Times New Roman" w:cs="Times New Roman" w:eastAsia="Times New Roman" w:hAnsi="Times New Roman"/>
                <w:sz w:val="22"/>
                <w:szCs w:val="22"/>
                <w:color w:val="auto"/>
              </w:rPr>
              <w:t>pursuant to the terms of a written change of control agreement (or similar</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840" w:type="dxa"/>
            <w:vAlign w:val="bottom"/>
            <w:gridSpan w:val="6"/>
          </w:tcPr>
          <w:p>
            <w:pPr>
              <w:spacing w:after="0" w:line="230" w:lineRule="exact"/>
              <w:rPr>
                <w:sz w:val="20"/>
                <w:szCs w:val="20"/>
                <w:color w:val="auto"/>
              </w:rPr>
            </w:pPr>
            <w:r>
              <w:rPr>
                <w:rFonts w:ascii="Times New Roman" w:cs="Times New Roman" w:eastAsia="Times New Roman" w:hAnsi="Times New Roman"/>
                <w:sz w:val="22"/>
                <w:szCs w:val="22"/>
                <w:color w:val="auto"/>
              </w:rPr>
              <w:t>written agreement) between the Company and the Participant (a “Change in</w:t>
            </w:r>
          </w:p>
        </w:tc>
        <w:tc>
          <w:tcPr>
            <w:tcW w:w="0" w:type="dxa"/>
            <w:vAlign w:val="bottom"/>
          </w:tcPr>
          <w:p>
            <w:pPr>
              <w:spacing w:after="0"/>
              <w:rPr>
                <w:sz w:val="1"/>
                <w:szCs w:val="1"/>
                <w:color w:val="auto"/>
              </w:rPr>
            </w:pPr>
          </w:p>
        </w:tc>
      </w:tr>
      <w:tr>
        <w:trPr>
          <w:trHeight w:val="223"/>
        </w:trPr>
        <w:tc>
          <w:tcPr>
            <w:tcW w:w="4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Performance Objectives:</w:t>
            </w:r>
          </w:p>
        </w:tc>
        <w:tc>
          <w:tcPr>
            <w:tcW w:w="56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Control Agreement”), if applicable.</w:t>
            </w: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continu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140" w:type="dxa"/>
            <w:vAlign w:val="bottom"/>
            <w:gridSpan w:val="2"/>
            <w:vMerge w:val="continue"/>
          </w:tcPr>
          <w:p>
            <w:pPr>
              <w:spacing w:after="0"/>
              <w:rPr>
                <w:sz w:val="24"/>
                <w:szCs w:val="24"/>
                <w:color w:val="auto"/>
              </w:rPr>
            </w:pP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See Exhibit A attached hereto.</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Payment Date:</w:t>
            </w: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140" w:type="dxa"/>
            <w:vAlign w:val="bottom"/>
            <w:gridSpan w:val="2"/>
            <w:vMerge w:val="continue"/>
          </w:tcPr>
          <w:p>
            <w:pPr>
              <w:spacing w:after="0"/>
              <w:rPr>
                <w:sz w:val="24"/>
                <w:szCs w:val="24"/>
                <w:color w:val="auto"/>
              </w:rPr>
            </w:pPr>
          </w:p>
        </w:tc>
        <w:tc>
          <w:tcPr>
            <w:tcW w:w="68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Within sixty (60) days following the Vesting Date.</w:t>
            </w:r>
          </w:p>
        </w:tc>
        <w:tc>
          <w:tcPr>
            <w:tcW w:w="0" w:type="dxa"/>
            <w:vAlign w:val="bottom"/>
          </w:tcPr>
          <w:p>
            <w:pPr>
              <w:spacing w:after="0"/>
              <w:rPr>
                <w:sz w:val="1"/>
                <w:szCs w:val="1"/>
                <w:color w:val="auto"/>
              </w:rPr>
            </w:pPr>
          </w:p>
        </w:tc>
      </w:tr>
      <w:tr>
        <w:trPr>
          <w:trHeight w:val="434"/>
        </w:trPr>
        <w:tc>
          <w:tcPr>
            <w:tcW w:w="4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Terms of Agreement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757"/>
        <w:spacing w:after="0" w:line="238" w:lineRule="auto"/>
        <w:tabs>
          <w:tab w:leader="none" w:pos="118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Subject to and upon the terms, conditions, and restrictions set forth in this Agreement and in the Plan, the Company hereby grants to the Participant, as of the Date of Grant set forth above, the opportunity to receive a cash payment (the “</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xml:space="preserve">”), with the amount of the Performance Award ranging from zero percent (0%) and two hundred percent (200%) of the Target Award Amount depending on achievement of the Performance Objectives set forth in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 the Performance Period, as determined by the Committee.</w:t>
      </w:r>
    </w:p>
    <w:p>
      <w:pPr>
        <w:spacing w:after="0" w:line="20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Performance Award (if any) earned for the Performance Period shall vest on the Vesting Date, provided that the Participant shall have remained in the continuous employ of the Company or a Subsidiary from the Date of Grant through the Vesting Date. This Award and the Participant’s right to receive any payment hereunder shall be forfeited and cancelled automatically without further action or notice (i) upon termination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right="20"/>
        <w:spacing w:after="0" w:line="258" w:lineRule="auto"/>
        <w:rPr>
          <w:sz w:val="20"/>
          <w:szCs w:val="20"/>
          <w:color w:val="auto"/>
        </w:rPr>
      </w:pPr>
      <w:r>
        <w:rPr>
          <w:rFonts w:ascii="Times New Roman" w:cs="Times New Roman" w:eastAsia="Times New Roman" w:hAnsi="Times New Roman"/>
          <w:sz w:val="22"/>
          <w:szCs w:val="22"/>
          <w:color w:val="auto"/>
        </w:rPr>
        <w:t>Participant’s continuous employment with the Company and its Subsidiaries prior to the Vesting Date, except as provided in Section 2(b) or 2(c), or (ii) the Company fails achieve the Performance Objectives during the Performance Period.</w:t>
      </w:r>
    </w:p>
    <w:p>
      <w:pPr>
        <w:spacing w:after="0" w:line="185" w:lineRule="exact"/>
        <w:rPr>
          <w:sz w:val="20"/>
          <w:szCs w:val="20"/>
          <w:color w:val="auto"/>
        </w:rPr>
      </w:pPr>
    </w:p>
    <w:p>
      <w:pPr>
        <w:jc w:val="both"/>
        <w:ind w:firstLine="1505"/>
        <w:spacing w:after="0" w:line="234" w:lineRule="auto"/>
        <w:tabs>
          <w:tab w:leader="none" w:pos="198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Death; Disability</w:t>
      </w:r>
      <w:r>
        <w:rPr>
          <w:rFonts w:ascii="Times New Roman" w:cs="Times New Roman" w:eastAsia="Times New Roman" w:hAnsi="Times New Roman"/>
          <w:sz w:val="22"/>
          <w:szCs w:val="22"/>
          <w:color w:val="auto"/>
        </w:rPr>
        <w:t>. If (i) the Company or a Subsidiary terminates the Participant’s employment without Cause (as hereinafter defined) and other than for Unsatisfactory Performance (as hereinafter defined) or (ii) the Participant’s employment with the Company or a Subsidiary terminates due to the Participant’s death or Disability, the Participant will continue to be entitled to receive a prorated portion of the payment(s) that the Participant would have received pursuant to this Award if the Participant had remained in the continuous employ of the Company or a Subsidiary from the first day of the Performance Period through the Vesting Date, with such prorated portion determined based on the total number of calendar days that the Participant was employed by the Company or a Subsidiary from the first day of the Performance Period until the date of the Participant’s termination of employment as compared to the total number of calendar days in the Performance Period.</w:t>
      </w:r>
    </w:p>
    <w:p>
      <w:pPr>
        <w:spacing w:after="0" w:line="210"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If the Participant retires as an employee of the Company or a Subsidiary with eighty (80) or more Retirement Credits (as hereinafter defined), the Participant will continue to be entitled to receive the payment(s) that the Participant would have received pursuant to this Award if the Participant had remained in the continuous employ of the Company or a Subsidiary from the first day of the Performance Period through the Vesting Date. For this purpose, the number of Retirement Credits that the Participant has shall equal the sum of (i) the Participant’s age in whole years plus (ii) the Participant’s whole years of employment with the Company or a Subsidiary, in both cases determined as of the date of the Participant’s retirement.</w:t>
      </w:r>
    </w:p>
    <w:p>
      <w:pPr>
        <w:spacing w:after="0" w:line="21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2254"/>
        <w:spacing w:after="0" w:line="245" w:lineRule="auto"/>
        <w:tabs>
          <w:tab w:leader="none" w:pos="267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2(d)(ii), if a Change in Control occurs during the Performance Period, the Participant shall, in lieu of receiving the Performance Award, become immediately vested in and entitled to receive payment in the amount (the “</w:t>
      </w:r>
      <w:r>
        <w:rPr>
          <w:rFonts w:ascii="Times New Roman" w:cs="Times New Roman" w:eastAsia="Times New Roman" w:hAnsi="Times New Roman"/>
          <w:sz w:val="21"/>
          <w:szCs w:val="21"/>
          <w:u w:val="single" w:color="auto"/>
          <w:color w:val="auto"/>
        </w:rPr>
        <w:t>CiC Closing Payment Amount</w:t>
      </w:r>
      <w:r>
        <w:rPr>
          <w:rFonts w:ascii="Times New Roman" w:cs="Times New Roman" w:eastAsia="Times New Roman" w:hAnsi="Times New Roman"/>
          <w:sz w:val="21"/>
          <w:szCs w:val="21"/>
          <w:color w:val="auto"/>
        </w:rPr>
        <w:t>”) equal to a prorated portion of the Target Award Amount, with such prorated portion determined based on the total number of calendar days that the Participant was employed by the Company or a Subsidiary from the first day of the Performance Period until the date of the Change in Control as compared to the total number of calendar days in the Performance Period. In addition, if the Participant remains in the continuous employ of the Company or a Subsidiary until the Vesting Date, the Participant shall be entitled to receive a payment (the “</w:t>
      </w:r>
      <w:r>
        <w:rPr>
          <w:rFonts w:ascii="Times New Roman" w:cs="Times New Roman" w:eastAsia="Times New Roman" w:hAnsi="Times New Roman"/>
          <w:sz w:val="21"/>
          <w:szCs w:val="21"/>
          <w:u w:val="single" w:color="auto"/>
          <w:color w:val="auto"/>
        </w:rPr>
        <w:t>CiC True-Up Payment</w:t>
      </w:r>
      <w:r>
        <w:rPr>
          <w:rFonts w:ascii="Times New Roman" w:cs="Times New Roman" w:eastAsia="Times New Roman" w:hAnsi="Times New Roman"/>
          <w:sz w:val="21"/>
          <w:szCs w:val="21"/>
          <w:color w:val="auto"/>
        </w:rPr>
        <w:t xml:space="preserve">”) equal to the amount equal to (x) the greater of the Target Award Amount or the Performance Award that would have been payable to the Participant on the Payment Date but for the application of this Section 2(d) (as determined by the Committee based on actual performance for the Performance Period)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(y) the CiC Payment Amount, provided that the CiC True-Up Payment shall not be less than zero. The CiC Closing Payment amount shall be paid to the Participant within ten (10) calendar days of following the date on which the Change in Control occurs and the CiC True-Up Payment will be payable to the Participant on the Payment Date.</w:t>
      </w:r>
    </w:p>
    <w:p>
      <w:pPr>
        <w:spacing w:after="0" w:line="200" w:lineRule="exact"/>
        <w:rPr>
          <w:rFonts w:ascii="Times New Roman" w:cs="Times New Roman" w:eastAsia="Times New Roman" w:hAnsi="Times New Roman"/>
          <w:sz w:val="21"/>
          <w:szCs w:val="21"/>
          <w:color w:val="auto"/>
        </w:rPr>
      </w:pPr>
    </w:p>
    <w:p>
      <w:pPr>
        <w:ind w:right="40" w:firstLine="2254"/>
        <w:spacing w:after="0" w:line="258" w:lineRule="auto"/>
        <w:tabs>
          <w:tab w:leader="none" w:pos="267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Award vests pursuant to the terms of a Change in Control Agreement, the terms of the Change in Control Agreement shall control to determine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spacing w:after="0" w:line="262" w:lineRule="auto"/>
        <w:rPr>
          <w:sz w:val="20"/>
          <w:szCs w:val="20"/>
          <w:color w:val="auto"/>
        </w:rPr>
      </w:pPr>
      <w:r>
        <w:rPr>
          <w:rFonts w:ascii="Times New Roman" w:cs="Times New Roman" w:eastAsia="Times New Roman" w:hAnsi="Times New Roman"/>
          <w:sz w:val="22"/>
          <w:szCs w:val="22"/>
          <w:color w:val="auto"/>
        </w:rPr>
        <w:t xml:space="preserve">payable to the Participant in respect of this Award;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amount shall be reduced by any amount(s) previously received by the Participant in respect of this Award.</w:t>
      </w:r>
    </w:p>
    <w:p>
      <w:pPr>
        <w:spacing w:after="0" w:line="181" w:lineRule="exact"/>
        <w:rPr>
          <w:sz w:val="20"/>
          <w:szCs w:val="20"/>
          <w:color w:val="auto"/>
        </w:rPr>
      </w:pPr>
    </w:p>
    <w:p>
      <w:pPr>
        <w:ind w:left="1940" w:hanging="435"/>
        <w:spacing w:after="0"/>
        <w:tabs>
          <w:tab w:leader="none" w:pos="19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Participant’s (i) conviction of, or plea of nolo contendere to, any felony or any crime or offense involving theft, fraud, embezzlement, moral turpitude or similar conduct; (ii) malfeasance in the performance of his or her duties, which shall mean (A) intentional misuse or diversion of assets of the Company or a Subsidiary, (B) theft or embezzlement or (C) fraudulent or willful and material misrepresentations or omissions in any reports or information submitted to the Company or a Subsidiary or any government agency or regulatory authority; (iii) material failure to perform the duties of the Participant’s employment (other than any such failure resulting from incapacity due to physical or mental illness) or material failure to follow or comply with reasonable directives from any other employee of the Company (or Subsidiary) who has direct or indirect supervisory authority over the Participant; (iv) a material violation of the Company’s Business Ethics Guidelines or any other written policies of the Company and its Subsidiaries applicable to the Participant; or (v) a material violation of any federal, state or local laws or regulations.</w:t>
      </w:r>
    </w:p>
    <w:p>
      <w:pPr>
        <w:spacing w:after="0" w:line="206"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Unsatisfactory Performance</w:t>
      </w:r>
      <w:r>
        <w:rPr>
          <w:rFonts w:ascii="Times New Roman" w:cs="Times New Roman" w:eastAsia="Times New Roman" w:hAnsi="Times New Roman"/>
          <w:sz w:val="22"/>
          <w:szCs w:val="22"/>
          <w:color w:val="auto"/>
        </w:rPr>
        <w:t>” means the Participant fails to consistently achieve stated performance goals or the Participant’s performance is materially below the Company’s expectations (other than any such failure resulting from incapacity due to physical or mental illness). The Company (or a Subsidiary) will not terminate the Participant’s employment for “Unsatisfactory Performance” unless the Company (or Subsidiary) has given the Participant written notice of such Unsatisfactory Performance and the Participant fails to cure such performance (to the extent curable) within fifteen (15) calendar days of such written notice.</w:t>
      </w:r>
    </w:p>
    <w:p>
      <w:pPr>
        <w:spacing w:after="0" w:line="208" w:lineRule="exact"/>
        <w:rPr>
          <w:sz w:val="20"/>
          <w:szCs w:val="20"/>
          <w:color w:val="auto"/>
        </w:rPr>
      </w:pPr>
    </w:p>
    <w:p>
      <w:pPr>
        <w:ind w:firstLine="757"/>
        <w:spacing w:after="0" w:line="258" w:lineRule="auto"/>
        <w:tabs>
          <w:tab w:leader="none" w:pos="120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Performance Award</w:t>
      </w:r>
      <w:r>
        <w:rPr>
          <w:rFonts w:ascii="Times New Roman" w:cs="Times New Roman" w:eastAsia="Times New Roman" w:hAnsi="Times New Roman"/>
          <w:sz w:val="22"/>
          <w:szCs w:val="22"/>
          <w:color w:val="auto"/>
        </w:rPr>
        <w:t>. Except as provided in Section 2(d), payment of the Participant’s earned and vested Performance Award (if any) shall be made in cash on the Payment Date.</w:t>
      </w:r>
    </w:p>
    <w:p>
      <w:pPr>
        <w:spacing w:after="0" w:line="185" w:lineRule="exact"/>
        <w:rPr>
          <w:rFonts w:ascii="Times New Roman" w:cs="Times New Roman" w:eastAsia="Times New Roman" w:hAnsi="Times New Roman"/>
          <w:sz w:val="22"/>
          <w:szCs w:val="22"/>
          <w:color w:val="auto"/>
        </w:rPr>
      </w:pPr>
    </w:p>
    <w:p>
      <w:pPr>
        <w:jc w:val="both"/>
        <w:ind w:firstLine="757"/>
        <w:spacing w:after="0" w:line="239" w:lineRule="auto"/>
        <w:tabs>
          <w:tab w:leader="none" w:pos="123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Clawback/Recovery of Award</w:t>
      </w:r>
      <w:r>
        <w:rPr>
          <w:rFonts w:ascii="Times New Roman" w:cs="Times New Roman" w:eastAsia="Times New Roman" w:hAnsi="Times New Roman"/>
          <w:sz w:val="22"/>
          <w:szCs w:val="22"/>
          <w:color w:val="auto"/>
        </w:rPr>
        <w:t>. This Award shall be subject to recoupment in accordance with the Kirby Corporation Clawback Policy (as the same may be amended or restated from time to time). This Section 4 shall survive and continue in full force in accordance with its terms and the terms of the Plan notwithstanding any termination of the Participant’s employment or the payment of the amount(s) payable to the Participant as provided herein.</w:t>
      </w:r>
    </w:p>
    <w:p>
      <w:pPr>
        <w:spacing w:after="0" w:line="207" w:lineRule="exact"/>
        <w:rPr>
          <w:rFonts w:ascii="Times New Roman" w:cs="Times New Roman" w:eastAsia="Times New Roman" w:hAnsi="Times New Roman"/>
          <w:sz w:val="22"/>
          <w:szCs w:val="22"/>
          <w:color w:val="auto"/>
        </w:rPr>
      </w:pPr>
    </w:p>
    <w:p>
      <w:pPr>
        <w:jc w:val="both"/>
        <w:ind w:firstLine="757"/>
        <w:spacing w:after="0" w:line="255" w:lineRule="auto"/>
        <w:tabs>
          <w:tab w:leader="none" w:pos="120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This Award may not be transferred, assigned, pledged or hypothecated in any manner, or be subject to execution, attachment or similar process, by operation of law or otherwise, unless otherwise provided under the Plan. Any purported transfer or encumbrance in violation of the provisions of this Section 5 shall be void, and the other party to any such purported transaction shall not obtain any rights to or interest in this Award or any amount payable pursuant to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4" w:name="page115"/>
    <w:bookmarkEnd w:id="114"/>
    <w:p>
      <w:pPr>
        <w:ind w:left="423" w:hanging="423"/>
        <w:spacing w:after="0"/>
        <w:tabs>
          <w:tab w:leader="none" w:pos="42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757" w:firstLine="1189"/>
        <w:spacing w:after="0" w:line="234" w:lineRule="auto"/>
        <w:tabs>
          <w:tab w:leader="none" w:pos="85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responsible for any federal, state, local or other taxes with respect to this Award, and the Company does not guarantee any particular tax treatment or results in connection with this Award. The Company and its Subsidiaries will have the right to deduct from any payment under and pursuant to this Award (or any other cash payment to the Participant) any federal, state, local or other taxes which, in the opinion of the Company or an applicable Subsidiary are required to be withheld with respect to this Award. None of the Board, the Committee, the Company or any affiliate of any of the foregoing makes any commitment or guarantee that any federal, state, local or other tax treatment will (or will not) apply or be available to the Participant (or to any person claiming through or on behalf of the Participant) and shall have no liability or responsibility with respect to taxes (and penalties and interest thereon) imposed on the Participant (or on any person claiming through or on behalf of the Participant) as a result of this Agreement.</w:t>
      </w:r>
    </w:p>
    <w:p>
      <w:pPr>
        <w:spacing w:after="0" w:line="210" w:lineRule="exact"/>
        <w:rPr>
          <w:rFonts w:ascii="Times New Roman" w:cs="Times New Roman" w:eastAsia="Times New Roman" w:hAnsi="Times New Roman"/>
          <w:sz w:val="22"/>
          <w:szCs w:val="22"/>
          <w:color w:val="auto"/>
        </w:rPr>
      </w:pPr>
    </w:p>
    <w:p>
      <w:pPr>
        <w:ind w:left="-757" w:firstLine="1189"/>
        <w:spacing w:after="0" w:line="238" w:lineRule="auto"/>
        <w:tabs>
          <w:tab w:leader="none" w:pos="85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other provisions hereof, this Agreement is intended to comply with or otherwise be exempt from the requirements of Section 409A of the Code and the regulations and administrative guidance promulgated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applicable, and this Agreement shall be interpreted to avoid any taxes or penalty sanctions under Section 409A. Accordingly, all provisions herein, or incorporated by reference, shall be construed and interpreted to comply with or otherwise be exempt from Section 409A.</w:t>
      </w:r>
    </w:p>
    <w:p>
      <w:pPr>
        <w:spacing w:after="0" w:line="176" w:lineRule="exact"/>
        <w:rPr>
          <w:rFonts w:ascii="Times New Roman" w:cs="Times New Roman" w:eastAsia="Times New Roman" w:hAnsi="Times New Roman"/>
          <w:sz w:val="22"/>
          <w:szCs w:val="22"/>
          <w:color w:val="auto"/>
        </w:rPr>
      </w:pPr>
    </w:p>
    <w:p>
      <w:pPr>
        <w:jc w:val="both"/>
        <w:ind w:left="-757" w:firstLine="1189"/>
        <w:spacing w:after="0" w:line="235" w:lineRule="auto"/>
        <w:tabs>
          <w:tab w:leader="none" w:pos="85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the Plan or this Agreement shall confer upon the Participant any right to continue in the employ or service of the Company or any Subsidiary thereof or shall interfere with or restrict the right of the Company or its shareholders (or of a Subsidiary or its shareholders, as the case may be) to terminate the Participant’s employment or service any time for any reason whatsoever, with or without Cause. The Plan and this Agreement shall not (i) form any part of any contract of employment or contract for services between the Company or any past or present Subsidiary thereof and any directors, officers or employees of those companies, (ii) confer any legal or equitable rights against the Company or any past or present Subsidiary thereof, directly or indirectly, or (iii) give rise to any cause of action in law or in equity against the Company or any past or present Subsidiary thereof.</w:t>
      </w:r>
    </w:p>
    <w:p>
      <w:pPr>
        <w:spacing w:after="0" w:line="178" w:lineRule="exact"/>
        <w:rPr>
          <w:rFonts w:ascii="Times New Roman" w:cs="Times New Roman" w:eastAsia="Times New Roman" w:hAnsi="Times New Roman"/>
          <w:sz w:val="22"/>
          <w:szCs w:val="22"/>
          <w:color w:val="auto"/>
        </w:rPr>
      </w:pPr>
    </w:p>
    <w:p>
      <w:pPr>
        <w:jc w:val="both"/>
        <w:ind w:left="-757" w:firstLine="1505"/>
        <w:spacing w:after="0" w:line="244" w:lineRule="auto"/>
        <w:tabs>
          <w:tab w:leader="none" w:pos="117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agrees to perform all acts, and to execute and deliver any documents, that may be reasonably necessary to carry out the provisions of this Agreement, including but not limited to all acts and documents related to compliance with tax and other applicable laws and regulations.</w:t>
      </w:r>
    </w:p>
    <w:p>
      <w:pPr>
        <w:spacing w:after="0" w:line="200" w:lineRule="exact"/>
        <w:rPr>
          <w:rFonts w:ascii="Times New Roman" w:cs="Times New Roman" w:eastAsia="Times New Roman" w:hAnsi="Times New Roman"/>
          <w:sz w:val="22"/>
          <w:szCs w:val="22"/>
          <w:color w:val="auto"/>
        </w:rPr>
      </w:pPr>
    </w:p>
    <w:p>
      <w:pPr>
        <w:jc w:val="both"/>
        <w:ind w:left="-757" w:firstLine="1505"/>
        <w:spacing w:after="0" w:line="238" w:lineRule="auto"/>
        <w:tabs>
          <w:tab w:leader="none" w:pos="117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confers no rights or interests other than as herein provided. This Agreement creates only a contractual obligation on the part of the Company as to amounts payable under and pursuant to this Award and shall not be construed as creating a trust. Neither the Plan nor any underlying program, in and of itself, has any assets. The Participant shall have only the rights of a general unsecured creditor of the Company with respect to amounts payable, if any, under and pursuant to this Award, as and when payable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1008380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15" w:name="page116"/>
    <w:bookmarkEnd w:id="115"/>
    <w:p>
      <w:pPr>
        <w:jc w:val="both"/>
        <w:ind w:left="-1120" w:firstLine="1505"/>
        <w:spacing w:after="0" w:line="238" w:lineRule="auto"/>
        <w:tabs>
          <w:tab w:leader="none" w:pos="8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two counterparts, each of which shall be deemed an original agreement and both of which shall constitute one and the same agreement. The counterparts of this Agreement may be executed and delivered by facsimile or other electronic signature (including portable document format) by either of the parties and the receiving party may rely on the receipt of such document so executed and delivered electronically or by facsimile as if the original had been received.</w:t>
      </w:r>
    </w:p>
    <w:p>
      <w:pPr>
        <w:spacing w:after="0" w:line="203" w:lineRule="exact"/>
        <w:rPr>
          <w:rFonts w:ascii="Times New Roman" w:cs="Times New Roman" w:eastAsia="Times New Roman" w:hAnsi="Times New Roman"/>
          <w:sz w:val="22"/>
          <w:szCs w:val="22"/>
          <w:color w:val="auto"/>
        </w:rPr>
      </w:pPr>
    </w:p>
    <w:p>
      <w:pPr>
        <w:jc w:val="both"/>
        <w:ind w:left="-1120" w:firstLine="1505"/>
        <w:spacing w:after="0" w:line="236" w:lineRule="auto"/>
        <w:tabs>
          <w:tab w:leader="none" w:pos="8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about the Participant and the Participant’s participation in the Plan may be collected, recorded and held, used and disclosed for any purpose related to the administration of the Plan. The Participant understands that such processing of this information may need to be carried out by the Company and its Subsidiaries and by third-party administrators whether such persons are located within the Participant’s country or elsewhere, including the United States of America. The Participant consents to the processing of information relating to the Participant and the Participant’s participation in the Plan in any one or more of the ways referred to above.</w:t>
      </w:r>
    </w:p>
    <w:p>
      <w:pPr>
        <w:spacing w:after="0" w:line="208" w:lineRule="exact"/>
        <w:rPr>
          <w:rFonts w:ascii="Times New Roman" w:cs="Times New Roman" w:eastAsia="Times New Roman" w:hAnsi="Times New Roman"/>
          <w:sz w:val="22"/>
          <w:szCs w:val="22"/>
          <w:color w:val="auto"/>
        </w:rPr>
      </w:pPr>
    </w:p>
    <w:p>
      <w:pPr>
        <w:jc w:val="both"/>
        <w:ind w:left="-1120" w:firstLine="1505"/>
        <w:spacing w:after="0" w:line="233" w:lineRule="auto"/>
        <w:tabs>
          <w:tab w:leader="none" w:pos="8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consents and agrees to electronic delivery of any documents that the Company may elect to deliver (including, but not limited to, prospectuses, prospectus supplements, grant or award notifications and agreements, account statements, annual and quarterly reports, and all other forms of communications) in connection with this and any other award made or offered under the Plan. The Participant understands that, unless earlier revoked by the Participant by giving written notice to the General Counsel of the Company, this consent shall be effective for the duration of the Agreement. The Participant also understands that he or she shall have the right at any time to request that the Company deliver written copies of any and all materials referred to above at no charge. The Participant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Participant consents and agrees that any such procedures and delivery may be effected by a third party engaged by the Company to provide administrative services related to the Plan.</w:t>
      </w:r>
    </w:p>
    <w:p>
      <w:pPr>
        <w:spacing w:after="0" w:line="214" w:lineRule="exact"/>
        <w:rPr>
          <w:rFonts w:ascii="Times New Roman" w:cs="Times New Roman" w:eastAsia="Times New Roman" w:hAnsi="Times New Roman"/>
          <w:sz w:val="22"/>
          <w:szCs w:val="22"/>
          <w:color w:val="auto"/>
        </w:rPr>
      </w:pPr>
    </w:p>
    <w:p>
      <w:pPr>
        <w:jc w:val="both"/>
        <w:ind w:left="-1120" w:firstLine="1505"/>
        <w:spacing w:after="0" w:line="239" w:lineRule="auto"/>
        <w:tabs>
          <w:tab w:leader="none" w:pos="8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economic or other benefit to the Participant under this Agreement or the Plan shall not be taken into account in determining any benefits to which the Participant may be entitled under any profit-sharing, retirement or other benefit or compensation plan maintained by the Company or a Subsidiary and shall not affect the amount of any life insurance coverage available to any beneficiary under any life insurance plan covering employees of the Company or a Subsidiary.</w:t>
      </w:r>
    </w:p>
    <w:p>
      <w:pPr>
        <w:spacing w:after="0" w:line="207" w:lineRule="exact"/>
        <w:rPr>
          <w:rFonts w:ascii="Times New Roman" w:cs="Times New Roman" w:eastAsia="Times New Roman" w:hAnsi="Times New Roman"/>
          <w:sz w:val="22"/>
          <w:szCs w:val="22"/>
          <w:color w:val="auto"/>
        </w:rPr>
      </w:pPr>
    </w:p>
    <w:p>
      <w:pPr>
        <w:jc w:val="both"/>
        <w:ind w:left="-1120" w:firstLine="1505"/>
        <w:spacing w:after="0" w:line="238" w:lineRule="auto"/>
        <w:tabs>
          <w:tab w:leader="none" w:pos="80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Plan, the Committee may modify this Agreement upon written notice to the Participant. Any amendment to the Plan shall be deemed to be an amendment to this Agreement to the extent that the amendment is applicable hereto. Notwithstanding the foregoing, no amendment of the Plan or this Agreement shall adversely affect in a material way the rights of the Participant under this Agreement without the Participant’s consent unless the Committee determines, in good faith, that such amendment is required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871220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16" w:name="page117"/>
    <w:bookmarkEnd w:id="116"/>
    <w:p>
      <w:pPr>
        <w:spacing w:after="0" w:line="258" w:lineRule="auto"/>
        <w:rPr>
          <w:sz w:val="20"/>
          <w:szCs w:val="20"/>
          <w:color w:val="auto"/>
        </w:rPr>
      </w:pPr>
      <w:r>
        <w:rPr>
          <w:rFonts w:ascii="Times New Roman" w:cs="Times New Roman" w:eastAsia="Times New Roman" w:hAnsi="Times New Roman"/>
          <w:sz w:val="22"/>
          <w:szCs w:val="22"/>
          <w:color w:val="auto"/>
        </w:rPr>
        <w:t>Agreement to either be exempt from the application of, or comply with, the requirements of Section 409A, or as otherwise may be provided in the Plan.</w:t>
      </w:r>
    </w:p>
    <w:p>
      <w:pPr>
        <w:spacing w:after="0" w:line="185" w:lineRule="exact"/>
        <w:rPr>
          <w:sz w:val="20"/>
          <w:szCs w:val="20"/>
          <w:color w:val="auto"/>
        </w:rPr>
      </w:pPr>
    </w:p>
    <w:p>
      <w:pPr>
        <w:ind w:left="1940" w:hanging="435"/>
        <w:spacing w:after="0"/>
        <w:tabs>
          <w:tab w:leader="none" w:pos="19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this Award shall be binding upon the executors, administrators, heirs, successors and assigns</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Participant.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 of Grant.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jc w:val="center"/>
        <w:ind w:left="4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Participant acknowledges receipt of a copy of the Plan, and represents that he or she is familiar with the terms and provisions thereof, and hereby accepts this Award subject to all of the terms and provisions of the Plan. The Participant hereby agrees to accept as binding, conclusive and final all decisions or interpretations of the Committee on any questions arising under the Plan.</w:t>
      </w: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Long-Term Performance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OBJECTIVES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Performance Period: </w:t>
      </w:r>
      <w:r>
        <w:rPr>
          <w:rFonts w:ascii="Times New Roman" w:cs="Times New Roman" w:eastAsia="Times New Roman" w:hAnsi="Times New Roman"/>
          <w:sz w:val="22"/>
          <w:szCs w:val="22"/>
          <w:color w:val="auto"/>
        </w:rPr>
        <w:t>Three years commencing January 1, 2025</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Performance Objectives: </w:t>
      </w:r>
      <w:r>
        <w:rPr>
          <w:rFonts w:ascii="Times New Roman" w:cs="Times New Roman" w:eastAsia="Times New Roman" w:hAnsi="Times New Roman"/>
          <w:sz w:val="22"/>
          <w:szCs w:val="22"/>
          <w:color w:val="auto"/>
        </w:rPr>
        <w:t>Achievement of budgeted EBITDA and Return on Total Capital for the Company, in each case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cumulative basis for the Performance Period, with the two factors weighted equally.</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Budgeted EBITDA and Return on Total Capital each be determined as provided in the Company’s annual incentive bonus plan and based on the budget for the Company for each calendar year during the Performance Period, as approved by the Board of Directors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Award Opportunity: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percentage of the Target Award Amount earned by the Participant will be determined as follows: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100" w:type="dxa"/>
            <w:vAlign w:val="bottom"/>
            <w:tcBorders>
              <w:top w:val="single" w:sz="8" w:color="auto"/>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Performance</w:t>
            </w:r>
          </w:p>
        </w:tc>
        <w:tc>
          <w:tcPr>
            <w:tcW w:w="1540" w:type="dxa"/>
            <w:vAlign w:val="bottom"/>
            <w:tcBorders>
              <w:top w:val="single" w:sz="8" w:color="auto"/>
              <w:right w:val="single" w:sz="8" w:color="auto"/>
            </w:tcBorders>
          </w:tcPr>
          <w:p>
            <w:pPr>
              <w:spacing w:after="0"/>
              <w:rPr>
                <w:sz w:val="19"/>
                <w:szCs w:val="19"/>
                <w:color w:val="auto"/>
              </w:rPr>
            </w:pPr>
          </w:p>
        </w:tc>
        <w:tc>
          <w:tcPr>
            <w:tcW w:w="216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7"/>
              </w:rPr>
              <w:t>Below Threshold</w:t>
            </w:r>
          </w:p>
        </w:tc>
        <w:tc>
          <w:tcPr>
            <w:tcW w:w="182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9"/>
              </w:rPr>
              <w:t>Threshold</w:t>
            </w:r>
          </w:p>
        </w:tc>
        <w:tc>
          <w:tcPr>
            <w:tcW w:w="180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7"/>
              </w:rPr>
              <w:t>Target</w:t>
            </w:r>
          </w:p>
        </w:tc>
        <w:tc>
          <w:tcPr>
            <w:tcW w:w="182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Maximum</w:t>
            </w:r>
          </w:p>
        </w:tc>
        <w:tc>
          <w:tcPr>
            <w:tcW w:w="0" w:type="dxa"/>
            <w:vAlign w:val="bottom"/>
          </w:tcPr>
          <w:p>
            <w:pPr>
              <w:spacing w:after="0"/>
              <w:rPr>
                <w:sz w:val="1"/>
                <w:szCs w:val="1"/>
                <w:color w:val="auto"/>
              </w:rPr>
            </w:pPr>
          </w:p>
        </w:tc>
      </w:tr>
      <w:tr>
        <w:trPr>
          <w:trHeight w:val="291"/>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Metric</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Weighting</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(0% of Payout)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(20% Payout)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(100% Payout)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(200% Payout)</w:t>
            </w:r>
          </w:p>
        </w:tc>
        <w:tc>
          <w:tcPr>
            <w:tcW w:w="0" w:type="dxa"/>
            <w:vAlign w:val="bottom"/>
          </w:tcPr>
          <w:p>
            <w:pPr>
              <w:spacing w:after="0"/>
              <w:rPr>
                <w:sz w:val="1"/>
                <w:szCs w:val="1"/>
                <w:color w:val="auto"/>
              </w:rPr>
            </w:pPr>
          </w:p>
        </w:tc>
      </w:tr>
      <w:tr>
        <w:trPr>
          <w:trHeight w:val="300"/>
        </w:trPr>
        <w:tc>
          <w:tcPr>
            <w:tcW w:w="2100" w:type="dxa"/>
            <w:vAlign w:val="bottom"/>
            <w:tcBorders>
              <w:left w:val="single" w:sz="8" w:color="auto"/>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Less than 70% of</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70%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100% of</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130% of</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Budgeted EBITDA</w:t>
            </w:r>
          </w:p>
        </w:tc>
        <w:tc>
          <w:tcPr>
            <w:tcW w:w="154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Cumulative</w:t>
            </w:r>
          </w:p>
        </w:tc>
        <w:tc>
          <w:tcPr>
            <w:tcW w:w="180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Cumulative</w:t>
            </w:r>
          </w:p>
        </w:tc>
        <w:tc>
          <w:tcPr>
            <w:tcW w:w="182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Cumulative</w:t>
            </w:r>
          </w:p>
        </w:tc>
        <w:tc>
          <w:tcPr>
            <w:tcW w:w="0" w:type="dxa"/>
            <w:vAlign w:val="bottom"/>
          </w:tcPr>
          <w:p>
            <w:pPr>
              <w:spacing w:after="0"/>
              <w:rPr>
                <w:sz w:val="1"/>
                <w:szCs w:val="1"/>
                <w:color w:val="auto"/>
              </w:rPr>
            </w:pPr>
          </w:p>
        </w:tc>
      </w:tr>
      <w:tr>
        <w:trPr>
          <w:trHeight w:val="121"/>
        </w:trPr>
        <w:tc>
          <w:tcPr>
            <w:tcW w:w="2100" w:type="dxa"/>
            <w:vAlign w:val="bottom"/>
            <w:tcBorders>
              <w:left w:val="single" w:sz="8" w:color="auto"/>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50%</w:t>
            </w:r>
          </w:p>
        </w:tc>
        <w:tc>
          <w:tcPr>
            <w:tcW w:w="216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Cumulative Budgeted</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Budgeted</w:t>
            </w:r>
          </w:p>
        </w:tc>
        <w:tc>
          <w:tcPr>
            <w:tcW w:w="180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Budgeted</w:t>
            </w:r>
          </w:p>
        </w:tc>
        <w:tc>
          <w:tcPr>
            <w:tcW w:w="1820" w:type="dxa"/>
            <w:vAlign w:val="bottom"/>
            <w:tcBorders>
              <w:right w:val="single" w:sz="8" w:color="auto"/>
            </w:tcBorders>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Budgeted</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EBITDA</w:t>
            </w: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10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EBITDA</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EBITDA</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EBITDA</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100" w:type="dxa"/>
            <w:vAlign w:val="bottom"/>
            <w:tcBorders>
              <w:left w:val="single" w:sz="8" w:color="auto"/>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Budgeted Return on</w:t>
            </w:r>
          </w:p>
        </w:tc>
        <w:tc>
          <w:tcPr>
            <w:tcW w:w="15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Less than 70% of</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70%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100% of</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130% of</w:t>
            </w:r>
          </w:p>
        </w:tc>
        <w:tc>
          <w:tcPr>
            <w:tcW w:w="0" w:type="dxa"/>
            <w:vAlign w:val="bottom"/>
          </w:tcPr>
          <w:p>
            <w:pPr>
              <w:spacing w:after="0"/>
              <w:rPr>
                <w:sz w:val="1"/>
                <w:szCs w:val="1"/>
                <w:color w:val="auto"/>
              </w:rPr>
            </w:pPr>
          </w:p>
        </w:tc>
      </w:tr>
      <w:tr>
        <w:trPr>
          <w:trHeight w:val="239"/>
        </w:trPr>
        <w:tc>
          <w:tcPr>
            <w:tcW w:w="2100" w:type="dxa"/>
            <w:vAlign w:val="bottom"/>
            <w:tcBorders>
              <w:left w:val="single" w:sz="8" w:color="auto"/>
              <w:right w:val="single" w:sz="8" w:color="auto"/>
            </w:tcBorders>
            <w:vMerge w:val="continue"/>
          </w:tcPr>
          <w:p>
            <w:pPr>
              <w:spacing w:after="0"/>
              <w:rPr>
                <w:sz w:val="20"/>
                <w:szCs w:val="2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216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color w:val="auto"/>
                <w:w w:val="98"/>
              </w:rPr>
              <w:t>Cumulative Budgeted</w:t>
            </w:r>
          </w:p>
        </w:tc>
        <w:tc>
          <w:tcPr>
            <w:tcW w:w="182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color w:val="auto"/>
                <w:w w:val="99"/>
              </w:rPr>
              <w:t>Cumulative</w:t>
            </w:r>
          </w:p>
        </w:tc>
        <w:tc>
          <w:tcPr>
            <w:tcW w:w="180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color w:val="auto"/>
                <w:w w:val="97"/>
              </w:rPr>
              <w:t>Cumulative</w:t>
            </w:r>
          </w:p>
        </w:tc>
        <w:tc>
          <w:tcPr>
            <w:tcW w:w="182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color w:val="auto"/>
                <w:w w:val="99"/>
              </w:rPr>
              <w:t>Cumulative</w:t>
            </w:r>
          </w:p>
        </w:tc>
        <w:tc>
          <w:tcPr>
            <w:tcW w:w="0" w:type="dxa"/>
            <w:vAlign w:val="bottom"/>
          </w:tcPr>
          <w:p>
            <w:pPr>
              <w:spacing w:after="0"/>
              <w:rPr>
                <w:sz w:val="1"/>
                <w:szCs w:val="1"/>
                <w:color w:val="auto"/>
              </w:rPr>
            </w:pPr>
          </w:p>
        </w:tc>
      </w:tr>
      <w:tr>
        <w:trPr>
          <w:trHeight w:val="165"/>
        </w:trPr>
        <w:tc>
          <w:tcPr>
            <w:tcW w:w="2100" w:type="dxa"/>
            <w:vAlign w:val="bottom"/>
            <w:tcBorders>
              <w:left w:val="single" w:sz="8" w:color="auto"/>
              <w:right w:val="single" w:sz="8" w:color="auto"/>
            </w:tcBorders>
            <w:vMerge w:val="restart"/>
          </w:tcPr>
          <w:p>
            <w:pPr>
              <w:jc w:val="center"/>
              <w:spacing w:after="0" w:line="247" w:lineRule="exact"/>
              <w:rPr>
                <w:sz w:val="20"/>
                <w:szCs w:val="20"/>
                <w:color w:val="auto"/>
              </w:rPr>
            </w:pPr>
            <w:r>
              <w:rPr>
                <w:rFonts w:ascii="Times New Roman" w:cs="Times New Roman" w:eastAsia="Times New Roman" w:hAnsi="Times New Roman"/>
                <w:sz w:val="22"/>
                <w:szCs w:val="22"/>
                <w:i w:val="1"/>
                <w:iCs w:val="1"/>
                <w:color w:val="auto"/>
                <w:w w:val="98"/>
              </w:rPr>
              <w:t>Total Capital</w:t>
            </w:r>
          </w:p>
        </w:tc>
        <w:tc>
          <w:tcPr>
            <w:tcW w:w="1540" w:type="dxa"/>
            <w:vAlign w:val="bottom"/>
            <w:tcBorders>
              <w:right w:val="single" w:sz="8" w:color="auto"/>
            </w:tcBorders>
            <w:vMerge w:val="continue"/>
          </w:tcPr>
          <w:p>
            <w:pPr>
              <w:spacing w:after="0"/>
              <w:rPr>
                <w:sz w:val="14"/>
                <w:szCs w:val="14"/>
                <w:color w:val="auto"/>
              </w:rPr>
            </w:pPr>
          </w:p>
        </w:tc>
        <w:tc>
          <w:tcPr>
            <w:tcW w:w="2160" w:type="dxa"/>
            <w:vAlign w:val="bottom"/>
            <w:tcBorders>
              <w:right w:val="single" w:sz="8" w:color="auto"/>
            </w:tcBorders>
            <w:vMerge w:val="restart"/>
          </w:tcPr>
          <w:p>
            <w:pPr>
              <w:jc w:val="center"/>
              <w:spacing w:after="0" w:line="247" w:lineRule="exact"/>
              <w:rPr>
                <w:sz w:val="20"/>
                <w:szCs w:val="20"/>
                <w:color w:val="auto"/>
              </w:rPr>
            </w:pPr>
            <w:r>
              <w:rPr>
                <w:rFonts w:ascii="Times New Roman" w:cs="Times New Roman" w:eastAsia="Times New Roman" w:hAnsi="Times New Roman"/>
                <w:sz w:val="22"/>
                <w:szCs w:val="22"/>
                <w:color w:val="auto"/>
                <w:w w:val="99"/>
              </w:rPr>
              <w:t>Return on Total</w:t>
            </w:r>
          </w:p>
        </w:tc>
        <w:tc>
          <w:tcPr>
            <w:tcW w:w="1820" w:type="dxa"/>
            <w:vAlign w:val="bottom"/>
            <w:tcBorders>
              <w:right w:val="single" w:sz="8" w:color="auto"/>
            </w:tcBorders>
            <w:vMerge w:val="restart"/>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Budgeted Return</w:t>
            </w:r>
          </w:p>
        </w:tc>
        <w:tc>
          <w:tcPr>
            <w:tcW w:w="1800" w:type="dxa"/>
            <w:vAlign w:val="bottom"/>
            <w:tcBorders>
              <w:right w:val="single" w:sz="8" w:color="auto"/>
            </w:tcBorders>
            <w:vMerge w:val="restart"/>
          </w:tcPr>
          <w:p>
            <w:pPr>
              <w:jc w:val="center"/>
              <w:spacing w:after="0" w:line="247" w:lineRule="exact"/>
              <w:rPr>
                <w:sz w:val="20"/>
                <w:szCs w:val="20"/>
                <w:color w:val="auto"/>
              </w:rPr>
            </w:pPr>
            <w:r>
              <w:rPr>
                <w:rFonts w:ascii="Times New Roman" w:cs="Times New Roman" w:eastAsia="Times New Roman" w:hAnsi="Times New Roman"/>
                <w:sz w:val="22"/>
                <w:szCs w:val="22"/>
                <w:color w:val="auto"/>
                <w:w w:val="98"/>
              </w:rPr>
              <w:t>Budgeted Return</w:t>
            </w:r>
          </w:p>
        </w:tc>
        <w:tc>
          <w:tcPr>
            <w:tcW w:w="1820" w:type="dxa"/>
            <w:vAlign w:val="bottom"/>
            <w:tcBorders>
              <w:right w:val="single" w:sz="8" w:color="auto"/>
            </w:tcBorders>
            <w:vMerge w:val="restart"/>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Budgeted Return</w:t>
            </w:r>
          </w:p>
        </w:tc>
        <w:tc>
          <w:tcPr>
            <w:tcW w:w="0" w:type="dxa"/>
            <w:vAlign w:val="bottom"/>
          </w:tcPr>
          <w:p>
            <w:pPr>
              <w:spacing w:after="0"/>
              <w:rPr>
                <w:sz w:val="1"/>
                <w:szCs w:val="1"/>
                <w:color w:val="auto"/>
              </w:rPr>
            </w:pPr>
          </w:p>
        </w:tc>
      </w:tr>
      <w:tr>
        <w:trPr>
          <w:trHeight w:val="82"/>
        </w:trPr>
        <w:tc>
          <w:tcPr>
            <w:tcW w:w="2100" w:type="dxa"/>
            <w:vAlign w:val="bottom"/>
            <w:tcBorders>
              <w:left w:val="single" w:sz="8" w:color="auto"/>
              <w:right w:val="single" w:sz="8" w:color="auto"/>
            </w:tcBorders>
            <w:vMerge w:val="continue"/>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100" w:type="dxa"/>
            <w:vAlign w:val="bottom"/>
            <w:tcBorders>
              <w:left w:val="single" w:sz="8" w:color="auto"/>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Capital</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on Total Capital</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on Total Capital</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on Total Capital</w:t>
            </w:r>
          </w:p>
        </w:tc>
        <w:tc>
          <w:tcPr>
            <w:tcW w:w="0" w:type="dxa"/>
            <w:vAlign w:val="bottom"/>
          </w:tcPr>
          <w:p>
            <w:pPr>
              <w:spacing w:after="0"/>
              <w:rPr>
                <w:sz w:val="1"/>
                <w:szCs w:val="1"/>
                <w:color w:val="auto"/>
              </w:rPr>
            </w:pPr>
          </w:p>
        </w:tc>
      </w:tr>
      <w:tr>
        <w:trPr>
          <w:trHeight w:val="96"/>
        </w:trPr>
        <w:tc>
          <w:tcPr>
            <w:tcW w:w="2100" w:type="dxa"/>
            <w:vAlign w:val="bottom"/>
            <w:tcBorders>
              <w:left w:val="single" w:sz="8" w:color="auto"/>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right="760"/>
        <w:spacing w:after="0" w:line="298" w:lineRule="auto"/>
        <w:rPr>
          <w:sz w:val="20"/>
          <w:szCs w:val="20"/>
          <w:color w:val="auto"/>
        </w:rPr>
      </w:pPr>
      <w:r>
        <w:rPr>
          <w:rFonts w:ascii="Times New Roman" w:cs="Times New Roman" w:eastAsia="Times New Roman" w:hAnsi="Times New Roman"/>
          <w:sz w:val="16"/>
          <w:szCs w:val="16"/>
          <w:color w:val="auto"/>
        </w:rPr>
        <w:t>**If actual performance of any performance metric falls between Threshold and Target or between Target and Maximum, the payout percentage for that performance metric will determined by straight-line interpolation.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Exhibit A to Long-Term Performance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010202"/>
        </w:rPr>
        <w:t>Insider Trading Policy</w:t>
      </w:r>
    </w:p>
    <w:p>
      <w:pPr>
        <w:sectPr>
          <w:pgSz w:w="11900" w:h="16838" w:orient="portrait"/>
          <w:cols w:equalWidth="0" w:num="1">
            <w:col w:w="11240"/>
          </w:cols>
          <w:pgMar w:left="320" w:top="1440" w:right="339" w:bottom="1440" w:gutter="0" w:footer="0" w:header="0"/>
        </w:sect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Introduction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General Policies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both"/>
        <w:ind w:right="220"/>
        <w:spacing w:after="0" w:line="231" w:lineRule="auto"/>
        <w:rPr>
          <w:sz w:val="20"/>
          <w:szCs w:val="20"/>
          <w:color w:val="auto"/>
        </w:rPr>
      </w:pPr>
      <w:r>
        <w:rPr>
          <w:rFonts w:ascii="Arial" w:cs="Arial" w:eastAsia="Arial" w:hAnsi="Arial"/>
          <w:sz w:val="20"/>
          <w:szCs w:val="20"/>
          <w:color w:val="auto"/>
        </w:rPr>
        <w:t>In the course of performing your duties for Kirby Corporation and its subsidiaries and affiliates (collectively, the “Company,” “we” or “us”), you may, at times, have information about us or another company that is not generally available to the public. Because of your relationship with us, if you are aware of material nonpublic information about the Company, federal and state securities laws prohibit you from trading in the Company’s securities or providing material nonpublic information to others who may trade on the basis of that information. This policy addresses your obligations to the Company, to prevent actual (or even the appearance of) insider trading, and to protect our reputation for integrity and ethical conduct.</w:t>
      </w:r>
    </w:p>
    <w:p>
      <w:pPr>
        <w:spacing w:after="0" w:line="173" w:lineRule="exact"/>
        <w:rPr>
          <w:sz w:val="20"/>
          <w:szCs w:val="20"/>
          <w:color w:val="auto"/>
        </w:rPr>
      </w:pPr>
    </w:p>
    <w:p>
      <w:pPr>
        <w:jc w:val="both"/>
        <w:ind w:right="220"/>
        <w:spacing w:after="0" w:line="229" w:lineRule="auto"/>
        <w:rPr>
          <w:sz w:val="20"/>
          <w:szCs w:val="20"/>
          <w:color w:val="auto"/>
        </w:rPr>
      </w:pPr>
      <w:r>
        <w:rPr>
          <w:rFonts w:ascii="Arial" w:cs="Arial" w:eastAsia="Arial" w:hAnsi="Arial"/>
          <w:sz w:val="20"/>
          <w:szCs w:val="20"/>
          <w:color w:val="auto"/>
        </w:rPr>
        <w:t>This policy applies to all directors, officers and employees of the Company, as well as their family members or other persons with whom they have a relationship or who are under their influence or control, as described below. Certain additional restrictions apply to directors, executive officers and certain key employees of the Company. Those restrictions are further described in a separate supplemental policy that is distributed to the persons affected.</w:t>
      </w:r>
    </w:p>
    <w:p>
      <w:pPr>
        <w:spacing w:after="0" w:line="1" w:lineRule="exact"/>
        <w:rPr>
          <w:sz w:val="20"/>
          <w:szCs w:val="20"/>
          <w:color w:val="auto"/>
        </w:rPr>
      </w:pPr>
    </w:p>
    <w:p>
      <w:pPr>
        <w:jc w:val="both"/>
        <w:ind w:right="220"/>
        <w:spacing w:after="0" w:line="228" w:lineRule="auto"/>
        <w:rPr>
          <w:sz w:val="20"/>
          <w:szCs w:val="20"/>
          <w:color w:val="auto"/>
        </w:rPr>
      </w:pPr>
      <w:r>
        <w:rPr>
          <w:rFonts w:ascii="Arial" w:cs="Arial" w:eastAsia="Arial" w:hAnsi="Arial"/>
          <w:sz w:val="20"/>
          <w:szCs w:val="20"/>
          <w:color w:val="auto"/>
        </w:rPr>
        <w:t>The purchase or sale of Company stock while in possession of material nonpublic information, as well as the disclosure of material nonpublic information to others who then trade in Company stock, are prohibited by the federal securities laws. Insider trading violations are pursued vigorously by the government and the possible civil and criminal penalties can be severe. While the regulatory authorities concentrate their efforts on the individuals who trade, or who tip inside information to others who trade, the federal securities laws also impose potential liability on companies and their supervisory personnel if they fail to take reasonable steps to prevent insider trading by Company personnel.</w:t>
      </w:r>
    </w:p>
    <w:p>
      <w:pPr>
        <w:spacing w:after="0" w:line="178" w:lineRule="exact"/>
        <w:rPr>
          <w:sz w:val="20"/>
          <w:szCs w:val="20"/>
          <w:color w:val="auto"/>
        </w:rPr>
      </w:pPr>
    </w:p>
    <w:p>
      <w:pPr>
        <w:jc w:val="both"/>
        <w:ind w:right="220"/>
        <w:spacing w:after="0" w:line="241" w:lineRule="auto"/>
        <w:rPr>
          <w:sz w:val="20"/>
          <w:szCs w:val="20"/>
          <w:color w:val="auto"/>
        </w:rPr>
      </w:pPr>
      <w:r>
        <w:rPr>
          <w:rFonts w:ascii="Arial" w:cs="Arial" w:eastAsia="Arial" w:hAnsi="Arial"/>
          <w:sz w:val="20"/>
          <w:szCs w:val="20"/>
          <w:color w:val="auto"/>
        </w:rPr>
        <w:t>In addition, an employee’s failure to comply with the Company’s Insider Trading Policy may subject the employee to Company-imposed sanctions, including termination of employment, whether or not the employee’s failure to comply results in a violation of law.</w:t>
      </w:r>
    </w:p>
    <w:p>
      <w:pPr>
        <w:spacing w:after="0" w:line="171" w:lineRule="exact"/>
        <w:rPr>
          <w:sz w:val="20"/>
          <w:szCs w:val="20"/>
          <w:color w:val="auto"/>
        </w:rPr>
      </w:pPr>
    </w:p>
    <w:p>
      <w:pPr>
        <w:jc w:val="both"/>
        <w:ind w:right="220"/>
        <w:spacing w:after="0" w:line="233" w:lineRule="auto"/>
        <w:rPr>
          <w:sz w:val="20"/>
          <w:szCs w:val="20"/>
          <w:color w:val="auto"/>
        </w:rPr>
      </w:pPr>
      <w:r>
        <w:rPr>
          <w:rFonts w:ascii="Arial" w:cs="Arial" w:eastAsia="Arial" w:hAnsi="Arial"/>
          <w:sz w:val="20"/>
          <w:szCs w:val="20"/>
          <w:color w:val="auto"/>
        </w:rPr>
        <w:t>The Company has adopted this Insider Trading Policy to satisfy the Company’s obligation to take steps to prevent insider trading, to help Company employees avoid the severe consequences associated with violations of the insider trading laws and to preserve the Company’s reputation for integrity and ethical conduct, particularly in relation to the public market for its securities. Questions about a proposed transaction in Company stock should be directed to the Chief Financial Officer, Vice President and Controller, or Executive Vice President, General Counsel and Secretary.</w:t>
      </w:r>
    </w:p>
    <w:p>
      <w:pPr>
        <w:spacing w:after="0" w:line="185" w:lineRule="exact"/>
        <w:rPr>
          <w:sz w:val="20"/>
          <w:szCs w:val="20"/>
          <w:color w:val="auto"/>
        </w:rPr>
      </w:pPr>
    </w:p>
    <w:p>
      <w:pPr>
        <w:sectPr>
          <w:pgSz w:w="11900" w:h="16838" w:orient="portrait"/>
          <w:cols w:equalWidth="0" w:num="2">
            <w:col w:w="1540" w:space="500"/>
            <w:col w:w="920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40"/>
        <w:spacing w:after="0"/>
        <w:rPr>
          <w:sz w:val="20"/>
          <w:szCs w:val="20"/>
          <w:color w:val="auto"/>
        </w:rPr>
      </w:pPr>
      <w:r>
        <w:rPr>
          <w:rFonts w:ascii="Arial" w:cs="Arial" w:eastAsia="Arial" w:hAnsi="Arial"/>
          <w:sz w:val="22"/>
          <w:szCs w:val="22"/>
          <w:b w:val="1"/>
          <w:bCs w:val="1"/>
          <w:u w:val="single" w:color="auto"/>
          <w:color w:val="010202"/>
        </w:rPr>
        <w:t>No Trading While in Possession of Material Nonpublic Information</w:t>
      </w:r>
    </w:p>
    <w:p>
      <w:pPr>
        <w:spacing w:after="0" w:line="213" w:lineRule="exact"/>
        <w:rPr>
          <w:sz w:val="20"/>
          <w:szCs w:val="20"/>
          <w:color w:val="auto"/>
        </w:rPr>
      </w:pPr>
    </w:p>
    <w:p>
      <w:pPr>
        <w:jc w:val="both"/>
        <w:ind w:left="2040" w:right="160"/>
        <w:spacing w:after="0" w:line="232" w:lineRule="auto"/>
        <w:rPr>
          <w:sz w:val="20"/>
          <w:szCs w:val="20"/>
          <w:color w:val="auto"/>
        </w:rPr>
      </w:pPr>
      <w:r>
        <w:rPr>
          <w:rFonts w:ascii="Arial" w:cs="Arial" w:eastAsia="Arial" w:hAnsi="Arial"/>
          <w:sz w:val="20"/>
          <w:szCs w:val="20"/>
          <w:color w:val="010202"/>
        </w:rPr>
        <w:t>Company employees who are aware of material nonpublic information relating to the Company may not, directly or through family members or other persons or entities, (a) buy or sell Company stock (other than pursuant to a preapproved trading plan that complies with SEC Rule 10b5-1), or engage in any other action to take personal advantage of that information, or (b) pass that information on to others outside the Company, including family and friends. If you disclose material nonpublic information to another person who then trades in Company stock, you are subject to the same penalties as the person trading, even if you receive no personal benefit.</w:t>
      </w:r>
    </w:p>
    <w:p>
      <w:pPr>
        <w:spacing w:after="0" w:line="156" w:lineRule="exact"/>
        <w:rPr>
          <w:sz w:val="20"/>
          <w:szCs w:val="20"/>
          <w:color w:val="auto"/>
        </w:rPr>
      </w:pPr>
    </w:p>
    <w:p>
      <w:pPr>
        <w:ind w:left="2040" w:right="3460"/>
        <w:spacing w:after="0" w:line="451" w:lineRule="auto"/>
        <w:rPr>
          <w:sz w:val="20"/>
          <w:szCs w:val="20"/>
          <w:color w:val="auto"/>
        </w:rPr>
      </w:pPr>
      <w:r>
        <w:rPr>
          <w:rFonts w:ascii="Arial" w:cs="Arial" w:eastAsia="Arial" w:hAnsi="Arial"/>
          <w:sz w:val="20"/>
          <w:szCs w:val="20"/>
          <w:b w:val="1"/>
          <w:bCs w:val="1"/>
          <w:u w:val="single" w:color="auto"/>
          <w:color w:val="auto"/>
        </w:rPr>
        <w:t xml:space="preserve">Guidance on Understanding Material, Nonpublic Information </w:t>
      </w:r>
      <w:r>
        <w:rPr>
          <w:rFonts w:ascii="Arial" w:cs="Arial" w:eastAsia="Arial" w:hAnsi="Arial"/>
          <w:sz w:val="20"/>
          <w:szCs w:val="20"/>
          <w:b w:val="1"/>
          <w:bCs w:val="1"/>
          <w:i w:val="1"/>
          <w:iCs w:val="1"/>
          <w:color w:val="auto"/>
        </w:rPr>
        <w:t>What information is “material”?</w:t>
      </w:r>
    </w:p>
    <w:p>
      <w:pPr>
        <w:spacing w:after="0" w:line="2" w:lineRule="exact"/>
        <w:rPr>
          <w:sz w:val="20"/>
          <w:szCs w:val="20"/>
          <w:color w:val="auto"/>
        </w:rPr>
      </w:pPr>
    </w:p>
    <w:p>
      <w:pPr>
        <w:jc w:val="both"/>
        <w:ind w:left="2040" w:right="160"/>
        <w:spacing w:after="0" w:line="230" w:lineRule="auto"/>
        <w:rPr>
          <w:sz w:val="20"/>
          <w:szCs w:val="20"/>
          <w:color w:val="auto"/>
        </w:rPr>
      </w:pPr>
      <w:r>
        <w:rPr>
          <w:rFonts w:ascii="Arial" w:cs="Arial" w:eastAsia="Arial" w:hAnsi="Arial"/>
          <w:sz w:val="20"/>
          <w:szCs w:val="20"/>
          <w:color w:val="auto"/>
        </w:rPr>
        <w:t>Material information is any information that a reasonable investor would consider important in making a decision to buy, hold, or sell securities. Any information that could be expected to affect a company’s stock price, whether it is positive or negative, should be considered material. Some examples of information that ordinarily would be regarded as material are:</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projections of future earnings or losses or other earnings guidance,</w:t>
      </w:r>
    </w:p>
    <w:p>
      <w:pPr>
        <w:ind w:left="2940" w:right="180" w:hanging="592"/>
        <w:spacing w:after="0" w:line="225" w:lineRule="auto"/>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earnings that are inconsistent with the consensus expectations of the investment community,</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a pending or proposed merger, acquisition or tender offer,</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a pending or proposed acquisition or disposition of a significant asset,</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the gain or loss of a significant customer or supplier or a significant contract,</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significant litigation or governmental investigation,</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a change in dividend policy, the declaration of a stock split or an offering of securities, or</w:t>
      </w:r>
    </w:p>
    <w:p>
      <w:pPr>
        <w:ind w:left="2940" w:hanging="592"/>
        <w:spacing w:after="0"/>
        <w:tabs>
          <w:tab w:leader="none" w:pos="29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a major change in management.</w:t>
      </w:r>
    </w:p>
    <w:p>
      <w:pPr>
        <w:spacing w:after="0" w:line="198" w:lineRule="exact"/>
        <w:rPr>
          <w:sz w:val="20"/>
          <w:szCs w:val="20"/>
          <w:color w:val="auto"/>
        </w:rPr>
      </w:pPr>
    </w:p>
    <w:p>
      <w:pPr>
        <w:ind w:left="2040"/>
        <w:spacing w:after="0"/>
        <w:rPr>
          <w:sz w:val="20"/>
          <w:szCs w:val="20"/>
          <w:color w:val="auto"/>
        </w:rPr>
      </w:pPr>
      <w:r>
        <w:rPr>
          <w:rFonts w:ascii="Arial" w:cs="Arial" w:eastAsia="Arial" w:hAnsi="Arial"/>
          <w:sz w:val="20"/>
          <w:szCs w:val="20"/>
          <w:b w:val="1"/>
          <w:bCs w:val="1"/>
          <w:i w:val="1"/>
          <w:iCs w:val="1"/>
          <w:color w:val="auto"/>
        </w:rPr>
        <w:t>When information Is “public”</w:t>
      </w:r>
    </w:p>
    <w:p>
      <w:pPr>
        <w:spacing w:after="0" w:line="202" w:lineRule="exact"/>
        <w:rPr>
          <w:sz w:val="20"/>
          <w:szCs w:val="20"/>
          <w:color w:val="auto"/>
        </w:rPr>
      </w:pPr>
    </w:p>
    <w:p>
      <w:pPr>
        <w:jc w:val="both"/>
        <w:ind w:left="2040" w:right="160"/>
        <w:spacing w:after="0" w:line="231" w:lineRule="auto"/>
        <w:rPr>
          <w:sz w:val="20"/>
          <w:szCs w:val="20"/>
          <w:color w:val="auto"/>
        </w:rPr>
      </w:pPr>
      <w:r>
        <w:rPr>
          <w:rFonts w:ascii="Arial" w:cs="Arial" w:eastAsia="Arial" w:hAnsi="Arial"/>
          <w:sz w:val="20"/>
          <w:szCs w:val="20"/>
          <w:color w:val="auto"/>
        </w:rPr>
        <w:t>If you are aware of material nonpublic information, you may not trade until the information has been disclosed broadly to the marketplace (such as by press release or an SEC filing) and the investing public has had time to absorb the information fully. To avoid the appearance of impropriety, generally, information should not be considered fully absorbed by the marketplace until the second full business day after the information is released. For example, if the Company makes an announcement before the market opens on a Monday, an employee should not trade in Company stock until Tuesday. If the announcement is made after the market opens on a Monday, an employee should not trade in Company stock until Wednesday. Disclosure of material nonpublic information whether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left="2040" w:right="160"/>
        <w:spacing w:after="0" w:line="237" w:lineRule="auto"/>
        <w:rPr>
          <w:sz w:val="20"/>
          <w:szCs w:val="20"/>
          <w:color w:val="auto"/>
        </w:rPr>
      </w:pPr>
      <w:r>
        <w:rPr>
          <w:rFonts w:ascii="Arial" w:cs="Arial" w:eastAsia="Arial" w:hAnsi="Arial"/>
          <w:sz w:val="20"/>
          <w:szCs w:val="20"/>
          <w:color w:val="auto"/>
        </w:rPr>
        <w:t>orally, in writing or via social media is prohibited without prior authorization of the Company’s Chief Executive Officer, Chief Financial Officer, or Executive Vice President, General Counsel and Secretary, and in the event of such disclosure, contact the Executive Vice President, General Counsel and Secretary immediately for further guidance.</w:t>
      </w:r>
    </w:p>
    <w:p>
      <w:pPr>
        <w:spacing w:after="0" w:line="170" w:lineRule="exact"/>
        <w:rPr>
          <w:sz w:val="20"/>
          <w:szCs w:val="20"/>
          <w:color w:val="auto"/>
        </w:rPr>
      </w:pPr>
    </w:p>
    <w:p>
      <w:pPr>
        <w:jc w:val="both"/>
        <w:ind w:left="2040" w:right="160"/>
        <w:spacing w:after="0" w:line="231" w:lineRule="auto"/>
        <w:rPr>
          <w:sz w:val="20"/>
          <w:szCs w:val="20"/>
          <w:color w:val="auto"/>
        </w:rPr>
      </w:pPr>
      <w:r>
        <w:rPr>
          <w:rFonts w:ascii="Arial" w:cs="Arial" w:eastAsia="Arial" w:hAnsi="Arial"/>
          <w:sz w:val="20"/>
          <w:szCs w:val="20"/>
          <w:b w:val="1"/>
          <w:bCs w:val="1"/>
          <w:u w:val="single" w:color="auto"/>
          <w:color w:val="auto"/>
        </w:rPr>
        <w:t>Rule 10b5-1 Plans</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Act Rule 10b5-1 provides affirmative defenses for corporate insiders</w:t>
      </w:r>
      <w:r>
        <w:rPr>
          <w:rFonts w:ascii="Arial" w:cs="Arial" w:eastAsia="Arial" w:hAnsi="Arial"/>
          <w:sz w:val="20"/>
          <w:szCs w:val="20"/>
          <w:b w:val="1"/>
          <w:bCs w:val="1"/>
          <w:color w:val="auto"/>
        </w:rPr>
        <w:t xml:space="preserve"> </w:t>
      </w:r>
      <w:r>
        <w:rPr>
          <w:rFonts w:ascii="Arial" w:cs="Arial" w:eastAsia="Arial" w:hAnsi="Arial"/>
          <w:sz w:val="20"/>
          <w:szCs w:val="20"/>
          <w:color w:val="auto"/>
        </w:rPr>
        <w:t>and companies to buy and sell company stock as long as the trading plans (“10b5-1 plans”) are adopted in good faith before becoming aware of material nonpublic information. Within five business days of becoming a Company director, officer, or key employee and thereafter, so long as the individual remains a Company director, officer, or key employee, at least ten business days prior to the effective date of any subsequently adopted 10b5-1 plan or amendment to any existing 10b5-1 plan, the director, officer, or key employee shall be required to notify the Director of Financial Reporting and provide the following information:</w:t>
      </w:r>
    </w:p>
    <w:p>
      <w:pPr>
        <w:spacing w:after="0" w:line="175" w:lineRule="exact"/>
        <w:rPr>
          <w:sz w:val="20"/>
          <w:szCs w:val="20"/>
          <w:color w:val="auto"/>
        </w:rPr>
      </w:pPr>
    </w:p>
    <w:p>
      <w:pPr>
        <w:ind w:left="2640" w:hanging="292"/>
        <w:spacing w:after="0"/>
        <w:tabs>
          <w:tab w:leader="none" w:pos="26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20"/>
          <w:szCs w:val="20"/>
          <w:color w:val="auto"/>
        </w:rPr>
        <w:t>a description of the material terms of each 10b5-1 plan or amendment thereto;</w:t>
      </w:r>
    </w:p>
    <w:p>
      <w:pPr>
        <w:spacing w:after="0" w:line="17" w:lineRule="exact"/>
        <w:rPr>
          <w:rFonts w:ascii="Times New Roman" w:cs="Times New Roman" w:eastAsia="Times New Roman" w:hAnsi="Times New Roman"/>
          <w:sz w:val="18"/>
          <w:szCs w:val="18"/>
          <w:color w:val="auto"/>
        </w:rPr>
      </w:pPr>
    </w:p>
    <w:p>
      <w:pPr>
        <w:ind w:left="2640" w:hanging="292"/>
        <w:spacing w:after="0"/>
        <w:tabs>
          <w:tab w:leader="none" w:pos="26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20"/>
          <w:szCs w:val="20"/>
          <w:color w:val="auto"/>
        </w:rPr>
        <w:t>the date the 10b5-1 plan was or is intended to be adopted, amended, or terminated;</w:t>
      </w:r>
    </w:p>
    <w:p>
      <w:pPr>
        <w:ind w:left="2640" w:hanging="292"/>
        <w:spacing w:after="0"/>
        <w:tabs>
          <w:tab w:leader="none" w:pos="26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20"/>
          <w:szCs w:val="20"/>
          <w:color w:val="auto"/>
        </w:rPr>
        <w:t>the 10b5-1 plan’s duration; and</w:t>
      </w:r>
    </w:p>
    <w:p>
      <w:pPr>
        <w:ind w:left="2640" w:hanging="292"/>
        <w:spacing w:after="0"/>
        <w:tabs>
          <w:tab w:leader="none" w:pos="264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20"/>
          <w:szCs w:val="20"/>
          <w:color w:val="auto"/>
        </w:rPr>
        <w:t>the total amount of securities to be purchased or sold under the 10b5-1 plan.</w:t>
      </w:r>
    </w:p>
    <w:p>
      <w:pPr>
        <w:spacing w:after="0" w:line="198" w:lineRule="exact"/>
        <w:rPr>
          <w:sz w:val="20"/>
          <w:szCs w:val="20"/>
          <w:color w:val="auto"/>
        </w:rPr>
      </w:pPr>
    </w:p>
    <w:p>
      <w:pPr>
        <w:jc w:val="both"/>
        <w:ind w:left="2040" w:right="160"/>
        <w:spacing w:after="0" w:line="234" w:lineRule="auto"/>
        <w:rPr>
          <w:sz w:val="20"/>
          <w:szCs w:val="20"/>
          <w:color w:val="auto"/>
        </w:rPr>
      </w:pPr>
      <w:r>
        <w:rPr>
          <w:rFonts w:ascii="Arial" w:cs="Arial" w:eastAsia="Arial" w:hAnsi="Arial"/>
          <w:sz w:val="20"/>
          <w:szCs w:val="20"/>
          <w:color w:val="auto"/>
        </w:rPr>
        <w:t>The Company defines key employees as those who are included in Blackout Period communications. Individuals who are directors, officers, or key employees of the Company shall be required to certify compliance with all 10b5-1 SEC rules or regulations for any then existing 10b5-1 plans at the time the individual first becomes a director, officer, or key employee, as well as at the time of adoption of new 10b5-1 plans or amendments to existing 10b5-1 plans.</w:t>
      </w:r>
    </w:p>
    <w:p>
      <w:pPr>
        <w:spacing w:after="0" w:line="175" w:lineRule="exact"/>
        <w:rPr>
          <w:sz w:val="20"/>
          <w:szCs w:val="20"/>
          <w:color w:val="auto"/>
        </w:rPr>
      </w:pPr>
    </w:p>
    <w:p>
      <w:pPr>
        <w:jc w:val="both"/>
        <w:ind w:left="2040" w:right="160"/>
        <w:spacing w:after="0" w:line="241" w:lineRule="auto"/>
        <w:rPr>
          <w:sz w:val="20"/>
          <w:szCs w:val="20"/>
          <w:color w:val="auto"/>
        </w:rPr>
      </w:pPr>
      <w:r>
        <w:rPr>
          <w:rFonts w:ascii="Arial" w:cs="Arial" w:eastAsia="Arial" w:hAnsi="Arial"/>
          <w:sz w:val="20"/>
          <w:szCs w:val="20"/>
          <w:color w:val="auto"/>
        </w:rPr>
        <w:t>A Company director, officer, or key employee shall be required to provide a final copy of the 10b5-1 plan or 10b5-1 plan amendment to the Director of Financial Reporting on or before the effective date thereof.</w:t>
      </w:r>
    </w:p>
    <w:p>
      <w:pPr>
        <w:spacing w:after="0" w:line="171" w:lineRule="exact"/>
        <w:rPr>
          <w:sz w:val="20"/>
          <w:szCs w:val="20"/>
          <w:color w:val="auto"/>
        </w:rPr>
      </w:pPr>
    </w:p>
    <w:p>
      <w:pPr>
        <w:jc w:val="both"/>
        <w:ind w:left="2040" w:right="160"/>
        <w:spacing w:after="0" w:line="228" w:lineRule="auto"/>
        <w:rPr>
          <w:sz w:val="20"/>
          <w:szCs w:val="20"/>
          <w:color w:val="auto"/>
        </w:rPr>
      </w:pPr>
      <w:r>
        <w:rPr>
          <w:rFonts w:ascii="Arial" w:cs="Arial" w:eastAsia="Arial" w:hAnsi="Arial"/>
          <w:sz w:val="20"/>
          <w:szCs w:val="20"/>
          <w:color w:val="auto"/>
        </w:rPr>
        <w:t>To the extent the Director of Financial Reporting has the relevant information about a current, prospective, or amendment to a 10b5-1 plan, he or she shall advise the director, officer, or employee of the applicable cooling off period in connection with the adoption of a new 10b5-1 plan or amendment to an existing 10b5-1 plan. Generally, the cooling off period for directors and executive officers is 90 to 120 days from the adoption or modification of the 10b5-1 plan, and 30 days for other individuals.</w:t>
      </w:r>
    </w:p>
    <w:p>
      <w:pPr>
        <w:spacing w:after="0" w:line="3" w:lineRule="exact"/>
        <w:rPr>
          <w:sz w:val="20"/>
          <w:szCs w:val="20"/>
          <w:color w:val="auto"/>
        </w:rPr>
      </w:pPr>
    </w:p>
    <w:p>
      <w:pPr>
        <w:ind w:left="2040" w:right="160"/>
        <w:spacing w:after="0" w:line="239" w:lineRule="auto"/>
        <w:rPr>
          <w:sz w:val="20"/>
          <w:szCs w:val="20"/>
          <w:color w:val="auto"/>
        </w:rPr>
      </w:pPr>
      <w:r>
        <w:rPr>
          <w:rFonts w:ascii="Arial" w:cs="Arial" w:eastAsia="Arial" w:hAnsi="Arial"/>
          <w:sz w:val="20"/>
          <w:szCs w:val="20"/>
          <w:color w:val="auto"/>
        </w:rPr>
        <w:t>For purposes of this Insider Trading Policy, executive officer has the meaning of “officer” in 17 CFR 240.16a-1(f) which currently reads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2480" w:right="160"/>
        <w:spacing w:after="0" w:line="242" w:lineRule="auto"/>
        <w:rPr>
          <w:sz w:val="20"/>
          <w:szCs w:val="20"/>
          <w:color w:val="auto"/>
        </w:rPr>
      </w:pPr>
      <w:r>
        <w:rPr>
          <w:rFonts w:ascii="Arial" w:cs="Arial" w:eastAsia="Arial" w:hAnsi="Arial"/>
          <w:sz w:val="19"/>
          <w:szCs w:val="19"/>
          <w:color w:val="auto"/>
        </w:rPr>
        <w:t>“The term “officer” shall mean an issuer's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Officers of the issuer's parent(s) or subsidiaries shall be deemed officers of the issuer if they perform such policy-making functions for the issuer. In addition, when the issuer is a limited partnership, officers or employees of the general partner(s) who perform policy-making functions for the limited partnership are deemed officers of the limited partnership. When the issuer is a trust, officers or employees of the trustee(s) who perform policy-making functions for the trust are deemed officers of the trust.”</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This paragraph of the Company’s Insider Trading Policy was effective May 15, 2023.</w:t>
      </w:r>
    </w:p>
    <w:p>
      <w:pPr>
        <w:spacing w:after="0" w:line="200" w:lineRule="exact"/>
        <w:rPr>
          <w:sz w:val="20"/>
          <w:szCs w:val="20"/>
          <w:color w:val="auto"/>
        </w:rPr>
      </w:pPr>
    </w:p>
    <w:p>
      <w:pPr>
        <w:jc w:val="both"/>
        <w:ind w:left="2040" w:right="160"/>
        <w:spacing w:after="0" w:line="237" w:lineRule="auto"/>
        <w:rPr>
          <w:sz w:val="20"/>
          <w:szCs w:val="20"/>
          <w:color w:val="auto"/>
        </w:rPr>
      </w:pPr>
      <w:r>
        <w:rPr>
          <w:rFonts w:ascii="Arial" w:cs="Arial" w:eastAsia="Arial" w:hAnsi="Arial"/>
          <w:sz w:val="20"/>
          <w:szCs w:val="20"/>
          <w:b w:val="1"/>
          <w:bCs w:val="1"/>
          <w:u w:val="single" w:color="auto"/>
          <w:color w:val="auto"/>
        </w:rPr>
        <w:t>Transactions by Family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This Insider Trading Policy also applies to your family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who reside with you, anyone else who lives in your household and any family members who do not live in your household but whose transactions in Company stock are directed by you or are subject to your influence or control.</w:t>
      </w:r>
    </w:p>
    <w:p>
      <w:pPr>
        <w:spacing w:after="0" w:line="172" w:lineRule="exact"/>
        <w:rPr>
          <w:sz w:val="20"/>
          <w:szCs w:val="20"/>
          <w:color w:val="auto"/>
        </w:rPr>
      </w:pPr>
    </w:p>
    <w:p>
      <w:pPr>
        <w:jc w:val="both"/>
        <w:ind w:left="2040" w:right="160"/>
        <w:spacing w:after="0" w:line="232" w:lineRule="auto"/>
        <w:rPr>
          <w:sz w:val="20"/>
          <w:szCs w:val="20"/>
          <w:color w:val="auto"/>
        </w:rPr>
      </w:pPr>
      <w:r>
        <w:rPr>
          <w:rFonts w:ascii="Arial" w:cs="Arial" w:eastAsia="Arial" w:hAnsi="Arial"/>
          <w:sz w:val="20"/>
          <w:szCs w:val="20"/>
          <w:b w:val="1"/>
          <w:bCs w:val="1"/>
          <w:u w:val="single" w:color="auto"/>
          <w:color w:val="auto"/>
        </w:rPr>
        <w:t>Blackout periods.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designated Blackout periods, the individuals who receive such</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communications are not permitted to buy or sell Kirby stock, change the percentage of their periodic contributions that will be allocated to the Company’s stock fund and an election to make a transfer of an existing account balance into or out of the Company’s stock fund. In addition, during Blackout periods, individuals who receive such communications can exercise stock options by cash payment or withholding stock from an award, but cannot sell Kirby stock (including in a broker assisted cashless exercise).</w:t>
      </w:r>
    </w:p>
    <w:p>
      <w:pPr>
        <w:spacing w:after="0" w:line="172" w:lineRule="exact"/>
        <w:rPr>
          <w:sz w:val="20"/>
          <w:szCs w:val="20"/>
          <w:color w:val="auto"/>
        </w:rPr>
      </w:pPr>
    </w:p>
    <w:p>
      <w:pPr>
        <w:ind w:left="2040"/>
        <w:spacing w:after="0"/>
        <w:rPr>
          <w:sz w:val="20"/>
          <w:szCs w:val="20"/>
          <w:color w:val="auto"/>
        </w:rPr>
      </w:pPr>
      <w:r>
        <w:rPr>
          <w:rFonts w:ascii="Arial" w:cs="Arial" w:eastAsia="Arial" w:hAnsi="Arial"/>
          <w:sz w:val="20"/>
          <w:szCs w:val="20"/>
          <w:b w:val="1"/>
          <w:bCs w:val="1"/>
          <w:u w:val="single" w:color="auto"/>
          <w:color w:val="auto"/>
        </w:rPr>
        <w:t>Transactions Under Company Plans</w:t>
      </w:r>
    </w:p>
    <w:p>
      <w:pPr>
        <w:spacing w:after="0" w:line="204" w:lineRule="exact"/>
        <w:rPr>
          <w:sz w:val="20"/>
          <w:szCs w:val="20"/>
          <w:color w:val="auto"/>
        </w:rPr>
      </w:pPr>
    </w:p>
    <w:p>
      <w:pPr>
        <w:jc w:val="both"/>
        <w:ind w:left="2040" w:right="160"/>
        <w:spacing w:after="0" w:line="228" w:lineRule="auto"/>
        <w:rPr>
          <w:sz w:val="20"/>
          <w:szCs w:val="20"/>
          <w:color w:val="auto"/>
        </w:rPr>
      </w:pPr>
      <w:r>
        <w:rPr>
          <w:rFonts w:ascii="Arial" w:cs="Arial" w:eastAsia="Arial" w:hAnsi="Arial"/>
          <w:sz w:val="20"/>
          <w:szCs w:val="20"/>
          <w:i w:val="1"/>
          <w:iCs w:val="1"/>
          <w:u w:val="single" w:color="auto"/>
          <w:color w:val="auto"/>
        </w:rPr>
        <w:t>Stock option exercises.</w:t>
      </w:r>
      <w:r>
        <w:rPr>
          <w:rFonts w:ascii="Arial" w:cs="Arial" w:eastAsia="Arial" w:hAnsi="Arial"/>
          <w:sz w:val="20"/>
          <w:szCs w:val="20"/>
          <w:i w:val="1"/>
          <w:iCs w:val="1"/>
          <w:color w:val="auto"/>
        </w:rPr>
        <w:t xml:space="preserve"> </w:t>
      </w:r>
      <w:r>
        <w:rPr>
          <w:rFonts w:ascii="Arial" w:cs="Arial" w:eastAsia="Arial" w:hAnsi="Arial"/>
          <w:sz w:val="20"/>
          <w:szCs w:val="20"/>
          <w:color w:val="auto"/>
        </w:rPr>
        <w:t>This Insider Trading Policy does not apply to the exercise of an employee</w:t>
      </w:r>
      <w:r>
        <w:rPr>
          <w:rFonts w:ascii="Arial" w:cs="Arial" w:eastAsia="Arial" w:hAnsi="Arial"/>
          <w:sz w:val="20"/>
          <w:szCs w:val="20"/>
          <w:i w:val="1"/>
          <w:iCs w:val="1"/>
          <w:color w:val="auto"/>
        </w:rPr>
        <w:t xml:space="preserve"> </w:t>
      </w:r>
      <w:r>
        <w:rPr>
          <w:rFonts w:ascii="Arial" w:cs="Arial" w:eastAsia="Arial" w:hAnsi="Arial"/>
          <w:sz w:val="20"/>
          <w:szCs w:val="20"/>
          <w:color w:val="auto"/>
        </w:rPr>
        <w:t>stock option, including the use of shares to pay the exercise price or the use of shares subject to an option or shares of restricted stock to satisfy tax- withholding requirements. The policy does apply, however, to any sales of stock as part of a broker-assisted cashless exercise of an option, or any other market sale to generating the cash needed to pay the exercise price of an option or taxes on the exercise of an option or the vesting of restricted stock while you are in possession of nonpublic material information.</w:t>
      </w:r>
    </w:p>
    <w:p>
      <w:pPr>
        <w:spacing w:after="0" w:line="1" w:lineRule="exact"/>
        <w:rPr>
          <w:sz w:val="20"/>
          <w:szCs w:val="20"/>
          <w:color w:val="auto"/>
        </w:rPr>
      </w:pPr>
    </w:p>
    <w:p>
      <w:pPr>
        <w:jc w:val="both"/>
        <w:ind w:left="2040" w:right="160"/>
        <w:spacing w:after="0" w:line="239" w:lineRule="auto"/>
        <w:rPr>
          <w:sz w:val="20"/>
          <w:szCs w:val="20"/>
          <w:color w:val="auto"/>
        </w:rPr>
      </w:pPr>
      <w:r>
        <w:rPr>
          <w:rFonts w:ascii="Arial" w:cs="Arial" w:eastAsia="Arial" w:hAnsi="Arial"/>
          <w:sz w:val="20"/>
          <w:szCs w:val="20"/>
          <w:i w:val="1"/>
          <w:iCs w:val="1"/>
          <w:u w:val="single" w:color="auto"/>
          <w:color w:val="auto"/>
        </w:rPr>
        <w:t>401(k) Plan.</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Company’s Insider Trading Policy does not apply to purchases of Company stock in</w:t>
      </w:r>
      <w:r>
        <w:rPr>
          <w:rFonts w:ascii="Arial" w:cs="Arial" w:eastAsia="Arial" w:hAnsi="Arial"/>
          <w:sz w:val="20"/>
          <w:szCs w:val="20"/>
          <w:i w:val="1"/>
          <w:iCs w:val="1"/>
          <w:color w:val="auto"/>
        </w:rPr>
        <w:t xml:space="preserve"> </w:t>
      </w:r>
      <w:r>
        <w:rPr>
          <w:rFonts w:ascii="Arial" w:cs="Arial" w:eastAsia="Arial" w:hAnsi="Arial"/>
          <w:sz w:val="20"/>
          <w:szCs w:val="20"/>
          <w:color w:val="auto"/>
        </w:rPr>
        <w:t>the 401(k) plan resulting from your periodic contribution of</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7">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left="2040" w:right="160"/>
        <w:spacing w:after="0" w:line="234" w:lineRule="auto"/>
        <w:rPr>
          <w:sz w:val="20"/>
          <w:szCs w:val="20"/>
          <w:color w:val="auto"/>
        </w:rPr>
      </w:pPr>
      <w:r>
        <w:rPr>
          <w:rFonts w:ascii="Arial" w:cs="Arial" w:eastAsia="Arial" w:hAnsi="Arial"/>
          <w:sz w:val="20"/>
          <w:szCs w:val="20"/>
          <w:color w:val="auto"/>
        </w:rPr>
        <w:t>money to the plan pursuant to your payroll deduction election. The policy does apply, however, to certain elections under the 401(k) plan you may make while in possession of nonpublic material information, including an election to change the percentage of your periodic contributions that will be allocated to the Company’s stock fund and an election to make a transfer of an existing account balance into or out of the Company’s stock fund.</w:t>
      </w:r>
    </w:p>
    <w:p>
      <w:pPr>
        <w:spacing w:after="0" w:line="173" w:lineRule="exact"/>
        <w:rPr>
          <w:sz w:val="20"/>
          <w:szCs w:val="20"/>
          <w:color w:val="auto"/>
        </w:rPr>
      </w:pPr>
    </w:p>
    <w:p>
      <w:pPr>
        <w:ind w:left="2040"/>
        <w:spacing w:after="0"/>
        <w:rPr>
          <w:sz w:val="20"/>
          <w:szCs w:val="20"/>
          <w:color w:val="auto"/>
        </w:rPr>
      </w:pPr>
      <w:r>
        <w:rPr>
          <w:rFonts w:ascii="Arial" w:cs="Arial" w:eastAsia="Arial" w:hAnsi="Arial"/>
          <w:sz w:val="20"/>
          <w:szCs w:val="20"/>
          <w:b w:val="1"/>
          <w:bCs w:val="1"/>
          <w:u w:val="single" w:color="auto"/>
          <w:color w:val="auto"/>
        </w:rPr>
        <w:t>Additional Prohibited Transactions</w:t>
      </w:r>
    </w:p>
    <w:p>
      <w:pPr>
        <w:spacing w:after="0" w:line="204" w:lineRule="exact"/>
        <w:rPr>
          <w:sz w:val="20"/>
          <w:szCs w:val="20"/>
          <w:color w:val="auto"/>
        </w:rPr>
      </w:pPr>
    </w:p>
    <w:p>
      <w:pPr>
        <w:jc w:val="both"/>
        <w:ind w:left="2040" w:right="160"/>
        <w:spacing w:after="0" w:line="229" w:lineRule="auto"/>
        <w:rPr>
          <w:sz w:val="20"/>
          <w:szCs w:val="20"/>
          <w:color w:val="auto"/>
        </w:rPr>
      </w:pPr>
      <w:r>
        <w:rPr>
          <w:rFonts w:ascii="Arial" w:cs="Arial" w:eastAsia="Arial" w:hAnsi="Arial"/>
          <w:sz w:val="20"/>
          <w:szCs w:val="20"/>
          <w:color w:val="auto"/>
        </w:rPr>
        <w:t>Company employees may not at any time (a) engage in short sales of Company stock (b) pledge Company stock as collateral for a loan or hold Company stock in a margin account or (c) engage in transactions involving other financial instruments that are designed to, or have the effect of, hedging or protecting against any decline in the market value of any Company stock held, directly or indirectly, by such person. Hedging transactions include, but are not limited to, prepaid variable forward contracts, equity swaps, exchange funds, short sales and puts, calls, collars or similar options to buy or sell Company stock. The preceding sentence is not an exhaustive list and this policy is intended to apply to all transactions that establish protection against a decline in the market price of Company stock regardless of possession of nonpublic material information. This prohibition does not relate to the exercise of stock options granted by the Company. Any transactions entered into prior to that date that would otherwise not be permitted by this policy may continue until they expire according to their terms, but may not be renewed or extended.</w:t>
      </w:r>
    </w:p>
    <w:p>
      <w:pPr>
        <w:spacing w:after="0" w:line="173" w:lineRule="exact"/>
        <w:rPr>
          <w:sz w:val="20"/>
          <w:szCs w:val="20"/>
          <w:color w:val="auto"/>
        </w:rPr>
      </w:pPr>
    </w:p>
    <w:p>
      <w:pPr>
        <w:jc w:val="both"/>
        <w:ind w:left="2040" w:right="160"/>
        <w:spacing w:after="0"/>
        <w:rPr>
          <w:sz w:val="20"/>
          <w:szCs w:val="20"/>
          <w:color w:val="auto"/>
        </w:rPr>
      </w:pPr>
      <w:r>
        <w:rPr>
          <w:rFonts w:ascii="Arial" w:cs="Arial" w:eastAsia="Arial" w:hAnsi="Arial"/>
          <w:sz w:val="20"/>
          <w:szCs w:val="20"/>
          <w:b w:val="1"/>
          <w:bCs w:val="1"/>
          <w:color w:val="auto"/>
        </w:rPr>
        <w:t>When in doubt, you should either consult with the Company’s Chief Financial Officer, Vice President &amp; Controller, or its Executive Vice President, General Counsel and Secretary prior to trading or assume that the information is material and nonpublic, treat it as confidential and not trade in Company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Violations of Insider Trading Laws</w:t>
      </w:r>
    </w:p>
    <w:p>
      <w:pPr>
        <w:spacing w:after="0" w:line="204" w:lineRule="exact"/>
        <w:rPr>
          <w:sz w:val="20"/>
          <w:szCs w:val="20"/>
          <w:color w:val="auto"/>
        </w:rPr>
      </w:pPr>
    </w:p>
    <w:p>
      <w:pPr>
        <w:ind w:left="1500"/>
        <w:spacing w:after="0" w:line="237" w:lineRule="auto"/>
        <w:rPr>
          <w:sz w:val="20"/>
          <w:szCs w:val="20"/>
          <w:color w:val="auto"/>
        </w:rPr>
      </w:pPr>
      <w:r>
        <w:rPr>
          <w:rFonts w:ascii="Arial" w:cs="Arial" w:eastAsia="Arial" w:hAnsi="Arial"/>
          <w:sz w:val="20"/>
          <w:szCs w:val="20"/>
          <w:color w:val="auto"/>
        </w:rPr>
        <w:t>Penalties for trading on or communicating material nonpublic information about Company stock can be severe, both for individuals involved in such unlawful conduct and their employers and supervisors, and may include imprisonment, criminal fines, civil penalties and civil enforcement injunctions. Employees who violate this Policy may be subject to disciplinary action by the Company, including termination of employment.</w:t>
      </w:r>
    </w:p>
    <w:p>
      <w:pPr>
        <w:spacing w:after="0" w:line="170"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b w:val="1"/>
          <w:bCs w:val="1"/>
          <w:color w:val="auto"/>
        </w:rPr>
        <w:t>This Insider Trading Policy reflects only your obligations to the Company with regard to trading Company stock while in possession of material nonpublic information. Federal and state securities laws may prohibit other actions that are not subject to this Insider Trading Policy, including but not limited to with regard to trading of securities of other companies. Further, such actions may violate other Company policies or obligations such as those pursuant to confidentiality or nondisclosure agreements. For questions regarding your obligations to the Company, you should consult with the Company’s Executive Vice President, General Counsel and Secretary. For other questions, you should seek advice of counsel.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500380</wp:posOffset>
            </wp:positionV>
            <wp:extent cx="1131570" cy="77152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010202"/>
        </w:rPr>
        <w:t>Supplemental Insider Trading Policy</w:t>
      </w:r>
    </w:p>
    <w:p>
      <w:pPr>
        <w:sectPr>
          <w:pgSz w:w="11900" w:h="16838" w:orient="portrait"/>
          <w:cols w:equalWidth="0" w:num="1">
            <w:col w:w="11240"/>
          </w:cols>
          <w:pgMar w:left="320" w:top="1440" w:right="339" w:bottom="1440" w:gutter="0" w:footer="0" w:header="0"/>
        </w:sect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Covered Persons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both"/>
        <w:ind w:right="100"/>
        <w:spacing w:after="0" w:line="230" w:lineRule="auto"/>
        <w:rPr>
          <w:sz w:val="20"/>
          <w:szCs w:val="20"/>
          <w:color w:val="auto"/>
        </w:rPr>
      </w:pPr>
      <w:r>
        <w:rPr>
          <w:rFonts w:ascii="Arial" w:cs="Arial" w:eastAsia="Arial" w:hAnsi="Arial"/>
          <w:sz w:val="20"/>
          <w:szCs w:val="20"/>
          <w:color w:val="auto"/>
        </w:rPr>
        <w:t>Kirby Corporation (“Kirby” or the “Company”) has adopted an Insider Trading Policy (the “Insider Trading Policy”) that applies to all directors, officers and employees of the Company and its subsidiaries and affiliates, as well as their family members or other persons with whom they have a relationship or who are under their influence or control, as described in the Insider Trading Policy, which is included in Kirby’s Business Ethics Guidelines. Kirby has also adopted this Supplemental Insider Trading Policy (the “Supplemental Policy”), which includes policies and procedures relating to transactions in Kirby securities by directors, officers and certain other persons, including procedures designed to ensure compliance with the two-day Form 4 filing requirement applicable to directors and officers.</w:t>
      </w:r>
    </w:p>
    <w:p>
      <w:pPr>
        <w:spacing w:after="0" w:line="176" w:lineRule="exact"/>
        <w:rPr>
          <w:sz w:val="20"/>
          <w:szCs w:val="20"/>
          <w:color w:val="auto"/>
        </w:rPr>
      </w:pPr>
    </w:p>
    <w:p>
      <w:pPr>
        <w:jc w:val="both"/>
        <w:ind w:right="100"/>
        <w:spacing w:after="0" w:line="243" w:lineRule="auto"/>
        <w:rPr>
          <w:sz w:val="20"/>
          <w:szCs w:val="20"/>
          <w:color w:val="auto"/>
        </w:rPr>
      </w:pPr>
      <w:r>
        <w:rPr>
          <w:rFonts w:ascii="Arial" w:cs="Arial" w:eastAsia="Arial" w:hAnsi="Arial"/>
          <w:sz w:val="19"/>
          <w:szCs w:val="19"/>
          <w:color w:val="auto"/>
        </w:rPr>
        <w:t>The persons covered by this Supplemental Policy include all directors of the Company, all officers of the Company who are reporting persons under Section 16 of the Securities Exchange Act of 1934 (the Section that requires Form 3, 4 and 5 filings) and certain other employees of Kirby, its subsidiaries, or affiliates designated from time to time by an executive officer of the Company who are expected to become aware of material nonpublic information about the Company, including those individuals who are included in blackout period communications. The Supplemental Policy also applies to family members or others who reside in the same household as a person described in the preceding sentence and family members who do not live in the same household but whose transactions in Kirby stock are directed by such person or are subject to his or her influence or control.</w:t>
      </w:r>
    </w:p>
    <w:p>
      <w:pPr>
        <w:spacing w:after="0" w:line="200" w:lineRule="exact"/>
        <w:rPr>
          <w:sz w:val="20"/>
          <w:szCs w:val="20"/>
          <w:color w:val="auto"/>
        </w:rPr>
      </w:pPr>
    </w:p>
    <w:p>
      <w:pPr>
        <w:sectPr>
          <w:pgSz w:w="11900" w:h="16838" w:orient="portrait"/>
          <w:cols w:equalWidth="0" w:num="2">
            <w:col w:w="1640" w:space="520"/>
            <w:col w:w="90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 w:right="20"/>
        <w:spacing w:after="0" w:line="257" w:lineRule="auto"/>
        <w:rPr>
          <w:sz w:val="20"/>
          <w:szCs w:val="20"/>
          <w:color w:val="auto"/>
        </w:rPr>
      </w:pPr>
      <w:r>
        <w:rPr>
          <w:rFonts w:ascii="Arial" w:cs="Arial" w:eastAsia="Arial" w:hAnsi="Arial"/>
          <w:sz w:val="20"/>
          <w:szCs w:val="20"/>
          <w:color w:val="auto"/>
        </w:rPr>
        <w:t>Insider Trading Policy</w:t>
      </w:r>
    </w:p>
    <w:p>
      <w:pPr>
        <w:spacing w:after="0" w:line="39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Preclearance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100"/>
        <w:spacing w:after="0" w:line="257" w:lineRule="auto"/>
        <w:rPr>
          <w:sz w:val="20"/>
          <w:szCs w:val="20"/>
          <w:color w:val="auto"/>
        </w:rPr>
      </w:pPr>
      <w:r>
        <w:rPr>
          <w:rFonts w:ascii="Arial" w:cs="Arial" w:eastAsia="Arial" w:hAnsi="Arial"/>
          <w:sz w:val="20"/>
          <w:szCs w:val="20"/>
          <w:color w:val="auto"/>
        </w:rPr>
        <w:t>Kirby’s Insider Trading Policy, as supplemented by this Supplemental Policy, applies to all Covered Persons.</w:t>
      </w:r>
    </w:p>
    <w:p>
      <w:pPr>
        <w:spacing w:after="0" w:line="398" w:lineRule="exact"/>
        <w:rPr>
          <w:sz w:val="20"/>
          <w:szCs w:val="20"/>
          <w:color w:val="auto"/>
        </w:rPr>
      </w:pPr>
    </w:p>
    <w:p>
      <w:pPr>
        <w:jc w:val="both"/>
        <w:ind w:right="100"/>
        <w:spacing w:after="0" w:line="242" w:lineRule="auto"/>
        <w:rPr>
          <w:sz w:val="20"/>
          <w:szCs w:val="20"/>
          <w:color w:val="auto"/>
        </w:rPr>
      </w:pPr>
      <w:r>
        <w:rPr>
          <w:rFonts w:ascii="Arial" w:cs="Arial" w:eastAsia="Arial" w:hAnsi="Arial"/>
          <w:sz w:val="19"/>
          <w:szCs w:val="19"/>
          <w:color w:val="auto"/>
        </w:rPr>
        <w:t>With limited exceptions, Section 16 reporting persons – which includes directors, officers and 10% beneficial owners of Kirby stock – must report all changes in beneficial ownership of Kirby stock on Form 4 by the end of the second business day after the date of the transaction. To ensure compliance with the Section 16 reporting requirements, as well as to help prevent any inadvertent violations of the federal securities laws or the Company’s Insider Trading Policy, the Company requires preclearance of all purchases and sales of Kirby stock or exercises of stock options by Covered Persons. Those persons should not purchase or sell Kirby stock or exercise stock options without first obtaining preclearance of the transaction from the Chief Executive Officer, Chief Financial Officer or Vice President and Controller of Kirby, except that option, restricted stock, and restricted stock unit grants by Kirby to the Covered Person, either discretionary or automatic, while subject</w:t>
      </w:r>
    </w:p>
    <w:p>
      <w:pPr>
        <w:spacing w:after="0" w:line="131" w:lineRule="exact"/>
        <w:rPr>
          <w:sz w:val="20"/>
          <w:szCs w:val="20"/>
          <w:color w:val="auto"/>
        </w:rPr>
      </w:pPr>
    </w:p>
    <w:p>
      <w:pPr>
        <w:sectPr>
          <w:pgSz w:w="11900" w:h="16838" w:orient="portrait"/>
          <w:cols w:equalWidth="0" w:num="2">
            <w:col w:w="1440" w:space="720"/>
            <w:col w:w="9080"/>
          </w:cols>
          <w:pgMar w:left="320" w:top="1440" w:right="339" w:bottom="1440" w:gutter="0" w:footer="0" w:header="0"/>
          <w:type w:val="continuous"/>
        </w:sect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500380</wp:posOffset>
            </wp:positionV>
            <wp:extent cx="1131570" cy="77152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to the two-day reporting requirement under Section 16 for Section 16 reporting persons, will not</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require preclearance. Gifts will require preclearance only during a blackout period. The preclearance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requirement also applies to an election to change the percentage of periodic contributions to the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w w:val="99"/>
              </w:rPr>
              <w:t>Company’s 401(k) Plan that will be allocated to the Kirby stock fund or transfer an existing 401(k) Plan</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w w:val="99"/>
              </w:rPr>
              <w:t>account balance into or out of the Kirby stock fund. A request for preclearance should be submitted to</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one of the designated officers at least two days before the proposed transaction date. The Company</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w w:val="99"/>
              </w:rPr>
              <w:t>will then determine whether the transaction may proceed and, if so, assist in complying with applicable</w:t>
            </w:r>
          </w:p>
        </w:tc>
      </w:tr>
      <w:tr>
        <w:trPr>
          <w:trHeight w:val="261"/>
        </w:trPr>
        <w:tc>
          <w:tcPr>
            <w:tcW w:w="172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Section 16 filing requirements.</w:t>
            </w:r>
          </w:p>
        </w:tc>
      </w:tr>
      <w:tr>
        <w:trPr>
          <w:trHeight w:val="387"/>
        </w:trPr>
        <w:tc>
          <w:tcPr>
            <w:tcW w:w="172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With regard to adoption of a new SEC Rule 10b5-1 trading plan or an amendment to an existing SEC</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Rule 10b5-1 trading plan, preclearance should be submitted to the Director of Financial Reporting at</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w w:val="98"/>
              </w:rPr>
              <w:t>least ten business days in advance along with the information outlined in and as further provided in the</w:t>
            </w:r>
          </w:p>
        </w:tc>
      </w:tr>
      <w:tr>
        <w:trPr>
          <w:trHeight w:val="261"/>
        </w:trPr>
        <w:tc>
          <w:tcPr>
            <w:tcW w:w="172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Insider Trading Policy.</w:t>
            </w:r>
          </w:p>
        </w:tc>
      </w:tr>
      <w:tr>
        <w:trPr>
          <w:trHeight w:val="387"/>
        </w:trPr>
        <w:tc>
          <w:tcPr>
            <w:tcW w:w="172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The Company is under no obligation to approve a transaction submitted for preclearance.  The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decision to buy or sell Kirby stock and compliance with insider trading laws and Company policies are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the responsibility of each Covered Person, regardless of whether or not a transaction has been</w:t>
            </w:r>
          </w:p>
        </w:tc>
      </w:tr>
      <w:tr>
        <w:trPr>
          <w:trHeight w:val="261"/>
        </w:trPr>
        <w:tc>
          <w:tcPr>
            <w:tcW w:w="172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precleared.</w:t>
            </w:r>
          </w:p>
        </w:tc>
      </w:tr>
      <w:tr>
        <w:trPr>
          <w:trHeight w:val="387"/>
        </w:trPr>
        <w:tc>
          <w:tcPr>
            <w:tcW w:w="1720" w:type="dxa"/>
            <w:vAlign w:val="bottom"/>
          </w:tcPr>
          <w:p>
            <w:pPr>
              <w:spacing w:after="0"/>
              <w:rPr>
                <w:sz w:val="24"/>
                <w:szCs w:val="24"/>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w w:val="98"/>
              </w:rPr>
              <w:t>Any person subject to the preclearance requirement who has entered into an SEC Rule 10b5-1 trading</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plan will not have to preclear transactions effected pursuant to the plan if the plan and any</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amendments thereto were adopted in accordance with applicable SEC rules and applicable Kirby</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policies and specifies the dates, prices and amounts of proposed trades or establishes a formula for</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determining the dates, prices and amounts.  Those transactions are still subject to the Form 4 filing</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requirements and should be reported immediately to the Company. Additionally, there is a cooling off</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period after the adoption of an SEC Rule 10b5-1 trading plan or an amendment thereto as further</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detailed in the Insider Trading Policy.  Generally, the cooling off period for directors and executive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officers is 90 to 120 days from the adoption or modification of the 10b5-1 plan, and 30 days for other</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individuals.  The Director of Financial Reporting shall advise the individual of cooling off period</w:t>
            </w:r>
          </w:p>
        </w:tc>
      </w:tr>
      <w:tr>
        <w:trPr>
          <w:trHeight w:val="261"/>
        </w:trPr>
        <w:tc>
          <w:tcPr>
            <w:tcW w:w="172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applicable to him or her.</w:t>
            </w:r>
          </w:p>
        </w:tc>
      </w:tr>
      <w:tr>
        <w:trPr>
          <w:trHeight w:val="422"/>
        </w:trPr>
        <w:tc>
          <w:tcPr>
            <w:tcW w:w="1720" w:type="dxa"/>
            <w:vAlign w:val="bottom"/>
          </w:tcPr>
          <w:p>
            <w:pPr>
              <w:spacing w:after="0"/>
              <w:rPr>
                <w:sz w:val="20"/>
                <w:szCs w:val="20"/>
                <w:color w:val="auto"/>
              </w:rPr>
            </w:pPr>
            <w:r>
              <w:rPr>
                <w:rFonts w:ascii="Arial" w:cs="Arial" w:eastAsia="Arial" w:hAnsi="Arial"/>
                <w:sz w:val="20"/>
                <w:szCs w:val="20"/>
                <w:color w:val="auto"/>
              </w:rPr>
              <w:t>Blackout Period</w:t>
            </w:r>
          </w:p>
        </w:tc>
        <w:tc>
          <w:tcPr>
            <w:tcW w:w="9320" w:type="dxa"/>
            <w:vAlign w:val="bottom"/>
          </w:tcPr>
          <w:p>
            <w:pPr>
              <w:ind w:left="340"/>
              <w:spacing w:after="0"/>
              <w:rPr>
                <w:sz w:val="20"/>
                <w:szCs w:val="20"/>
                <w:color w:val="auto"/>
              </w:rPr>
            </w:pPr>
            <w:r>
              <w:rPr>
                <w:rFonts w:ascii="Arial" w:cs="Arial" w:eastAsia="Arial" w:hAnsi="Arial"/>
                <w:sz w:val="20"/>
                <w:szCs w:val="20"/>
                <w:color w:val="auto"/>
              </w:rPr>
              <w:t>Covered Persons are not permitted to (a) buy or sell Kirby stock (other than pursuant to a precleared</w:t>
            </w:r>
          </w:p>
        </w:tc>
      </w:tr>
      <w:tr>
        <w:trPr>
          <w:trHeight w:val="181"/>
        </w:trPr>
        <w:tc>
          <w:tcPr>
            <w:tcW w:w="1720" w:type="dxa"/>
            <w:vAlign w:val="bottom"/>
          </w:tcPr>
          <w:p>
            <w:pPr>
              <w:spacing w:after="0"/>
              <w:rPr>
                <w:sz w:val="15"/>
                <w:szCs w:val="15"/>
                <w:color w:val="auto"/>
              </w:rPr>
            </w:pPr>
          </w:p>
        </w:tc>
        <w:tc>
          <w:tcPr>
            <w:tcW w:w="9320" w:type="dxa"/>
            <w:vAlign w:val="bottom"/>
          </w:tcPr>
          <w:p>
            <w:pPr>
              <w:ind w:left="340"/>
              <w:spacing w:after="0" w:line="181" w:lineRule="exact"/>
              <w:rPr>
                <w:sz w:val="20"/>
                <w:szCs w:val="20"/>
                <w:color w:val="auto"/>
              </w:rPr>
            </w:pPr>
            <w:r>
              <w:rPr>
                <w:rFonts w:ascii="Arial" w:cs="Arial" w:eastAsia="Arial" w:hAnsi="Arial"/>
                <w:sz w:val="20"/>
                <w:szCs w:val="20"/>
                <w:color w:val="auto"/>
                <w:w w:val="99"/>
              </w:rPr>
              <w:t>trading plan that complies with SEC Rule 10b5-1 that is not subject to a cooling off period), (b) change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the percentage of contributions to the Company’s 401(k) plan that will be allocated to the Kirby stock</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w w:val="99"/>
              </w:rPr>
              <w:t>fund or (c) transfer an existing 401(k) plan account balance into or out of the Kirby stock fund, after the</w:t>
            </w:r>
          </w:p>
        </w:tc>
      </w:tr>
      <w:tr>
        <w:trPr>
          <w:trHeight w:val="216"/>
        </w:trPr>
        <w:tc>
          <w:tcPr>
            <w:tcW w:w="1720" w:type="dxa"/>
            <w:vAlign w:val="bottom"/>
          </w:tcPr>
          <w:p>
            <w:pPr>
              <w:spacing w:after="0"/>
              <w:rPr>
                <w:sz w:val="18"/>
                <w:szCs w:val="18"/>
                <w:color w:val="auto"/>
              </w:rPr>
            </w:pPr>
          </w:p>
        </w:tc>
        <w:tc>
          <w:tcPr>
            <w:tcW w:w="9320" w:type="dxa"/>
            <w:vAlign w:val="bottom"/>
          </w:tcPr>
          <w:p>
            <w:pPr>
              <w:ind w:left="340"/>
              <w:spacing w:after="0" w:line="216" w:lineRule="exact"/>
              <w:rPr>
                <w:sz w:val="20"/>
                <w:szCs w:val="20"/>
                <w:color w:val="auto"/>
              </w:rPr>
            </w:pPr>
            <w:r>
              <w:rPr>
                <w:rFonts w:ascii="Arial" w:cs="Arial" w:eastAsia="Arial" w:hAnsi="Arial"/>
                <w:sz w:val="20"/>
                <w:szCs w:val="20"/>
                <w:color w:val="auto"/>
              </w:rPr>
              <w:t>last business day of the last month of a quarter until the second full business day after the public</w:t>
            </w:r>
          </w:p>
        </w:tc>
      </w:tr>
      <w:tr>
        <w:trPr>
          <w:trHeight w:val="261"/>
        </w:trPr>
        <w:tc>
          <w:tcPr>
            <w:tcW w:w="1720" w:type="dxa"/>
            <w:vAlign w:val="bottom"/>
          </w:tcPr>
          <w:p>
            <w:pPr>
              <w:spacing w:after="0"/>
              <w:rPr>
                <w:sz w:val="22"/>
                <w:szCs w:val="22"/>
                <w:color w:val="auto"/>
              </w:rPr>
            </w:pPr>
          </w:p>
        </w:tc>
        <w:tc>
          <w:tcPr>
            <w:tcW w:w="9320" w:type="dxa"/>
            <w:vAlign w:val="bottom"/>
          </w:tcPr>
          <w:p>
            <w:pPr>
              <w:ind w:left="340"/>
              <w:spacing w:after="0"/>
              <w:rPr>
                <w:sz w:val="20"/>
                <w:szCs w:val="20"/>
                <w:color w:val="auto"/>
              </w:rPr>
            </w:pPr>
            <w:r>
              <w:rPr>
                <w:rFonts w:ascii="Arial" w:cs="Arial" w:eastAsia="Arial" w:hAnsi="Arial"/>
                <w:sz w:val="20"/>
                <w:szCs w:val="20"/>
                <w:color w:val="auto"/>
              </w:rPr>
              <w:t>release of the Company’s earnings for the quarter. Please refer to the Company’s Insider</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line="257" w:lineRule="auto"/>
        <w:rPr>
          <w:sz w:val="20"/>
          <w:szCs w:val="20"/>
          <w:color w:val="auto"/>
        </w:rPr>
      </w:pPr>
      <w:r>
        <w:rPr>
          <w:rFonts w:ascii="Arial" w:cs="Arial" w:eastAsia="Arial" w:hAnsi="Arial"/>
          <w:sz w:val="20"/>
          <w:szCs w:val="20"/>
          <w:color w:val="auto"/>
        </w:rPr>
        <w:t>Employee Plan Blackouts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color w:val="auto"/>
        </w:rPr>
        <w:t>Trading Policy for a discussion of when information is public and how to determine the second full business day after the release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-1438275</wp:posOffset>
            </wp:positionV>
            <wp:extent cx="1131570" cy="77152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5">
                      <a:extLst>
                        <a:ext uri="{28A0092B-C50C-407E-A947-70E740481C1C}"/>
                      </a:extLst>
                    </a:blip>
                    <a:srcRect/>
                    <a:stretch>
                      <a:fillRect/>
                    </a:stretch>
                  </pic:blipFill>
                  <pic:spPr bwMode="auto">
                    <a:xfrm>
                      <a:off x="0" y="0"/>
                      <a:ext cx="1131570" cy="771525"/>
                    </a:xfrm>
                    <a:prstGeom prst="rect">
                      <a:avLst/>
                    </a:prstGeom>
                    <a:noFill/>
                  </pic:spPr>
                </pic:pic>
              </a:graphicData>
            </a:graphic>
          </wp:anchor>
        </w:drawing>
      </w:r>
    </w:p>
    <w:p>
      <w:pPr>
        <w:spacing w:after="0" w:line="135" w:lineRule="exact"/>
        <w:rPr>
          <w:sz w:val="20"/>
          <w:szCs w:val="20"/>
          <w:color w:val="auto"/>
        </w:rPr>
      </w:pPr>
    </w:p>
    <w:p>
      <w:pPr>
        <w:jc w:val="both"/>
        <w:ind w:right="40"/>
        <w:spacing w:after="0" w:line="229" w:lineRule="auto"/>
        <w:rPr>
          <w:sz w:val="20"/>
          <w:szCs w:val="20"/>
          <w:color w:val="auto"/>
        </w:rPr>
      </w:pPr>
      <w:r>
        <w:rPr>
          <w:rFonts w:ascii="Arial" w:cs="Arial" w:eastAsia="Arial" w:hAnsi="Arial"/>
          <w:sz w:val="20"/>
          <w:szCs w:val="20"/>
          <w:color w:val="auto"/>
        </w:rPr>
        <w:t>A blackout period will not apply to the exercise of a stock option granted by Kirby or to the use of shares to pay the exercise price or the use of shares subject to an option, restricted stock, or restricted stock unit grant to satisfy tax withholding requirements. The policy does apply, however, to any sale of stock as part of a broker assisted, cashless exercise of an option or any other market sale for the purpose of generating the cash needed to pay the exercise price of an option. A blackout period will not apply to purchases of Kirby stock in the Company’s 401(k) plan resulting from periodic contributions of money to the plan pursuant to a payroll deduction election. The policy does apply, however, to certain elections under the 401(k) plan, including an election to increase or decrease the percentage of periodic contributions that will be allocated to the Kirby stock fund and an election to make a transfer of an existing account balance into or out of the Kirby stock fund. A blackout period will apply to gifts of Kirby stock unless a gift has been precleared.</w:t>
      </w:r>
    </w:p>
    <w:p>
      <w:pPr>
        <w:spacing w:after="0" w:line="178" w:lineRule="exact"/>
        <w:rPr>
          <w:sz w:val="20"/>
          <w:szCs w:val="20"/>
          <w:color w:val="auto"/>
        </w:rPr>
      </w:pPr>
    </w:p>
    <w:p>
      <w:pPr>
        <w:jc w:val="both"/>
        <w:ind w:right="40"/>
        <w:spacing w:after="0" w:line="231" w:lineRule="auto"/>
        <w:rPr>
          <w:sz w:val="20"/>
          <w:szCs w:val="20"/>
          <w:color w:val="auto"/>
        </w:rPr>
      </w:pPr>
      <w:r>
        <w:rPr>
          <w:rFonts w:ascii="Arial" w:cs="Arial" w:eastAsia="Arial" w:hAnsi="Arial"/>
          <w:sz w:val="20"/>
          <w:szCs w:val="20"/>
          <w:color w:val="auto"/>
        </w:rPr>
        <w:t>In addition, an event or development may occur that is material to Kirby and is known only to a limited number of directors or officers or employees directly involved in the matter. As long as the event or development remains material and nonpublic, Covered Persons may not trade in Kirby stock. Although the existence of such a specific blackout may not be generally announced or known within the Company, the Company may decline a request by a Covered Person for preclearance of a transaction by informing the requesting person of the existence of a blackout period without disclosing the reason for the blackout. A person who becomes aware of the existence of such a specific blackout should not disclose the existence of the blackout to any other person.</w:t>
      </w:r>
    </w:p>
    <w:p>
      <w:pPr>
        <w:spacing w:after="0" w:line="173" w:lineRule="exact"/>
        <w:rPr>
          <w:sz w:val="20"/>
          <w:szCs w:val="20"/>
          <w:color w:val="auto"/>
        </w:rPr>
      </w:pPr>
    </w:p>
    <w:p>
      <w:pPr>
        <w:jc w:val="both"/>
        <w:ind w:right="40"/>
        <w:spacing w:after="0" w:line="241" w:lineRule="auto"/>
        <w:rPr>
          <w:sz w:val="20"/>
          <w:szCs w:val="20"/>
          <w:color w:val="auto"/>
        </w:rPr>
      </w:pPr>
      <w:r>
        <w:rPr>
          <w:rFonts w:ascii="Arial" w:cs="Arial" w:eastAsia="Arial" w:hAnsi="Arial"/>
          <w:sz w:val="20"/>
          <w:szCs w:val="20"/>
          <w:color w:val="auto"/>
        </w:rPr>
        <w:t>The decision to buy or sell Kirby stock and compliance with insider trading laws and Company policies are the responsibility of each Covered Person, regardless of whether or not a trading blackout is in effect.</w:t>
      </w:r>
    </w:p>
    <w:p>
      <w:pPr>
        <w:spacing w:after="0" w:line="171" w:lineRule="exact"/>
        <w:rPr>
          <w:sz w:val="20"/>
          <w:szCs w:val="20"/>
          <w:color w:val="auto"/>
        </w:rPr>
      </w:pPr>
    </w:p>
    <w:p>
      <w:pPr>
        <w:jc w:val="both"/>
        <w:ind w:right="40"/>
        <w:spacing w:after="0" w:line="232" w:lineRule="auto"/>
        <w:rPr>
          <w:sz w:val="20"/>
          <w:szCs w:val="20"/>
          <w:color w:val="auto"/>
        </w:rPr>
      </w:pPr>
      <w:r>
        <w:rPr>
          <w:rFonts w:ascii="Arial" w:cs="Arial" w:eastAsia="Arial" w:hAnsi="Arial"/>
          <w:sz w:val="20"/>
          <w:szCs w:val="20"/>
          <w:color w:val="auto"/>
        </w:rPr>
        <w:t>Except as permitted by the exceptions described in Rule 101(c) of Securities and Exchange Commission Regulation BTR, no director or executive officer may purchase, sell, or otherwise acquire or transfer Kirby stock acquired in connection with his or her service or employment as a director or executive officer during any blackout period imposed for any employee plan by the Company or the employee plan itself. For purposes of this paragraph 5, a blackout period means a period when participants in a plan may not engage in transactions in the plan but does not mean any of the other restrictions on trading in this Supplemental Policy.</w:t>
      </w:r>
    </w:p>
    <w:p>
      <w:pPr>
        <w:spacing w:after="0" w:line="200" w:lineRule="exact"/>
        <w:rPr>
          <w:sz w:val="20"/>
          <w:szCs w:val="20"/>
          <w:color w:val="auto"/>
        </w:rPr>
      </w:pPr>
    </w:p>
    <w:p>
      <w:pPr>
        <w:sectPr>
          <w:pgSz w:w="11900" w:h="16838" w:orient="portrait"/>
          <w:cols w:equalWidth="0" w:num="2">
            <w:col w:w="1440" w:space="720"/>
            <w:col w:w="902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color w:val="auto"/>
        </w:rPr>
        <w:t>To facilitate compliance with the Section 16 filing requirements, directors and officers subject to Section 16 should execute and deliver to the Company a power of attorney in the attached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-1438275</wp:posOffset>
            </wp:positionV>
            <wp:extent cx="1131570" cy="77152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7">
                      <a:extLst>
                        <a:ext uri="{28A0092B-C50C-407E-A947-70E740481C1C}"/>
                      </a:extLst>
                    </a:blip>
                    <a:srcRect/>
                    <a:stretch>
                      <a:fillRect/>
                    </a:stretch>
                  </pic:blipFill>
                  <pic:spPr bwMode="auto">
                    <a:xfrm>
                      <a:off x="0" y="0"/>
                      <a:ext cx="1131570" cy="7715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ind w:right="40"/>
        <w:spacing w:after="0" w:line="241" w:lineRule="auto"/>
        <w:rPr>
          <w:sz w:val="20"/>
          <w:szCs w:val="20"/>
          <w:color w:val="auto"/>
        </w:rPr>
      </w:pPr>
      <w:r>
        <w:rPr>
          <w:rFonts w:ascii="Arial" w:cs="Arial" w:eastAsia="Arial" w:hAnsi="Arial"/>
          <w:sz w:val="20"/>
          <w:szCs w:val="20"/>
          <w:color w:val="auto"/>
        </w:rPr>
        <w:t>Each Covered Person must certify his or her understanding of and intent to comply with the Insider Trading Policy and this Supplemental Policy by executing and returning to the Company a certification in the attached form.</w:t>
      </w:r>
    </w:p>
    <w:p>
      <w:pPr>
        <w:spacing w:after="0" w:line="200" w:lineRule="exact"/>
        <w:rPr>
          <w:sz w:val="20"/>
          <w:szCs w:val="20"/>
          <w:color w:val="auto"/>
        </w:rPr>
      </w:pPr>
    </w:p>
    <w:p>
      <w:pPr>
        <w:sectPr>
          <w:pgSz w:w="11900" w:h="16838" w:orient="portrait"/>
          <w:cols w:equalWidth="0" w:num="2">
            <w:col w:w="1680" w:space="480"/>
            <w:col w:w="902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500380</wp:posOffset>
            </wp:positionV>
            <wp:extent cx="1131570" cy="77152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9">
                      <a:clrChange>
                        <a:clrFrom>
                          <a:srgbClr val="FFFFFF"/>
                        </a:clrFrom>
                        <a:clrTo>
                          <a:srgbClr val="FFFFFF">
                            <a:alpha val="0"/>
                          </a:srgbClr>
                        </a:clrTo>
                      </a:clrChange>
                      <a:extLst>
                        <a:ext uri="{28A0092B-C50C-407E-A947-70E740481C1C}"/>
                      </a:extLst>
                    </a:blip>
                    <a:srcRect/>
                    <a:stretch>
                      <a:fillRect/>
                    </a:stretch>
                  </pic:blipFill>
                  <pic:spPr bwMode="auto">
                    <a:xfrm>
                      <a:off x="0" y="0"/>
                      <a:ext cx="113157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 xml:space="preserve">Know all by these presents, that the undersigned hereby constitutes and appoints each of </w:t>
      </w:r>
      <w:r>
        <w:rPr>
          <w:rFonts w:ascii="Arial" w:cs="Arial" w:eastAsia="Arial" w:hAnsi="Arial"/>
          <w:sz w:val="20"/>
          <w:szCs w:val="20"/>
          <w:b w:val="1"/>
          <w:bCs w:val="1"/>
          <w:color w:val="auto"/>
        </w:rPr>
        <w:t>[______]</w:t>
      </w:r>
      <w:r>
        <w:rPr>
          <w:rFonts w:ascii="Arial" w:cs="Arial" w:eastAsia="Arial" w:hAnsi="Arial"/>
          <w:sz w:val="20"/>
          <w:szCs w:val="20"/>
          <w:color w:val="auto"/>
        </w:rPr>
        <w:t xml:space="preserve"> and </w:t>
      </w:r>
      <w:r>
        <w:rPr>
          <w:rFonts w:ascii="Arial" w:cs="Arial" w:eastAsia="Arial" w:hAnsi="Arial"/>
          <w:sz w:val="20"/>
          <w:szCs w:val="20"/>
          <w:b w:val="1"/>
          <w:bCs w:val="1"/>
          <w:color w:val="auto"/>
        </w:rPr>
        <w:t>[______]</w:t>
      </w:r>
      <w:r>
        <w:rPr>
          <w:rFonts w:ascii="Arial" w:cs="Arial" w:eastAsia="Arial" w:hAnsi="Arial"/>
          <w:sz w:val="20"/>
          <w:szCs w:val="20"/>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184" w:lineRule="exact"/>
        <w:rPr>
          <w:sz w:val="20"/>
          <w:szCs w:val="20"/>
          <w:color w:val="auto"/>
        </w:rPr>
      </w:pPr>
    </w:p>
    <w:p>
      <w:pPr>
        <w:jc w:val="both"/>
        <w:ind w:right="20" w:firstLine="757"/>
        <w:spacing w:after="0" w:line="241" w:lineRule="auto"/>
        <w:tabs>
          <w:tab w:leader="none" w:pos="1189"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Kirby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Forms 3, 4 and 5 in accordance with Section 16(a) of the Securities Exchange Act of 1934 and the rules thereunder;</w:t>
      </w:r>
    </w:p>
    <w:p>
      <w:pPr>
        <w:spacing w:after="0" w:line="171" w:lineRule="exact"/>
        <w:rPr>
          <w:rFonts w:ascii="Arial" w:cs="Arial" w:eastAsia="Arial" w:hAnsi="Arial"/>
          <w:sz w:val="20"/>
          <w:szCs w:val="20"/>
          <w:color w:val="auto"/>
        </w:rPr>
      </w:pPr>
    </w:p>
    <w:p>
      <w:pPr>
        <w:jc w:val="both"/>
        <w:ind w:firstLine="757"/>
        <w:spacing w:after="0" w:line="241" w:lineRule="auto"/>
        <w:tabs>
          <w:tab w:leader="none" w:pos="1189" w:val="left"/>
        </w:tabs>
        <w:numPr>
          <w:ilvl w:val="0"/>
          <w:numId w:val="6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18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WITNESS WHEREOF, the undersigned has caused this Power of Attorney to be executed as of this ____ day of</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__________, ____.</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-11430</wp:posOffset>
            </wp:positionV>
            <wp:extent cx="110299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0">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jc w:val="center"/>
        <w:ind w:right="4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-22860</wp:posOffset>
            </wp:positionV>
            <wp:extent cx="7327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1">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191770</wp:posOffset>
            </wp:positionV>
            <wp:extent cx="1191260" cy="8058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3">
                      <a:clrChange>
                        <a:clrFrom>
                          <a:srgbClr val="FFFFFF"/>
                        </a:clrFrom>
                        <a:clrTo>
                          <a:srgbClr val="FFFFFF">
                            <a:alpha val="0"/>
                          </a:srgbClr>
                        </a:clrTo>
                      </a:clrChange>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FORM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22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I certify to Kirby Corporation that I have read and understand the Insider Trading Policy that is included in Kirby’s Business Ethics Guidelines and the Supplemental Insider Trading Policy for Directors, Executive Officers and Key Employees and that I will comply with those policies as long as I am subject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379730</wp:posOffset>
            </wp:positionV>
            <wp:extent cx="139636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4">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399415</wp:posOffset>
            </wp:positionV>
            <wp:extent cx="139636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5">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399415</wp:posOffset>
            </wp:positionV>
            <wp:extent cx="139636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6">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This policy represents management guidelines only. Nothing in this policy shall be interpreted as a contract of employment.</w:t>
      </w:r>
    </w:p>
    <w:p>
      <w:pPr>
        <w:spacing w:after="0" w:line="1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Kirby Corporation, the Company, retains the right to deviate from, modify or discontinue this policy at any time, with or without notice. To the extent any provision of this policy is found to be inconsistent with applicable federal, state and/or local law(s), the applicable law(s)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SUBSIDIARIES OF THE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Domicile of</w:t>
            </w:r>
          </w:p>
        </w:tc>
      </w:tr>
      <w:tr>
        <w:trPr>
          <w:trHeight w:val="173"/>
        </w:trPr>
        <w:tc>
          <w:tcPr>
            <w:tcW w:w="99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216"/>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KIRBY CORPORATION – PARENT AND REGISTRANT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9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SUBSIDIARIES OF THE PARENT AND REGISTRANT</w:t>
            </w:r>
          </w:p>
        </w:tc>
        <w:tc>
          <w:tcPr>
            <w:tcW w:w="1260" w:type="dxa"/>
            <w:vAlign w:val="bottom"/>
            <w:shd w:val="clear" w:color="auto" w:fill="CFF0FC"/>
          </w:tcPr>
          <w:p>
            <w:pPr>
              <w:spacing w:after="0"/>
              <w:rPr>
                <w:sz w:val="18"/>
                <w:szCs w:val="18"/>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Corporate Services,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KIM Holdings,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Terminals,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Sabine Transportation Company</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AFRAM Carriers,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Tankships,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Ocean Transport Company</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Adaptive KRM,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34"/>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Hollywood Camp,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198"/>
        </w:trPr>
        <w:tc>
          <w:tcPr>
            <w:tcW w:w="99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9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CONTROLLED SUBSIDIARIES</w:t>
            </w:r>
          </w:p>
        </w:tc>
        <w:tc>
          <w:tcPr>
            <w:tcW w:w="1260" w:type="dxa"/>
            <w:vAlign w:val="bottom"/>
            <w:shd w:val="clear" w:color="auto" w:fill="CFF0FC"/>
          </w:tcPr>
          <w:p>
            <w:pPr>
              <w:spacing w:after="0"/>
              <w:rPr>
                <w:sz w:val="18"/>
                <w:szCs w:val="18"/>
                <w:color w:val="auto"/>
              </w:rPr>
            </w:pP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KIM Partners, LLC (Subsidiary of KIM Holdings,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Inland Marine, LP (KIM Holdings, Inc. 1% General Partner, KIM Partners, LLC 99% Limited Partner)</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Greens Bayou Fleeting, LLC (subsidiary of Kirby Inland Marine, LP)</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Dixie Carriers, Inc.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Osprey Line, L.L.C. (Kirby Inland Marine, LP 66 2/3%)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San Jac Marine, LLC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Diesel Dash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Engine Systems LLC (subsidiary of Kirby Distribution &amp; Services, Inc.)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Marine Systems, Inc. (subsidiary of Kirby Engine Systems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Engine Systems, Inc. (subsidiary of Kirby Engine Systems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Holdings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Engines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UE Manufacturing LLC (subsidiary of United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Thermo King of Houston, LLC (subsidiary of United Holdings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Thermo King of Dallas, LLC (subsidiary of United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San Antonio Thermo King, Inc. (subsidiary of Thermo King of Houston,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Operating, LLC (subsidiary of Kirby Offshore Marine,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Wind, LLC (subsidiary of Kirby Offshore Marine,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Hawaii, LLC (subsidiary of Kirby Offshore Marine Operating,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Kirby Offshore Marine Pacific, LLC (subsidiary of Kirby Offshore Marine Operating,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Kirby Offshore Marine, Inc. (subsidiary of Kirby Offshore Marine Operating,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Inversiones Kara Sea SRL (subsidiary of Kirby Offshore Marine Operating,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Venezuela</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K-Sea Canada Holdings, Inc. (subsidiary of Kirby Offshore Marine,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Penn Maritime Inc. (subsidiary of Kirby Offshore Marine,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LLC (subsidiary of Kirby Distribution &amp; Services,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Power Products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Canada Inc.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198"/>
        </w:trPr>
        <w:tc>
          <w:tcPr>
            <w:tcW w:w="99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Stewart &amp; Stevenson de las Americas Colombia Ltda. (Stewart &amp; Stevenson Petroleum Services LLC 1% General Partner, Stewart &amp;</w:t>
            </w:r>
          </w:p>
        </w:tc>
        <w:tc>
          <w:tcPr>
            <w:tcW w:w="1260" w:type="dxa"/>
            <w:vAlign w:val="bottom"/>
            <w:shd w:val="clear" w:color="auto" w:fill="CFF0FC"/>
          </w:tcPr>
          <w:p>
            <w:pPr>
              <w:spacing w:after="0"/>
              <w:rPr>
                <w:sz w:val="17"/>
                <w:szCs w:val="17"/>
                <w:color w:val="auto"/>
              </w:rPr>
            </w:pPr>
          </w:p>
        </w:tc>
      </w:tr>
      <w:tr>
        <w:trPr>
          <w:trHeight w:val="234"/>
        </w:trPr>
        <w:tc>
          <w:tcPr>
            <w:tcW w:w="99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Stevenson LLC 99% Limited Partner)</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de Venezuela, S.A. (subsidiary of Stewart &amp; Stevenson LLC 99.95%)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Venezuela</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Petroleum Services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Manufacturing Technologies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Stewart &amp; Stevenson Acquisition LLC (subsidiary of Stewart &amp; Stevenson LLC)</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&amp; Stevenson FDDA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Transmissions Y Embragues, S.A. (subsidiary of Stewart &amp; Stevenson de Venezuela, S.A.)</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Venezuela</w:t>
            </w:r>
          </w:p>
        </w:tc>
      </w:tr>
      <w:tr>
        <w:trPr>
          <w:trHeight w:val="216"/>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Stewart and Stevenson Healthcare Technologies, LLC (subsidiary of Stewart &amp; Stevenson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9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Higman Marine, Inc. (subsidiary of Kirby Inland Marine, LP)</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9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Barge Lines, Inc. (subsidiary of Higman Marine,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961"/>
        </w:trPr>
        <w:tc>
          <w:tcPr>
            <w:tcW w:w="9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Higman Marine Services, Inc. (subsidiary of Higman Marine, Inc.)</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Higman Service Corporation (subsidiary of Higman Marine, Inc.)</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Alamo Barge Lines, LLC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Empty Barge Lines, Inc.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Empty Barge Lines II, Inc.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Empty Barge Lines III, Inc.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EBL Marine I LLC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EBL Marine II LLC (subsidiary of Kirby Inland Marine, LP)</w:t>
            </w:r>
          </w:p>
        </w:tc>
        <w:tc>
          <w:tcPr>
            <w:tcW w:w="356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EBL Marine III LLC (subsidiary of Kirby Inland Marine, LP)</w:t>
            </w:r>
          </w:p>
        </w:tc>
        <w:tc>
          <w:tcPr>
            <w:tcW w:w="3560" w:type="dxa"/>
            <w:vAlign w:val="bottom"/>
            <w:shd w:val="clear" w:color="auto" w:fill="CFF0FC"/>
          </w:tcPr>
          <w:p>
            <w:pPr>
              <w:jc w:val="center"/>
              <w:ind w:left="2190"/>
              <w:spacing w:after="0"/>
              <w:rPr>
                <w:sz w:val="20"/>
                <w:szCs w:val="20"/>
                <w:color w:val="auto"/>
              </w:rPr>
            </w:pPr>
            <w:r>
              <w:rPr>
                <w:rFonts w:ascii="Times New Roman" w:cs="Times New Roman" w:eastAsia="Times New Roman" w:hAnsi="Times New Roman"/>
                <w:sz w:val="18"/>
                <w:szCs w:val="18"/>
                <w:color w:val="auto"/>
              </w:rPr>
              <w:t>Texas</w:t>
            </w:r>
          </w:p>
        </w:tc>
      </w:tr>
      <w:tr>
        <w:trPr>
          <w:trHeight w:val="979"/>
        </w:trPr>
        <w:tc>
          <w:tcPr>
            <w:tcW w:w="76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333-57625, 333-72592, 333-129290, 333-129333, 333-152565, 333-152566, 333-184598, 333-184599 and 333-265397) on Form S-8 and (Nos. 333-220974 and 333-222858) on Form S-3 of our reports dated February 18, 2025, with respect to the consolidated financial statements of Kirby Corporation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2024 by Kirby Corporation, David W. Grzebinski certifies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700" w:hanging="318"/>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25" w:lineRule="exact"/>
        <w:rPr>
          <w:rFonts w:ascii="Times New Roman" w:cs="Times New Roman" w:eastAsia="Times New Roman" w:hAnsi="Times New Roman"/>
          <w:sz w:val="18"/>
          <w:szCs w:val="18"/>
          <w:color w:val="auto"/>
        </w:rPr>
      </w:pPr>
    </w:p>
    <w:p>
      <w:pPr>
        <w:ind w:firstLine="382"/>
        <w:spacing w:after="0" w:line="282" w:lineRule="auto"/>
        <w:tabs>
          <w:tab w:leader="none" w:pos="6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82"/>
        <w:spacing w:after="0" w:line="282" w:lineRule="auto"/>
        <w:tabs>
          <w:tab w:leader="none" w:pos="6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82"/>
        <w:spacing w:after="0" w:line="266" w:lineRule="auto"/>
        <w:tabs>
          <w:tab w:leader="none" w:pos="7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09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14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firstLine="376"/>
        <w:spacing w:after="0" w:line="282" w:lineRule="auto"/>
        <w:tabs>
          <w:tab w:leader="none" w:pos="115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1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382"/>
        <w:spacing w:after="0" w:line="282" w:lineRule="auto"/>
        <w:tabs>
          <w:tab w:leader="none" w:pos="7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80" w:firstLine="376"/>
        <w:spacing w:after="0" w:line="282" w:lineRule="auto"/>
        <w:tabs>
          <w:tab w:leader="none" w:pos="119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right="20" w:firstLine="376"/>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report on Form 10-K for the year ended December 31, 2024 by Kirby Corporation, Raj Kumar certifies that:</w:t>
      </w:r>
    </w:p>
    <w:p>
      <w:pPr>
        <w:spacing w:after="0" w:line="225" w:lineRule="exact"/>
        <w:rPr>
          <w:sz w:val="20"/>
          <w:szCs w:val="20"/>
          <w:color w:val="auto"/>
        </w:rPr>
      </w:pPr>
    </w:p>
    <w:p>
      <w:pPr>
        <w:ind w:left="700" w:hanging="318"/>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Kirby Corporation (the “registrant”);</w:t>
      </w:r>
    </w:p>
    <w:p>
      <w:pPr>
        <w:spacing w:after="0" w:line="225" w:lineRule="exact"/>
        <w:rPr>
          <w:rFonts w:ascii="Times New Roman" w:cs="Times New Roman" w:eastAsia="Times New Roman" w:hAnsi="Times New Roman"/>
          <w:sz w:val="18"/>
          <w:szCs w:val="18"/>
          <w:color w:val="auto"/>
        </w:rPr>
      </w:pPr>
    </w:p>
    <w:p>
      <w:pPr>
        <w:ind w:firstLine="382"/>
        <w:spacing w:after="0" w:line="282" w:lineRule="auto"/>
        <w:tabs>
          <w:tab w:leader="none" w:pos="6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82"/>
        <w:spacing w:after="0" w:line="282" w:lineRule="auto"/>
        <w:tabs>
          <w:tab w:leader="none" w:pos="6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82"/>
        <w:spacing w:after="0" w:line="266" w:lineRule="auto"/>
        <w:tabs>
          <w:tab w:leader="none" w:pos="73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09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14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firstLine="376"/>
        <w:spacing w:after="0" w:line="282" w:lineRule="auto"/>
        <w:tabs>
          <w:tab w:leader="none" w:pos="115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80" w:firstLine="376"/>
        <w:spacing w:after="0" w:line="266" w:lineRule="auto"/>
        <w:tabs>
          <w:tab w:leader="none" w:pos="11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382"/>
        <w:spacing w:after="0" w:line="282" w:lineRule="auto"/>
        <w:tabs>
          <w:tab w:leader="none" w:pos="7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80" w:firstLine="376"/>
        <w:spacing w:after="0" w:line="282" w:lineRule="auto"/>
        <w:tabs>
          <w:tab w:leader="none" w:pos="119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right="20" w:firstLine="376"/>
        <w:spacing w:after="0" w:line="282" w:lineRule="auto"/>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RAJ KUMAR</w:t>
            </w:r>
          </w:p>
        </w:tc>
      </w:tr>
      <w:tr>
        <w:trPr>
          <w:trHeight w:val="189"/>
        </w:trPr>
        <w:tc>
          <w:tcPr>
            <w:tcW w:w="6760" w:type="dxa"/>
            <w:vAlign w:val="bottom"/>
          </w:tcPr>
          <w:p>
            <w:pPr>
              <w:spacing w:after="0"/>
              <w:rPr>
                <w:sz w:val="16"/>
                <w:szCs w:val="16"/>
                <w:color w:val="auto"/>
              </w:rPr>
            </w:pPr>
          </w:p>
        </w:tc>
        <w:tc>
          <w:tcPr>
            <w:tcW w:w="4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Raj Kumar</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18, 2025</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1195"/>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firstLine="379"/>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year ended December 31, 2024 (the “Report”) by Kirby Corporation (the “Company”), each of the undersigned hereby certifies that:</w:t>
      </w:r>
    </w:p>
    <w:p>
      <w:pPr>
        <w:spacing w:after="0" w:line="162" w:lineRule="exact"/>
        <w:rPr>
          <w:sz w:val="20"/>
          <w:szCs w:val="20"/>
          <w:color w:val="auto"/>
        </w:rPr>
      </w:pPr>
    </w:p>
    <w:p>
      <w:pPr>
        <w:ind w:left="700" w:hanging="313"/>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00" w:hanging="313"/>
        <w:spacing w:after="0"/>
        <w:tabs>
          <w:tab w:leader="none" w:pos="7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6"/>
          <w:szCs w:val="16"/>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1"/>
    </w:lvl>
  </w:abstractNum>
  <w:abstractNum w:abstractNumId="7">
    <w:nsid w:val="7724C67E"/>
    <w:multiLevelType w:val="hybridMultilevel"/>
    <w:lvl w:ilvl="0">
      <w:lvlJc w:val="left"/>
      <w:lvlText w:val="(%1)"/>
      <w:numFmt w:val="lowerLetter"/>
      <w:start w:val="1"/>
    </w:lvl>
  </w:abstractNum>
  <w:abstractNum w:abstractNumId="8">
    <w:nsid w:val="5C482A97"/>
    <w:multiLevelType w:val="hybridMultilevel"/>
    <w:lvl w:ilvl="0">
      <w:lvlJc w:val="left"/>
      <w:lvlText w:val="(%1)"/>
      <w:numFmt w:val="lowerLetter"/>
      <w:start w:val="1"/>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decimal"/>
      <w:start w:val="1"/>
    </w:lvl>
    <w:lvl w:ilvl="1">
      <w:lvlJc w:val="left"/>
      <w:lvlText w:val="(%2)"/>
      <w:numFmt w:val="lowerLetter"/>
      <w:start w:val="1"/>
    </w:lvl>
  </w:abstractNum>
  <w:abstractNum w:abstractNumId="12">
    <w:nsid w:val="2D517796"/>
    <w:multiLevelType w:val="hybridMultilevel"/>
    <w:lvl w:ilvl="0">
      <w:lvlJc w:val="left"/>
      <w:lvlText w:val="(%1)"/>
      <w:numFmt w:val="decimal"/>
      <w:start w:val="14"/>
    </w:lvl>
    <w:lvl w:ilvl="1">
      <w:lvlJc w:val="left"/>
      <w:lvlText w:val="%2"/>
      <w:numFmt w:val="lowerLetter"/>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3"/>
    </w:lvl>
  </w:abstractNum>
  <w:abstractNum w:abstractNumId="15">
    <w:nsid w:val="3855585C"/>
    <w:multiLevelType w:val="hybridMultilevel"/>
    <w:lvl w:ilvl="0">
      <w:lvlJc w:val="left"/>
      <w:lvlText w:val="%1"/>
      <w:numFmt w:val="decimal"/>
      <w:start w:val="97"/>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2"/>
    </w:lvl>
  </w:abstractNum>
  <w:abstractNum w:abstractNumId="28">
    <w:nsid w:val="7644A45C"/>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29">
    <w:nsid w:val="32FFF902"/>
    <w:multiLevelType w:val="hybridMultilevel"/>
    <w:lvl w:ilvl="0">
      <w:lvlJc w:val="left"/>
      <w:lvlText w:val="(%1)"/>
      <w:numFmt w:val="upperLetter"/>
      <w:start w:val="3"/>
    </w:lvl>
    <w:lvl w:ilvl="1">
      <w:lvlJc w:val="left"/>
      <w:lvlText w:val="(%2)"/>
      <w:numFmt w:val="lowerLetter"/>
      <w:start w:val="3"/>
    </w:lvl>
    <w:lvl w:ilvl="2">
      <w:lvlJc w:val="left"/>
      <w:lvlText w:val="(%3)"/>
      <w:numFmt w:val="decimal"/>
      <w:start w:val="4"/>
    </w:lvl>
    <w:lvl w:ilvl="3">
      <w:lvlJc w:val="left"/>
      <w:lvlText w:val="-"/>
      <w:numFmt w:val="bullet"/>
      <w:start w:val="1"/>
    </w:lvl>
  </w:abstractNum>
  <w:abstractNum w:abstractNumId="30">
    <w:nsid w:val="684A481A"/>
    <w:multiLevelType w:val="hybridMultilevel"/>
    <w:lvl w:ilvl="0">
      <w:lvlJc w:val="left"/>
      <w:lvlText w:val="(%1)"/>
      <w:numFmt w:val="decimal"/>
      <w:start w:val="30"/>
    </w:lvl>
    <w:lvl w:ilvl="1">
      <w:lvlJc w:val="left"/>
      <w:lvlText w:val="(%2)"/>
      <w:numFmt w:val="lowerLetter"/>
      <w:start w:val="10"/>
    </w:lvl>
  </w:abstractNum>
  <w:abstractNum w:abstractNumId="31">
    <w:nsid w:val="579478FE"/>
    <w:multiLevelType w:val="hybridMultilevel"/>
    <w:lvl w:ilvl="0">
      <w:lvlJc w:val="left"/>
      <w:lvlText w:val="(%1)"/>
      <w:numFmt w:val="lowerLetter"/>
      <w:start w:val="1"/>
    </w:lvl>
    <w:lvl w:ilvl="1">
      <w:lvlJc w:val="left"/>
      <w:lvlText w:val="-"/>
      <w:numFmt w:val="bullet"/>
      <w:start w:val="1"/>
    </w:lvl>
  </w:abstractNum>
  <w:abstractNum w:abstractNumId="32">
    <w:nsid w:val="749ABB4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33">
    <w:nsid w:val="3DC240FB"/>
    <w:multiLevelType w:val="hybridMultilevel"/>
    <w:lvl w:ilvl="0">
      <w:lvlJc w:val="left"/>
      <w:lvlText w:val="%1"/>
      <w:numFmt w:val="lowerLetter"/>
      <w:start w:val="1"/>
    </w:lvl>
    <w:lvl w:ilvl="1">
      <w:lvlJc w:val="left"/>
      <w:lvlText w:val="(%2)"/>
      <w:numFmt w:val="decimal"/>
      <w:start w:val="3"/>
    </w:lvl>
  </w:abstractNum>
  <w:abstractNum w:abstractNumId="34">
    <w:nsid w:val="1BA026FA"/>
    <w:multiLevelType w:val="hybridMultilevel"/>
    <w:lvl w:ilvl="0">
      <w:lvlJc w:val="left"/>
      <w:lvlText w:val="(%1)"/>
      <w:numFmt w:val="lowerLetter"/>
      <w:start w:val="2"/>
    </w:lvl>
    <w:lvl w:ilvl="1">
      <w:lvlJc w:val="left"/>
      <w:lvlText w:val="%2"/>
      <w:numFmt w:val="decimal"/>
      <w:start w:val="1"/>
    </w:lvl>
  </w:abstractNum>
  <w:abstractNum w:abstractNumId="35">
    <w:nsid w:val="79A1DEA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6">
    <w:nsid w:val="75C6C33A"/>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7">
    <w:nsid w:val="12E685FB"/>
    <w:multiLevelType w:val="hybridMultilevel"/>
    <w:lvl w:ilvl="0">
      <w:lvlJc w:val="left"/>
      <w:lvlText w:val="(%1)"/>
      <w:numFmt w:val="lowerLetter"/>
      <w:start w:val="2"/>
    </w:lvl>
  </w:abstractNum>
  <w:abstractNum w:abstractNumId="38">
    <w:nsid w:val="70C6A529"/>
    <w:multiLevelType w:val="hybridMultilevel"/>
    <w:lvl w:ilvl="0">
      <w:lvlJc w:val="left"/>
      <w:lvlText w:val="(%1)"/>
      <w:numFmt w:val="lowerLetter"/>
      <w:start w:val="1"/>
    </w:lvl>
    <w:lvl w:ilvl="1">
      <w:lvlJc w:val="left"/>
      <w:lvlText w:val="-"/>
      <w:numFmt w:val="bullet"/>
      <w:start w:val="1"/>
    </w:lvl>
  </w:abstractNum>
  <w:abstractNum w:abstractNumId="39">
    <w:nsid w:val="520EEDD1"/>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0">
    <w:nsid w:val="374A3FE6"/>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41">
    <w:nsid w:val="4F4EF005"/>
    <w:multiLevelType w:val="hybridMultilevel"/>
    <w:lvl w:ilvl="0">
      <w:lvlJc w:val="left"/>
      <w:lvlText w:val="(%1)"/>
      <w:numFmt w:val="lowerLetter"/>
      <w:start w:val="4"/>
    </w:lvl>
    <w:lvl w:ilvl="1">
      <w:lvlJc w:val="left"/>
      <w:lvlText w:val="-"/>
      <w:numFmt w:val="bullet"/>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3"/>
    </w:lvl>
    <w:lvl w:ilvl="1">
      <w:lvlJc w:val="left"/>
      <w:lvlText w:val="-"/>
      <w:numFmt w:val="bullet"/>
      <w:start w:val="1"/>
    </w:lvl>
  </w:abstractNum>
  <w:abstractNum w:abstractNumId="45">
    <w:nsid w:val="39386575"/>
    <w:multiLevelType w:val="hybridMultilevel"/>
    <w:lvl w:ilvl="0">
      <w:lvlJc w:val="left"/>
      <w:lvlText w:val="(%1)"/>
      <w:numFmt w:val="lowerLetter"/>
      <w:start w:val="5"/>
    </w:lvl>
  </w:abstractNum>
  <w:abstractNum w:abstractNumId="46">
    <w:nsid w:val="1CF10FD8"/>
    <w:multiLevelType w:val="hybridMultilevel"/>
    <w:lvl w:ilvl="0">
      <w:lvlJc w:val="left"/>
      <w:lvlText w:val="%1."/>
      <w:numFmt w:val="decimal"/>
      <w:start w:val="1"/>
    </w:lvl>
    <w:lvl w:ilvl="1">
      <w:lvlJc w:val="left"/>
      <w:lvlText w:val="(%2)"/>
      <w:numFmt w:val="lowerLetter"/>
      <w:start w:val="1"/>
    </w:lvl>
  </w:abstractNum>
  <w:abstractNum w:abstractNumId="47">
    <w:nsid w:val="180115BE"/>
    <w:multiLevelType w:val="hybridMultilevel"/>
    <w:lvl w:ilvl="0">
      <w:lvlJc w:val="left"/>
      <w:lvlText w:val="(%1)"/>
      <w:numFmt w:val="lowerLetter"/>
      <w:start w:val="2"/>
    </w:lvl>
  </w:abstractNum>
  <w:abstractNum w:abstractNumId="48">
    <w:nsid w:val="235BA861"/>
    <w:multiLevelType w:val="hybridMultilevel"/>
    <w:lvl w:ilvl="0">
      <w:lvlJc w:val="left"/>
      <w:lvlText w:val="(%1)"/>
      <w:numFmt w:val="lowerLetter"/>
      <w:start w:val="3"/>
    </w:lvl>
  </w:abstractNum>
  <w:abstractNum w:abstractNumId="49">
    <w:nsid w:val="47398C89"/>
    <w:multiLevelType w:val="hybridMultilevel"/>
    <w:lvl w:ilvl="0">
      <w:lvlJc w:val="left"/>
      <w:lvlText w:val="%1."/>
      <w:numFmt w:val="decimal"/>
      <w:start w:val="2"/>
    </w:lvl>
  </w:abstractNum>
  <w:abstractNum w:abstractNumId="50">
    <w:nsid w:val="354FE9F9"/>
    <w:multiLevelType w:val="hybridMultilevel"/>
    <w:lvl w:ilvl="0">
      <w:lvlJc w:val="left"/>
      <w:lvlText w:val="%1."/>
      <w:numFmt w:val="decimal"/>
      <w:start w:val="1"/>
    </w:lvl>
    <w:lvl w:ilvl="1">
      <w:lvlJc w:val="left"/>
      <w:lvlText w:val="(%2)"/>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lowerLetter"/>
      <w:start w:val="3"/>
    </w:lvl>
  </w:abstractNum>
  <w:abstractNum w:abstractNumId="53">
    <w:nsid w:val="D34B6A8"/>
    <w:multiLevelType w:val="hybridMultilevel"/>
    <w:lvl w:ilvl="0">
      <w:lvlJc w:val="left"/>
      <w:lvlText w:val="%1."/>
      <w:numFmt w:val="decimal"/>
      <w:start w:val="2"/>
    </w:lvl>
  </w:abstractNum>
  <w:abstractNum w:abstractNumId="54">
    <w:nsid w:val="10233C99"/>
    <w:multiLevelType w:val="hybridMultilevel"/>
    <w:lvl w:ilvl="0">
      <w:lvlJc w:val="left"/>
      <w:lvlText w:val="%1."/>
      <w:numFmt w:val="decimal"/>
      <w:start w:val="1"/>
    </w:lvl>
    <w:lvl w:ilvl="1">
      <w:lvlJc w:val="left"/>
      <w:lvlText w:val="(%2)"/>
      <w:numFmt w:val="lowerLetter"/>
      <w:start w:val="1"/>
    </w:lvl>
  </w:abstractNum>
  <w:abstractNum w:abstractNumId="55">
    <w:nsid w:val="3F6AB60F"/>
    <w:multiLevelType w:val="hybridMultilevel"/>
    <w:lvl w:ilvl="0">
      <w:lvlJc w:val="left"/>
      <w:lvlText w:val="(%1)"/>
      <w:numFmt w:val="lowerLetter"/>
      <w:start w:val="2"/>
    </w:lvl>
    <w:lvl w:ilvl="1">
      <w:lvlJc w:val="left"/>
      <w:lvlText w:val="(%2)"/>
      <w:numFmt w:val="lowerRoman"/>
      <w:start w:val="1"/>
    </w:lvl>
  </w:abstractNum>
  <w:abstractNum w:abstractNumId="56">
    <w:nsid w:val="61574095"/>
    <w:multiLevelType w:val="hybridMultilevel"/>
    <w:lvl w:ilvl="0">
      <w:lvlJc w:val="left"/>
      <w:lvlText w:val="(%1)"/>
      <w:numFmt w:val="lowerLetter"/>
      <w:start w:val="5"/>
    </w:lvl>
  </w:abstractNum>
  <w:abstractNum w:abstractNumId="57">
    <w:nsid w:val="7E0C57B1"/>
    <w:multiLevelType w:val="hybridMultilevel"/>
    <w:lvl w:ilvl="0">
      <w:lvlJc w:val="left"/>
      <w:lvlText w:val="%1."/>
      <w:numFmt w:val="decimal"/>
      <w:start w:val="3"/>
    </w:lvl>
  </w:abstractNum>
  <w:abstractNum w:abstractNumId="58">
    <w:nsid w:val="77AE35E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4"/>
    </w:lvl>
  </w:abstractNum>
  <w:abstractNum w:abstractNumId="59">
    <w:nsid w:val="579BE4F1"/>
    <w:multiLevelType w:val="hybridMultilevel"/>
    <w:lvl w:ilvl="0">
      <w:lvlJc w:val="left"/>
      <w:lvlText w:val="(%1)"/>
      <w:numFmt w:val="lowerLetter"/>
      <w:start w:val="6"/>
    </w:lvl>
  </w:abstractNum>
  <w:abstractNum w:abstractNumId="60">
    <w:nsid w:val="310C50B3"/>
    <w:multiLevelType w:val="hybridMultilevel"/>
    <w:lvl w:ilvl="0">
      <w:lvlJc w:val="left"/>
      <w:lvlText w:val="(%1)"/>
      <w:numFmt w:val="lowerLetter"/>
      <w:start w:val="1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lowerRoman"/>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35" Type="http://schemas.openxmlformats.org/officeDocument/2006/relationships/image" Target="media/image520.png"/><Relationship Id="rId536" Type="http://schemas.openxmlformats.org/officeDocument/2006/relationships/image" Target="media/image521.png"/><Relationship Id="rId549" Type="http://schemas.openxmlformats.org/officeDocument/2006/relationships/image" Target="media/image522.png"/><Relationship Id="rId550" Type="http://schemas.openxmlformats.org/officeDocument/2006/relationships/image" Target="media/image523.png"/><Relationship Id="rId551" Type="http://schemas.openxmlformats.org/officeDocument/2006/relationships/image" Target="media/image524.png"/><Relationship Id="rId552" Type="http://schemas.openxmlformats.org/officeDocument/2006/relationships/image" Target="media/image525.png"/><Relationship Id="rId553" Type="http://schemas.openxmlformats.org/officeDocument/2006/relationships/image" Target="media/image526.png"/><Relationship Id="rId554" Type="http://schemas.openxmlformats.org/officeDocument/2006/relationships/image" Target="media/image527.png"/><Relationship Id="rId555" Type="http://schemas.openxmlformats.org/officeDocument/2006/relationships/image" Target="media/image528.png"/><Relationship Id="rId556" Type="http://schemas.openxmlformats.org/officeDocument/2006/relationships/image" Target="media/image529.png"/><Relationship Id="rId557" Type="http://schemas.openxmlformats.org/officeDocument/2006/relationships/image" Target="media/image530.png"/><Relationship Id="rId558" Type="http://schemas.openxmlformats.org/officeDocument/2006/relationships/image" Target="media/image531.png"/><Relationship Id="rId559" Type="http://schemas.openxmlformats.org/officeDocument/2006/relationships/image" Target="media/image532.png"/><Relationship Id="rId560" Type="http://schemas.openxmlformats.org/officeDocument/2006/relationships/image" Target="media/image533.png"/><Relationship Id="rId561" Type="http://schemas.openxmlformats.org/officeDocument/2006/relationships/image" Target="media/image534.png"/><Relationship Id="rId562" Type="http://schemas.openxmlformats.org/officeDocument/2006/relationships/image" Target="media/image535.png"/><Relationship Id="rId563" Type="http://schemas.openxmlformats.org/officeDocument/2006/relationships/image" Target="media/image536.png"/><Relationship Id="rId564" Type="http://schemas.openxmlformats.org/officeDocument/2006/relationships/image" Target="media/image537.png"/><Relationship Id="rId565" Type="http://schemas.openxmlformats.org/officeDocument/2006/relationships/image" Target="media/image538.png"/><Relationship Id="rId566" Type="http://schemas.openxmlformats.org/officeDocument/2006/relationships/image" Target="media/image539.png"/><Relationship Id="rId567" Type="http://schemas.openxmlformats.org/officeDocument/2006/relationships/image" Target="media/image540.png"/><Relationship Id="rId568" Type="http://schemas.openxmlformats.org/officeDocument/2006/relationships/image" Target="media/image541.png"/><Relationship Id="rId569" Type="http://schemas.openxmlformats.org/officeDocument/2006/relationships/image" Target="media/image542.png"/><Relationship Id="rId570" Type="http://schemas.openxmlformats.org/officeDocument/2006/relationships/image" Target="media/image543.png"/><Relationship Id="rId571" Type="http://schemas.openxmlformats.org/officeDocument/2006/relationships/image" Target="media/image544.png"/><Relationship Id="rId572" Type="http://schemas.openxmlformats.org/officeDocument/2006/relationships/image" Target="media/image545.png"/><Relationship Id="rId573" Type="http://schemas.openxmlformats.org/officeDocument/2006/relationships/image" Target="media/image546.png"/><Relationship Id="rId574" Type="http://schemas.openxmlformats.org/officeDocument/2006/relationships/image" Target="media/image547.png"/><Relationship Id="rId575" Type="http://schemas.openxmlformats.org/officeDocument/2006/relationships/image" Target="media/image548.png"/><Relationship Id="rId576" Type="http://schemas.openxmlformats.org/officeDocument/2006/relationships/image" Target="media/image549.png"/><Relationship Id="rId577" Type="http://schemas.openxmlformats.org/officeDocument/2006/relationships/image" Target="media/image550.png"/><Relationship Id="rId578" Type="http://schemas.openxmlformats.org/officeDocument/2006/relationships/image" Target="media/image551.png"/><Relationship Id="rId579" Type="http://schemas.openxmlformats.org/officeDocument/2006/relationships/image" Target="media/image552.png"/><Relationship Id="rId580" Type="http://schemas.openxmlformats.org/officeDocument/2006/relationships/image" Target="media/image553.png"/><Relationship Id="rId581" Type="http://schemas.openxmlformats.org/officeDocument/2006/relationships/image" Target="media/image554.png"/><Relationship Id="rId582" Type="http://schemas.openxmlformats.org/officeDocument/2006/relationships/image" Target="media/image555.png"/><Relationship Id="rId583" Type="http://schemas.openxmlformats.org/officeDocument/2006/relationships/image" Target="media/image556.png"/><Relationship Id="rId584" Type="http://schemas.openxmlformats.org/officeDocument/2006/relationships/image" Target="media/image557.png"/><Relationship Id="rId585" Type="http://schemas.openxmlformats.org/officeDocument/2006/relationships/image" Target="media/image558.png"/><Relationship Id="rId586" Type="http://schemas.openxmlformats.org/officeDocument/2006/relationships/image" Target="media/image559.png"/><Relationship Id="rId587" Type="http://schemas.openxmlformats.org/officeDocument/2006/relationships/image" Target="media/image560.png"/><Relationship Id="rId588" Type="http://schemas.openxmlformats.org/officeDocument/2006/relationships/image" Target="media/image561.png"/><Relationship Id="rId589" Type="http://schemas.openxmlformats.org/officeDocument/2006/relationships/image" Target="media/image562.png"/><Relationship Id="rId590" Type="http://schemas.openxmlformats.org/officeDocument/2006/relationships/image" Target="media/image563.png"/><Relationship Id="rId591" Type="http://schemas.openxmlformats.org/officeDocument/2006/relationships/image" Target="media/image564.png"/><Relationship Id="rId592" Type="http://schemas.openxmlformats.org/officeDocument/2006/relationships/image" Target="media/image565.png"/><Relationship Id="rId593" Type="http://schemas.openxmlformats.org/officeDocument/2006/relationships/image" Target="media/image566.png"/><Relationship Id="rId594" Type="http://schemas.openxmlformats.org/officeDocument/2006/relationships/image" Target="media/image567.png"/><Relationship Id="rId595" Type="http://schemas.openxmlformats.org/officeDocument/2006/relationships/image" Target="media/image568.png"/><Relationship Id="rId596" Type="http://schemas.openxmlformats.org/officeDocument/2006/relationships/image" Target="media/image569.png"/><Relationship Id="rId597" Type="http://schemas.openxmlformats.org/officeDocument/2006/relationships/image" Target="media/image570.png"/><Relationship Id="rId598" Type="http://schemas.openxmlformats.org/officeDocument/2006/relationships/image" Target="media/image571.png"/><Relationship Id="rId599" Type="http://schemas.openxmlformats.org/officeDocument/2006/relationships/image" Target="media/image572.png"/><Relationship Id="rId600" Type="http://schemas.openxmlformats.org/officeDocument/2006/relationships/image" Target="media/image573.png"/><Relationship Id="rId601" Type="http://schemas.openxmlformats.org/officeDocument/2006/relationships/image" Target="media/image574.png"/><Relationship Id="rId602" Type="http://schemas.openxmlformats.org/officeDocument/2006/relationships/image" Target="media/image575.png"/><Relationship Id="rId603" Type="http://schemas.openxmlformats.org/officeDocument/2006/relationships/image" Target="media/image576.png"/><Relationship Id="rId604" Type="http://schemas.openxmlformats.org/officeDocument/2006/relationships/image" Target="media/image577.png"/><Relationship Id="rId605" Type="http://schemas.openxmlformats.org/officeDocument/2006/relationships/image" Target="media/image578.png"/><Relationship Id="rId606" Type="http://schemas.openxmlformats.org/officeDocument/2006/relationships/image" Target="media/image579.png"/><Relationship Id="rId607" Type="http://schemas.openxmlformats.org/officeDocument/2006/relationships/image" Target="media/image580.png"/><Relationship Id="rId608" Type="http://schemas.openxmlformats.org/officeDocument/2006/relationships/image" Target="media/image581.png"/><Relationship Id="rId609" Type="http://schemas.openxmlformats.org/officeDocument/2006/relationships/image" Target="media/image582.jpeg"/><Relationship Id="rId610" Type="http://schemas.openxmlformats.org/officeDocument/2006/relationships/image" Target="media/image583.png"/><Relationship Id="rId611" Type="http://schemas.openxmlformats.org/officeDocument/2006/relationships/image" Target="media/image584.jpeg"/><Relationship Id="rId612" Type="http://schemas.openxmlformats.org/officeDocument/2006/relationships/image" Target="media/image585.png"/><Relationship Id="rId613" Type="http://schemas.openxmlformats.org/officeDocument/2006/relationships/image" Target="media/image586.jpeg"/><Relationship Id="rId614" Type="http://schemas.openxmlformats.org/officeDocument/2006/relationships/image" Target="media/image587.png"/><Relationship Id="rId615" Type="http://schemas.openxmlformats.org/officeDocument/2006/relationships/image" Target="media/image588.jpeg"/><Relationship Id="rId616" Type="http://schemas.openxmlformats.org/officeDocument/2006/relationships/image" Target="media/image589.png"/><Relationship Id="rId617" Type="http://schemas.openxmlformats.org/officeDocument/2006/relationships/image" Target="media/image590.jpeg"/><Relationship Id="rId618" Type="http://schemas.openxmlformats.org/officeDocument/2006/relationships/image" Target="media/image591.png"/><Relationship Id="rId619" Type="http://schemas.openxmlformats.org/officeDocument/2006/relationships/image" Target="media/image592.jpeg"/><Relationship Id="rId620" Type="http://schemas.openxmlformats.org/officeDocument/2006/relationships/image" Target="media/image593.png"/><Relationship Id="rId621" Type="http://schemas.openxmlformats.org/officeDocument/2006/relationships/image" Target="media/image594.jpeg"/><Relationship Id="rId622" Type="http://schemas.openxmlformats.org/officeDocument/2006/relationships/image" Target="media/image595.png"/><Relationship Id="rId623" Type="http://schemas.openxmlformats.org/officeDocument/2006/relationships/image" Target="media/image596.jpeg"/><Relationship Id="rId624" Type="http://schemas.openxmlformats.org/officeDocument/2006/relationships/image" Target="media/image597.png"/><Relationship Id="rId625" Type="http://schemas.openxmlformats.org/officeDocument/2006/relationships/image" Target="media/image598.jpeg"/><Relationship Id="rId626" Type="http://schemas.openxmlformats.org/officeDocument/2006/relationships/image" Target="media/image599.png"/><Relationship Id="rId627" Type="http://schemas.openxmlformats.org/officeDocument/2006/relationships/image" Target="media/image600.jpeg"/><Relationship Id="rId628" Type="http://schemas.openxmlformats.org/officeDocument/2006/relationships/image" Target="media/image601.png"/><Relationship Id="rId629" Type="http://schemas.openxmlformats.org/officeDocument/2006/relationships/image" Target="media/image602.jpeg"/><Relationship Id="rId630" Type="http://schemas.openxmlformats.org/officeDocument/2006/relationships/image" Target="media/image603.png"/><Relationship Id="rId631" Type="http://schemas.openxmlformats.org/officeDocument/2006/relationships/image" Target="media/image604.png"/><Relationship Id="rId632" Type="http://schemas.openxmlformats.org/officeDocument/2006/relationships/image" Target="media/image605.png"/><Relationship Id="rId633" Type="http://schemas.openxmlformats.org/officeDocument/2006/relationships/image" Target="media/image606.jpeg"/><Relationship Id="rId634" Type="http://schemas.openxmlformats.org/officeDocument/2006/relationships/image" Target="media/image607.png"/><Relationship Id="rId635" Type="http://schemas.openxmlformats.org/officeDocument/2006/relationships/image" Target="media/image608.png"/><Relationship Id="rId636" Type="http://schemas.openxmlformats.org/officeDocument/2006/relationships/image" Target="media/image609.png"/><Relationship Id="rId637" Type="http://schemas.openxmlformats.org/officeDocument/2006/relationships/image" Target="media/image610.png"/><Relationship Id="rId638" Type="http://schemas.openxmlformats.org/officeDocument/2006/relationships/image" Target="media/image611.png"/><Relationship Id="rId639" Type="http://schemas.openxmlformats.org/officeDocument/2006/relationships/image" Target="media/image612.png"/><Relationship Id="rId640" Type="http://schemas.openxmlformats.org/officeDocument/2006/relationships/image" Target="media/image613.png"/><Relationship Id="rId641" Type="http://schemas.openxmlformats.org/officeDocument/2006/relationships/image" Target="media/image614.png"/><Relationship Id="rId642" Type="http://schemas.openxmlformats.org/officeDocument/2006/relationships/image" Target="media/image615.png"/><Relationship Id="rId643" Type="http://schemas.openxmlformats.org/officeDocument/2006/relationships/image" Target="media/image616.png"/><Relationship Id="rId644" Type="http://schemas.openxmlformats.org/officeDocument/2006/relationships/image" Target="media/image617.png"/><Relationship Id="rId645" Type="http://schemas.openxmlformats.org/officeDocument/2006/relationships/image" Target="media/image618.png"/><Relationship Id="rId646" Type="http://schemas.openxmlformats.org/officeDocument/2006/relationships/image" Target="media/image619.png"/><Relationship Id="rId647" Type="http://schemas.openxmlformats.org/officeDocument/2006/relationships/image" Target="media/image620.png"/><Relationship Id="rId648" Type="http://schemas.openxmlformats.org/officeDocument/2006/relationships/image" Target="media/image621.png"/><Relationship Id="rId649" Type="http://schemas.openxmlformats.org/officeDocument/2006/relationships/image" Target="media/image622.png"/><Relationship Id="rId527" Type="http://schemas.openxmlformats.org/officeDocument/2006/relationships/hyperlink" Target="https://www.sec.gov/Archives/edgar/data/56047/000114036115008395/ex3_1.htm" TargetMode="External"/><Relationship Id="rId528" Type="http://schemas.openxmlformats.org/officeDocument/2006/relationships/hyperlink" Target="https://www.sec.gov/Archives/edgar/data/56047/000095017022020426/kex-ex3_1.htm" TargetMode="External"/><Relationship Id="rId529" Type="http://schemas.openxmlformats.org/officeDocument/2006/relationships/hyperlink" Target="https://www.sec.gov/Archives/edgar/data/56047/000095017024049254/kex-ex3_2.htm" TargetMode="External"/><Relationship Id="rId530" Type="http://schemas.openxmlformats.org/officeDocument/2006/relationships/hyperlink" Target="https://www.sec.gov/Archives/edgar/data/56047/000095017022013502/kex-ex10_1.htm" TargetMode="External"/><Relationship Id="rId531" Type="http://schemas.openxmlformats.org/officeDocument/2006/relationships/hyperlink" Target="https://www.sec.gov/Archives/edgar/data/56047/000114036121006340/brhc10020954_ex10-1.htm" TargetMode="External"/><Relationship Id="rId532" Type="http://schemas.openxmlformats.org/officeDocument/2006/relationships/hyperlink" Target="https://www.sec.gov/Archives/edgar/data/56047/000114036121006340/brhc10020954_ex10-2.htm" TargetMode="External"/><Relationship Id="rId533" Type="http://schemas.openxmlformats.org/officeDocument/2006/relationships/hyperlink" Target="https://www.sec.gov/Archives/edgar/data/56047/000095017024016786/kex-ex10_7.htm" TargetMode="External"/><Relationship Id="rId534" Type="http://schemas.openxmlformats.org/officeDocument/2006/relationships/hyperlink" Target="https://www.sec.gov/Archives/edgar/data/56047/000114036121014873/brhc10023780_ex10-1.htm" TargetMode="External"/><Relationship Id="rId537" Type="http://schemas.openxmlformats.org/officeDocument/2006/relationships/hyperlink" Target="https://www.sec.gov/Archives/edgar/data/56047/000114036121014873/brhc10023780_ex10-2.htm" TargetMode="External"/><Relationship Id="rId538" Type="http://schemas.openxmlformats.org/officeDocument/2006/relationships/hyperlink" Target="https://www.sec.gov/Archives/edgar/data/56047/000114036118021679/ex10_2.htm" TargetMode="External"/><Relationship Id="rId539" Type="http://schemas.openxmlformats.org/officeDocument/2006/relationships/hyperlink" Target="https://www.sec.gov/Archives/edgar/data/56047/000095017024016786/kex-ex10_11.htm" TargetMode="External"/><Relationship Id="rId540" Type="http://schemas.openxmlformats.org/officeDocument/2006/relationships/hyperlink" Target="https://www.sec.gov/Archives/edgar/data/56047/000095017022008434/kex-ex10_3.htm" TargetMode="External"/><Relationship Id="rId541" Type="http://schemas.openxmlformats.org/officeDocument/2006/relationships/hyperlink" Target="https://www.sec.gov/Archives/edgar/data/56047/000095017022010397/kex-ex10_1.htm" TargetMode="External"/><Relationship Id="rId542" Type="http://schemas.openxmlformats.org/officeDocument/2006/relationships/hyperlink" Target="https://www.sec.gov/Archives/edgar/data/56047/000095017022010397/kex-ex10_2.htm" TargetMode="External"/><Relationship Id="rId543" Type="http://schemas.openxmlformats.org/officeDocument/2006/relationships/hyperlink" Target="https://www.sec.gov/Archives/edgar/data/56047/000095017022010397/kex-ex10_3.htm" TargetMode="External"/><Relationship Id="rId544" Type="http://schemas.openxmlformats.org/officeDocument/2006/relationships/hyperlink" Target="https://www.sec.gov/Archives/edgar/data/56047/000095017022010397/kex-ex10_4.htm" TargetMode="External"/><Relationship Id="rId545" Type="http://schemas.openxmlformats.org/officeDocument/2006/relationships/hyperlink" Target="https://www.sec.gov/Archives/edgar/data/56047/000095017023018692/kex-ex10_4.htm" TargetMode="External"/><Relationship Id="rId546" Type="http://schemas.openxmlformats.org/officeDocument/2006/relationships/hyperlink" Target="https://www.sec.gov/Archives/edgar/data/56047/000095017023018692/kex-ex10_5.htm" TargetMode="External"/><Relationship Id="rId547" Type="http://schemas.openxmlformats.org/officeDocument/2006/relationships/hyperlink" Target="https://www.sec.gov/Archives/edgar/data/56047/000095017023018692/kex-ex10_6.htm" TargetMode="External"/><Relationship Id="rId548" Type="http://schemas.openxmlformats.org/officeDocument/2006/relationships/hyperlink" Target="https://www.sec.gov/Archives/edgar/data/56047/000095017024016786/ke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2025-02-18T12:53:26Z</dcterms:created>
  <dcterms:modified xsi:type="dcterms:W3CDTF">2025-02-18T12:53:26Z</dcterms:modified>
</cp:coreProperties>
</file>